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1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09609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3EFA0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关于《北京市关于推动运动促进健康事业高质量发展的实施意见》的起草说明</w:t>
      </w:r>
    </w:p>
    <w:p w14:paraId="5C0B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B61E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根据国家体育总局《关于推动运动促进健康事业高质量发展的指导意见》（体科规字〔2025〕2 号，以下简称《指导意见》）部署要求，立足首都城市战略定位与健康北京建设实际，市体育局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牵头，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会同市卫生健康委等相关部门，研究起草了《北京市关于推动运动促进健康事业高质量发展的实施意见》（以下简称《实施意见》）。现将有关情况说明如下：</w:t>
      </w:r>
    </w:p>
    <w:p w14:paraId="1C5BE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黑体" w:hAnsi="黑体" w:eastAsia="黑体" w:cs="黑体"/>
          <w:sz w:val="32"/>
          <w:szCs w:val="32"/>
        </w:rPr>
        <w:t>一、起草背景</w:t>
      </w:r>
    </w:p>
    <w:p w14:paraId="15B9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（一）贯彻落实党中央、国务院和上级部委决策部署的需要</w:t>
      </w:r>
    </w:p>
    <w:p w14:paraId="19A0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党的二十大明确提出“广泛开展全民健身活动，加强青少年体育工作，促进群众体育和竞技体育全面发展，加快建设体育强国”。《“健康中国2030”规划纲要》将运动促进健康作为健康中国建设和全民健身国家战略的重要支撑。2025年体育总局印发《指导意见》，系统部署构建运动促进健康服务体系，明确了总体要求、重点任务和保障措施。北京作为首都，必须坚持首善标准，全面对标对表，推动国家政策要求在京华大地落地生根、形成生动实践。</w:t>
      </w:r>
    </w:p>
    <w:p w14:paraId="6D292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服务首都功能定位、满足人民群众高品质健康生活需求的现实需要</w:t>
      </w:r>
    </w:p>
    <w:p w14:paraId="71684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北京正加快建设国际一流和谐宜居之都，持续深化健康北京建设，着力打造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北京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双奥国际赛事名城，群众体育与全民健康事业发展成效显著。同时，本市人口老龄化程度持续加深，慢性非传染性疾病高发多发，亚健康群体规模较大，群众对科学健身指导、主动健康干预、个性化运动健康服务的需求日益迫切。制定出台《实施意见》，有利于推动全民健身与全民健康深度融合，加快构建覆盖全民、贯穿全生命周期、契合首都特点的运动促进健康服务体系，更好满足人民群众多元化、高品质健康需求。</w:t>
      </w:r>
    </w:p>
    <w:p w14:paraId="41CA68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深化体医融合、推动首都运动促进健康事业高质量发展的内在要求</w:t>
      </w:r>
    </w:p>
    <w:p w14:paraId="10A4E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cs="仿宋_GB2312"/>
          <w:b w:val="0"/>
          <w:bCs w:val="0"/>
          <w:sz w:val="32"/>
          <w:szCs w:val="32"/>
          <w:lang w:eastAsia="zh-CN"/>
        </w:rPr>
        <w:t>市委、市政府高度重视运动促进健康工作，2026年市政府工作报告明确将“深化体医融合，抓紧研究运动促进健康相关政策”列为重点任务；市政协将“倡导健康生活方式，进一步提升首都文明风尚”纳入年度重点协商议题，持续开展调研督导。近年来，本市在国民体质监测、科学健身指导、慢性病运动干预等方面积极探索，取得阶段性成效。但对照新形势新要求和群众期盼，仍存在服务体系不够健全、跨部门协同机制不够顺畅、专业人才供给不足、数字化支撑能力不强、产业带动效应尚未充分释放等短板，亟需通过出台系统性政策文件，推动首都运动促进健康事业实现更高质量、更有效率、更加公平、更可持续的发展。</w:t>
      </w:r>
    </w:p>
    <w:p w14:paraId="7822C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黑体" w:hAnsi="黑体" w:eastAsia="黑体" w:cs="黑体"/>
          <w:sz w:val="32"/>
          <w:szCs w:val="32"/>
        </w:rPr>
        <w:t>二、起草工作过程</w:t>
      </w:r>
    </w:p>
    <w:p w14:paraId="0F0DB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（一）强化部门协同，深入开展调查研究</w:t>
      </w:r>
    </w:p>
    <w:p w14:paraId="49D4F7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市体育局会同市卫生健康委建立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有效沟通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制，系统学习《指导意见》精神，全面梳理本市全民健身、健康北京、体医融合等领域政策文件与工作基础；深入医疗机构、社区卫生服务中心、全民健身中心等一线点位开展实地调研，全面掌握公共体育服务供给、医疗机构运动健康服务开展、社会力量参与体医融合等情况，深入剖析突出问题，研究务实对策，为文件起草奠定扎实实践基础。</w:t>
      </w:r>
    </w:p>
    <w:p w14:paraId="75752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（二）严格程序规范，广泛凝聚各方共识</w:t>
      </w:r>
    </w:p>
    <w:p w14:paraId="1C41C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在充分调研论证基础上，紧扣国家《指导意见》核心要义，立足首都功能定位与发展实际，科学构建文件整体框架，明确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总体思路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、重点任务和保障举措。经多轮研讨、反复修改完善，形成《实施意见》初稿。书面征求市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卫生健康委、市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教委、市科委中关村管委会、市民政局、市农业农村局、市文化和旅游局、市直机关工委、市总工会、市妇联等部门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各区体育部门意见，逐条梳理、充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分吸纳合理建议，确保文件内容科学精准、务实可行、各方认可。</w:t>
      </w:r>
    </w:p>
    <w:p w14:paraId="42231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黑体" w:hAnsi="黑体" w:eastAsia="黑体" w:cs="黑体"/>
          <w:sz w:val="32"/>
          <w:szCs w:val="32"/>
        </w:rPr>
        <w:t>三、主要内容</w:t>
      </w:r>
    </w:p>
    <w:p w14:paraId="0073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《实施意见》正文分为总体要求、重点任务、保障措施三部分，核心内容如下：</w:t>
      </w:r>
    </w:p>
    <w:p w14:paraId="414B6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（一）总体要求</w:t>
      </w:r>
    </w:p>
    <w:p w14:paraId="06BC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坚持以人民健康为中心，坚持预防为主、关口前移，立足首都人口结构特点，为全人群提供科学规范、形式多样、方便可及的运动促进健康服务。到2030年，基本建成政府主导、社会协同、全民共享、具有北京特色的运动促进健康服务体系，实现工作规范化、常态化、全覆盖；分阶段推进试点建设，2027年建成运动促进健康服务中心试点10个，2030年达到20个，逐步实现服务全覆盖、管理精细化。</w:t>
      </w:r>
    </w:p>
    <w:p w14:paraId="26225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（二）重点任务</w:t>
      </w:r>
    </w:p>
    <w:p w14:paraId="49AED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分两个方面共9项任务。一是构建运动促进健康服务体系，包括加强宣传普及、积极倡导运动健康理念，创新工作机制、优化运动健康服务，加大试点项目建设、打造多元化服务场景，强化技能指导、关注重点人群需求4项任务，重点解决服务理念普及、服务机制创新、试点载体建设、重点人群服务等问题。二是完善运动促进健康支撑体系，包括鼓励融合创新、丰富运动促进健康消费场景，加强人才队伍建设、建立复合型人才培养体系，强化科研攻关、支持成果应用转化推广，推进数智创新赋能、实现数字化协同治理，推动运动促进健康产业发展、不断激发市场活力5项任务，重点解决产业生态、人才支撑、科技创新、数字赋能、产业带动等问题。</w:t>
      </w:r>
    </w:p>
    <w:p w14:paraId="1157C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楷体_GB2312" w:hAnsi="楷体_GB2312" w:eastAsia="楷体_GB2312" w:cs="楷体_GB2312"/>
          <w:sz w:val="32"/>
          <w:szCs w:val="32"/>
        </w:rPr>
        <w:t>（三）保障措施</w:t>
      </w:r>
    </w:p>
    <w:p w14:paraId="4959C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从加强部门协同、形成多元投入格局、完善政策标准、加强宣传工作四个方面，明确保障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措施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。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 w14:paraId="4F2C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color w:val="auto"/>
        </w:rPr>
      </w:pPr>
      <w:r>
        <w:rPr>
          <w:rFonts w:ascii="楷体_GB2312" w:hAnsi="楷体_GB2312" w:eastAsia="楷体_GB2312" w:cs="楷体_GB2312"/>
          <w:color w:val="auto"/>
          <w:sz w:val="32"/>
          <w:szCs w:val="32"/>
        </w:rPr>
        <w:t>（四）主要改革创新举措</w:t>
      </w:r>
    </w:p>
    <w:p w14:paraId="56BA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</w:pP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《</w:t>
      </w:r>
      <w:r>
        <w:rPr>
          <w:rFonts w:hint="eastAsia" w:cs="仿宋_GB2312"/>
          <w:b w:val="0"/>
          <w:bCs w:val="0"/>
          <w:color w:val="auto"/>
          <w:sz w:val="32"/>
          <w:szCs w:val="32"/>
          <w:lang w:val="en-US" w:eastAsia="zh-CN"/>
        </w:rPr>
        <w:t>实施意见</w:t>
      </w:r>
      <w:r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》在贯彻落实国家《指导意见》基础上，结合首都实际，有以下创新点：一是首次在市级层面对运动促进健康事业作出系统性、体系化制度安排，构建起从理念引导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、服务供给、人才培养到产业发展的全链条政策体系。二是聚焦体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医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融合关键环节，提出构建“测、评、导、练”基础服务闭环，建立数字化个人运动健康档案，针对性开具“运动处方”，配合开展膳食营养指导，探索将运动促进健康项目纳入居民健康管理内容，推动将国民体质监测指标纳入健康体检。三是结合首都人口结构特点，针对老年人、儿童青少年、职业人群、女性等重点人群，分别提出差异化、精准化服务举措。四是发挥北京双奥国际赛事名城和高校科研院所集聚优势，推动运动促进健康与医疗、教育、康养、文旅、休闲、乡村振兴、数据服务等业态深度融合，培育新业态、新模式。</w:t>
      </w:r>
    </w:p>
    <w:p w14:paraId="70E7A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</w:pPr>
      <w:r>
        <w:rPr>
          <w:rFonts w:ascii="黑体" w:hAnsi="黑体" w:eastAsia="黑体" w:cs="黑体"/>
          <w:sz w:val="32"/>
          <w:szCs w:val="32"/>
        </w:rPr>
        <w:t>四、需要特别说明的问题</w:t>
      </w:r>
    </w:p>
    <w:p w14:paraId="55BD8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《实施意见》定位为规范性文件，拟由市体育局、市卫生健康委联合印发并公开发布。《实施意见》严格对标 《“健康中国2030”规划纲要》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体育强国建设纲要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“健康北京2030”规划纲要》《北京市贯彻落实〈体育强国建设纲要〉实施方案》等国家及本市顶层文件制度要求，各项条款内容方向一致、口径统一、衔接顺畅，完全契合现行政策体系框架，确保政策延续性与协同性。同时，《实施意见》与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拟制定的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体医融合机构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服务流程数据元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规范》、拟修订的《体医融合机构服务规范》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等技术性文件相互支撑、有机衔接，共同构建“政策—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—</w:t>
      </w:r>
      <w:r>
        <w:rPr>
          <w:rFonts w:hint="eastAsia" w:cs="仿宋_GB2312"/>
          <w:b w:val="0"/>
          <w:bCs w:val="0"/>
          <w:sz w:val="32"/>
          <w:szCs w:val="32"/>
          <w:lang w:eastAsia="zh-CN"/>
        </w:rPr>
        <w:t>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”三位一体、协同推进的工作格局。</w:t>
      </w:r>
    </w:p>
    <w:sectPr>
      <w:footerReference r:id="rId3" w:type="default"/>
      <w:pgSz w:w="11906" w:h="16838"/>
      <w:pgMar w:top="1440" w:right="1800" w:bottom="1440" w:left="1800" w:header="708" w:footer="1474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753197-F8AC-44D2-9BA3-947BC7B4D1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B8CE651-3557-493F-9FA2-9AED5B90582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38D3C047-3826-4064-B697-BA3552ECE04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A7C735D-F060-4F90-A8CA-C0960792CEE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9E9E15F-B868-4322-B097-B4D08B8096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1AD17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C052F">
                          <w:pPr>
                            <w:pStyle w:val="9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FC052F">
                    <w:pPr>
                      <w:pStyle w:val="9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B3500"/>
    <w:multiLevelType w:val="singleLevel"/>
    <w:tmpl w:val="BD6B350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WY0YjVkZDc3YWVmYmE0ODE5YWVhZDBhOTQwMDE0MjkifQ=="/>
  </w:docVars>
  <w:rsids>
    <w:rsidRoot w:val="00000000"/>
    <w:rsid w:val="030951D3"/>
    <w:rsid w:val="10403535"/>
    <w:rsid w:val="1A74E14D"/>
    <w:rsid w:val="3EFF6B92"/>
    <w:rsid w:val="5FEF6E04"/>
    <w:rsid w:val="75847CC2"/>
    <w:rsid w:val="79DC4104"/>
    <w:rsid w:val="7AEFA02C"/>
    <w:rsid w:val="7D1E5D26"/>
    <w:rsid w:val="7DFF7CA7"/>
    <w:rsid w:val="7F3FA78B"/>
    <w:rsid w:val="7FDF5BC7"/>
    <w:rsid w:val="7FFA4CD7"/>
    <w:rsid w:val="B7BE07E7"/>
    <w:rsid w:val="ECEB0091"/>
    <w:rsid w:val="FFFAA2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="仿宋_GB2312"/>
      <w:sz w:val="32"/>
      <w:szCs w:val="32"/>
    </w:rPr>
  </w:style>
  <w:style w:type="paragraph" w:styleId="2">
    <w:name w:val="heading 1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color w:val="2E74B5"/>
      <w:sz w:val="32"/>
      <w:szCs w:val="32"/>
    </w:rPr>
  </w:style>
  <w:style w:type="paragraph" w:styleId="3">
    <w:name w:val="heading 2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color w:val="2E74B5"/>
      <w:sz w:val="26"/>
      <w:szCs w:val="26"/>
    </w:rPr>
  </w:style>
  <w:style w:type="paragraph" w:styleId="4">
    <w:name w:val="heading 3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color w:val="1F4D78"/>
      <w:sz w:val="24"/>
      <w:szCs w:val="24"/>
    </w:rPr>
  </w:style>
  <w:style w:type="paragraph" w:styleId="5">
    <w:name w:val="heading 4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i/>
      <w:iCs/>
      <w:color w:val="2E74B5"/>
      <w:sz w:val="32"/>
      <w:szCs w:val="32"/>
    </w:rPr>
  </w:style>
  <w:style w:type="paragraph" w:styleId="6">
    <w:name w:val="heading 5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color w:val="2E74B5"/>
      <w:sz w:val="32"/>
      <w:szCs w:val="32"/>
    </w:rPr>
  </w:style>
  <w:style w:type="paragraph" w:styleId="7">
    <w:name w:val="heading 6"/>
    <w:next w:val="1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color w:val="1F4D78"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20"/>
    <w:semiHidden/>
    <w:unhideWhenUsed/>
    <w:qFormat/>
    <w:uiPriority w:val="99"/>
    <w:pPr>
      <w:spacing w:after="0" w:line="240" w:lineRule="auto"/>
    </w:pPr>
    <w:rPr>
      <w:rFonts w:ascii="仿宋_GB2312" w:hAnsi="仿宋_GB2312" w:eastAsia="仿宋_GB2312" w:cs="仿宋_GB2312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19"/>
    <w:autoRedefine/>
    <w:semiHidden/>
    <w:unhideWhenUsed/>
    <w:qFormat/>
    <w:uiPriority w:val="99"/>
    <w:pPr>
      <w:spacing w:after="0" w:line="240" w:lineRule="auto"/>
    </w:pPr>
    <w:rPr>
      <w:rFonts w:ascii="仿宋_GB2312" w:hAnsi="仿宋_GB2312" w:eastAsia="仿宋_GB2312" w:cs="仿宋_GB2312"/>
      <w:sz w:val="20"/>
      <w:szCs w:val="20"/>
    </w:rPr>
  </w:style>
  <w:style w:type="paragraph" w:styleId="12">
    <w:name w:val="Title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sz w:val="56"/>
      <w:szCs w:val="56"/>
    </w:rPr>
  </w:style>
  <w:style w:type="character" w:styleId="15">
    <w:name w:val="endnote reference"/>
    <w:autoRedefine/>
    <w:semiHidden/>
    <w:unhideWhenUsed/>
    <w:qFormat/>
    <w:uiPriority w:val="99"/>
    <w:rPr>
      <w:vertAlign w:val="superscript"/>
    </w:rPr>
  </w:style>
  <w:style w:type="character" w:styleId="16">
    <w:name w:val="Hyperlink"/>
    <w:autoRedefine/>
    <w:unhideWhenUsed/>
    <w:qFormat/>
    <w:uiPriority w:val="99"/>
    <w:rPr>
      <w:color w:val="0563C1"/>
      <w:u w:val="single"/>
    </w:rPr>
  </w:style>
  <w:style w:type="character" w:styleId="17">
    <w:name w:val="footnote reference"/>
    <w:autoRedefine/>
    <w:semiHidden/>
    <w:unhideWhenUsed/>
    <w:qFormat/>
    <w:uiPriority w:val="99"/>
    <w:rPr>
      <w:vertAlign w:val="superscript"/>
    </w:rPr>
  </w:style>
  <w:style w:type="paragraph" w:styleId="18">
    <w:name w:val="List Paragraph"/>
    <w:autoRedefine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19">
    <w:name w:val="Footnote Text Char"/>
    <w:link w:val="11"/>
    <w:autoRedefine/>
    <w:semiHidden/>
    <w:unhideWhenUsed/>
    <w:qFormat/>
    <w:uiPriority w:val="99"/>
    <w:rPr>
      <w:sz w:val="20"/>
      <w:szCs w:val="20"/>
    </w:rPr>
  </w:style>
  <w:style w:type="character" w:customStyle="1" w:styleId="20">
    <w:name w:val="Endnote Text Char"/>
    <w:link w:val="8"/>
    <w:autoRedefine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2588</Words>
  <Characters>2617</Characters>
  <TotalTime>8</TotalTime>
  <ScaleCrop>false</ScaleCrop>
  <LinksUpToDate>false</LinksUpToDate>
  <CharactersWithSpaces>2621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2026-04-27T07:32:00Z</dcterms:created>
  <dc:creator>Beijing Municipal Sports Bureau</dc:creator>
  <cp:lastModifiedBy>匿名用户</cp:lastModifiedBy>
  <dcterms:modified xsi:type="dcterms:W3CDTF">2026-05-07T02:02:54Z</dcterms:modified>
  <dc:title>起草说明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3A891CBAB3384254B21B943B774D7FC6_13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