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outlineLvl w:val="1"/>
        <w:rPr>
          <w:rFonts w:hint="eastAsia" w:ascii="方正黑体_GBK" w:hAnsi="方正黑体_GBK" w:eastAsia="方正黑体_GBK" w:cs="方正黑体_GBK"/>
          <w:color w:val="000000"/>
          <w:sz w:val="32"/>
          <w:szCs w:val="32"/>
          <w:lang w:val="en-US" w:eastAsia="zh-CN" w:bidi="ar"/>
        </w:rPr>
      </w:pPr>
      <w:bookmarkStart w:id="0" w:name="_Toc132387255"/>
      <w:bookmarkStart w:id="1" w:name="_Toc124704061"/>
      <w:bookmarkStart w:id="2" w:name="_Toc14725"/>
      <w:bookmarkStart w:id="3" w:name="_Toc12022"/>
      <w:r>
        <w:rPr>
          <w:rFonts w:hint="eastAsia" w:ascii="方正黑体_GBK" w:hAnsi="方正黑体_GBK" w:eastAsia="方正黑体_GBK" w:cs="方正黑体_GBK"/>
          <w:color w:val="000000"/>
          <w:sz w:val="32"/>
          <w:szCs w:val="32"/>
          <w:lang w:val="en-US" w:eastAsia="zh-CN" w:bidi="ar"/>
        </w:rPr>
        <w:t>附件</w:t>
      </w:r>
      <w:bookmarkStart w:id="4" w:name="_GoBack"/>
      <w:bookmarkEnd w:id="4"/>
      <w:r>
        <w:rPr>
          <w:rFonts w:hint="eastAsia" w:ascii="方正黑体_GBK" w:hAnsi="方正黑体_GBK" w:eastAsia="方正黑体_GBK" w:cs="方正黑体_GBK"/>
          <w:color w:val="000000"/>
          <w:sz w:val="32"/>
          <w:szCs w:val="32"/>
          <w:lang w:val="en-US" w:eastAsia="zh-CN" w:bidi="ar"/>
        </w:rPr>
        <w:t>1</w:t>
      </w:r>
    </w:p>
    <w:p>
      <w:pPr>
        <w:spacing w:line="540" w:lineRule="exact"/>
        <w:jc w:val="center"/>
        <w:outlineLvl w:val="1"/>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bidi="ar"/>
        </w:rPr>
        <w:t>10.1</w:t>
      </w:r>
      <w:r>
        <w:rPr>
          <w:rFonts w:hint="eastAsia" w:ascii="方正小标宋简体" w:hAnsi="方正小标宋简体" w:eastAsia="方正小标宋简体" w:cs="方正小标宋简体"/>
          <w:color w:val="000000"/>
          <w:sz w:val="44"/>
          <w:szCs w:val="44"/>
          <w:lang w:bidi="ar"/>
        </w:rPr>
        <w:t>北京市</w:t>
      </w:r>
      <w:r>
        <w:rPr>
          <w:rFonts w:hint="eastAsia" w:ascii="方正小标宋简体" w:hAnsi="方正小标宋简体" w:eastAsia="方正小标宋简体" w:cs="方正小标宋简体"/>
          <w:color w:val="000000"/>
          <w:sz w:val="44"/>
          <w:szCs w:val="44"/>
          <w:lang w:val="en-US" w:eastAsia="zh-CN" w:bidi="ar"/>
        </w:rPr>
        <w:t>游泳场所</w:t>
      </w:r>
      <w:bookmarkEnd w:id="0"/>
      <w:bookmarkEnd w:id="1"/>
      <w:bookmarkEnd w:id="2"/>
      <w:bookmarkEnd w:id="3"/>
      <w:r>
        <w:rPr>
          <w:rFonts w:hint="eastAsia" w:ascii="方正小标宋简体" w:hAnsi="方正小标宋简体" w:eastAsia="方正小标宋简体" w:cs="方正小标宋简体"/>
          <w:color w:val="000000"/>
          <w:sz w:val="44"/>
          <w:szCs w:val="44"/>
          <w:lang w:val="en-US" w:eastAsia="zh-CN" w:bidi="ar"/>
        </w:rPr>
        <w:t>隐患自查清单</w:t>
      </w:r>
      <w:r>
        <w:rPr>
          <w:rFonts w:hint="eastAsia" w:ascii="方正小标宋简体" w:hAnsi="方正小标宋简体" w:eastAsia="方正小标宋简体" w:cs="方正小标宋简体"/>
          <w:color w:val="000000"/>
          <w:sz w:val="44"/>
          <w:szCs w:val="44"/>
          <w:lang w:bidi="ar"/>
        </w:rPr>
        <w:t>（202</w:t>
      </w:r>
      <w:r>
        <w:rPr>
          <w:rFonts w:hint="eastAsia" w:ascii="方正小标宋简体" w:hAnsi="方正小标宋简体" w:eastAsia="方正小标宋简体" w:cs="方正小标宋简体"/>
          <w:color w:val="000000"/>
          <w:sz w:val="44"/>
          <w:szCs w:val="44"/>
          <w:lang w:val="en-US" w:eastAsia="zh-CN" w:bidi="ar"/>
        </w:rPr>
        <w:t>6</w:t>
      </w:r>
      <w:r>
        <w:rPr>
          <w:rFonts w:hint="eastAsia" w:ascii="方正小标宋简体" w:hAnsi="方正小标宋简体" w:eastAsia="方正小标宋简体" w:cs="方正小标宋简体"/>
          <w:color w:val="000000"/>
          <w:sz w:val="44"/>
          <w:szCs w:val="44"/>
          <w:lang w:bidi="ar"/>
        </w:rPr>
        <w:t>年度</w:t>
      </w:r>
      <w:r>
        <w:rPr>
          <w:rFonts w:hint="eastAsia" w:ascii="方正小标宋简体" w:hAnsi="方正小标宋简体" w:eastAsia="方正小标宋简体" w:cs="方正小标宋简体"/>
          <w:color w:val="000000"/>
          <w:sz w:val="44"/>
          <w:szCs w:val="44"/>
          <w:lang w:val="en-US" w:eastAsia="zh-CN" w:bidi="ar"/>
        </w:rPr>
        <w:t>版</w:t>
      </w:r>
      <w:r>
        <w:rPr>
          <w:rFonts w:hint="eastAsia" w:ascii="方正小标宋简体" w:hAnsi="方正小标宋简体" w:eastAsia="方正小标宋简体" w:cs="方正小标宋简体"/>
          <w:color w:val="000000"/>
          <w:sz w:val="44"/>
          <w:szCs w:val="44"/>
          <w:lang w:bidi="ar"/>
        </w:rPr>
        <w:t>）</w:t>
      </w:r>
    </w:p>
    <w:tbl>
      <w:tblPr>
        <w:tblStyle w:val="5"/>
        <w:tblW w:w="539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39"/>
        <w:gridCol w:w="830"/>
        <w:gridCol w:w="839"/>
        <w:gridCol w:w="2743"/>
        <w:gridCol w:w="4134"/>
        <w:gridCol w:w="3998"/>
        <w:gridCol w:w="11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477" w:type="pct"/>
            <w:vMerge w:val="restart"/>
            <w:tcBorders>
              <w:top w:val="single" w:color="auto" w:sz="12" w:space="0"/>
              <w:left w:val="single" w:color="auto" w:sz="12" w:space="0"/>
              <w:bottom w:val="single" w:color="auto" w:sz="6" w:space="0"/>
              <w:right w:val="single" w:color="auto" w:sz="6" w:space="0"/>
            </w:tcBorders>
            <w:shd w:val="clear" w:color="auto" w:fill="B8CCE4"/>
            <w:noWrap w:val="0"/>
            <w:tcMar>
              <w:left w:w="0" w:type="dxa"/>
              <w:right w:w="0" w:type="dxa"/>
            </w:tcMar>
            <w:vAlign w:val="center"/>
          </w:tcPr>
          <w:p>
            <w:pPr>
              <w:widowControl/>
              <w:adjustRightInd w:val="0"/>
              <w:snapToGrid w:val="0"/>
              <w:spacing w:after="0" w:line="240" w:lineRule="auto"/>
              <w:jc w:val="center"/>
              <w:rPr>
                <w:rFonts w:hint="eastAsia" w:ascii="仿宋_GB2312" w:hAnsi="仿宋_GB2312" w:eastAsia="仿宋_GB2312" w:cs="仿宋_GB2312"/>
                <w:b/>
                <w:bCs/>
                <w:color w:val="000000"/>
                <w:spacing w:val="0"/>
                <w:kern w:val="2"/>
                <w:sz w:val="20"/>
                <w:szCs w:val="20"/>
                <w:highlight w:val="none"/>
                <w:lang w:val="en-US" w:eastAsia="zh-CN" w:bidi="ar-SA"/>
              </w:rPr>
            </w:pPr>
            <w:r>
              <w:rPr>
                <w:rFonts w:hint="eastAsia" w:ascii="仿宋_GB2312" w:hAnsi="仿宋_GB2312" w:eastAsia="仿宋_GB2312" w:cs="仿宋_GB2312"/>
                <w:b/>
                <w:bCs/>
                <w:kern w:val="0"/>
                <w:sz w:val="20"/>
                <w:szCs w:val="20"/>
                <w:highlight w:val="none"/>
              </w:rPr>
              <w:t>编号</w:t>
            </w:r>
          </w:p>
        </w:tc>
        <w:tc>
          <w:tcPr>
            <w:tcW w:w="553" w:type="pct"/>
            <w:gridSpan w:val="2"/>
            <w:tcBorders>
              <w:top w:val="single" w:color="auto" w:sz="12"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隐患分类</w:t>
            </w:r>
          </w:p>
        </w:tc>
        <w:tc>
          <w:tcPr>
            <w:tcW w:w="909" w:type="pct"/>
            <w:vMerge w:val="restart"/>
            <w:tcBorders>
              <w:top w:val="single" w:color="auto" w:sz="12"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自查内容</w:t>
            </w:r>
          </w:p>
        </w:tc>
        <w:tc>
          <w:tcPr>
            <w:tcW w:w="1370" w:type="pct"/>
            <w:vMerge w:val="restart"/>
            <w:tcBorders>
              <w:top w:val="single" w:color="auto" w:sz="12" w:space="0"/>
              <w:left w:val="single" w:color="auto" w:sz="6" w:space="0"/>
              <w:right w:val="single" w:color="auto" w:sz="6" w:space="0"/>
            </w:tcBorders>
            <w:shd w:val="clear" w:color="auto" w:fill="B8CCE4"/>
            <w:noWrap w:val="0"/>
            <w:tcMar>
              <w:left w:w="0" w:type="dxa"/>
              <w:right w:w="0" w:type="dxa"/>
            </w:tcMar>
            <w:vAlign w:val="center"/>
          </w:tcPr>
          <w:p>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自查标准</w:t>
            </w:r>
          </w:p>
        </w:tc>
        <w:tc>
          <w:tcPr>
            <w:tcW w:w="1325" w:type="pct"/>
            <w:vMerge w:val="restart"/>
            <w:tcBorders>
              <w:top w:val="single" w:color="auto" w:sz="12"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设置依据</w:t>
            </w:r>
          </w:p>
        </w:tc>
        <w:tc>
          <w:tcPr>
            <w:tcW w:w="362" w:type="pct"/>
            <w:vMerge w:val="restart"/>
            <w:tcBorders>
              <w:top w:val="single" w:color="auto" w:sz="12" w:space="0"/>
              <w:left w:val="single" w:color="auto" w:sz="6" w:space="0"/>
              <w:bottom w:val="single" w:color="auto" w:sz="6" w:space="0"/>
              <w:right w:val="single" w:color="auto" w:sz="12" w:space="0"/>
            </w:tcBorders>
            <w:shd w:val="clear" w:color="auto" w:fill="B8CCE4"/>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84" w:leftChars="40" w:right="84" w:rightChars="40"/>
              <w:jc w:val="center"/>
              <w:textAlignment w:val="auto"/>
              <w:rPr>
                <w:rFonts w:hint="eastAsia" w:ascii="仿宋_GB2312" w:hAnsi="仿宋_GB2312" w:eastAsia="仿宋_GB2312" w:cs="仿宋_GB2312"/>
                <w:b/>
                <w:bCs/>
                <w:color w:val="000000"/>
                <w:spacing w:val="0"/>
                <w:kern w:val="2"/>
                <w:sz w:val="20"/>
                <w:szCs w:val="20"/>
                <w:highlight w:val="none"/>
                <w:lang w:val="en-US" w:eastAsia="zh-CN" w:bidi="ar-SA"/>
              </w:rPr>
            </w:pPr>
            <w:r>
              <w:rPr>
                <w:rFonts w:hint="eastAsia" w:ascii="仿宋_GB2312" w:hAnsi="仿宋_GB2312" w:eastAsia="仿宋_GB2312" w:cs="仿宋_GB2312"/>
                <w:b/>
                <w:bCs/>
                <w:color w:val="000000"/>
                <w:spacing w:val="0"/>
                <w:sz w:val="20"/>
                <w:szCs w:val="20"/>
                <w:highlight w:val="none"/>
                <w:lang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477" w:type="pct"/>
            <w:vMerge w:val="continue"/>
            <w:tcBorders>
              <w:top w:val="single" w:color="auto" w:sz="12" w:space="0"/>
              <w:left w:val="single" w:color="auto" w:sz="12" w:space="0"/>
              <w:bottom w:val="single" w:color="auto" w:sz="6" w:space="0"/>
              <w:right w:val="single" w:color="auto" w:sz="6" w:space="0"/>
            </w:tcBorders>
            <w:shd w:val="clear" w:color="auto" w:fill="FFFFFF"/>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5" w:type="pct"/>
            <w:tcBorders>
              <w:top w:val="single" w:color="auto" w:sz="6"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“一类”隐患</w:t>
            </w:r>
          </w:p>
        </w:tc>
        <w:tc>
          <w:tcPr>
            <w:tcW w:w="277" w:type="pct"/>
            <w:tcBorders>
              <w:top w:val="single" w:color="auto" w:sz="6"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“二类”隐患</w:t>
            </w:r>
          </w:p>
        </w:tc>
        <w:tc>
          <w:tcPr>
            <w:tcW w:w="909" w:type="pct"/>
            <w:vMerge w:val="continue"/>
            <w:tcBorders>
              <w:top w:val="single" w:color="auto" w:sz="12" w:space="0"/>
              <w:left w:val="single" w:color="auto" w:sz="6" w:space="0"/>
              <w:bottom w:val="single" w:color="auto" w:sz="6" w:space="0"/>
              <w:right w:val="single" w:color="auto" w:sz="6" w:space="0"/>
            </w:tcBorders>
            <w:shd w:val="clear" w:color="auto" w:fill="FFFFFF"/>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1370" w:type="pct"/>
            <w:vMerge w:val="continue"/>
            <w:tcBorders>
              <w:left w:val="single" w:color="auto" w:sz="6" w:space="0"/>
              <w:bottom w:val="single" w:color="auto" w:sz="6" w:space="0"/>
              <w:right w:val="single" w:color="auto" w:sz="6" w:space="0"/>
            </w:tcBorders>
            <w:shd w:val="clear" w:color="auto" w:fill="FFFFFF"/>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1325" w:type="pct"/>
            <w:vMerge w:val="continue"/>
            <w:tcBorders>
              <w:top w:val="single" w:color="auto" w:sz="12" w:space="0"/>
              <w:left w:val="single" w:color="auto" w:sz="6" w:space="0"/>
              <w:bottom w:val="single" w:color="auto" w:sz="6" w:space="0"/>
              <w:right w:val="single" w:color="auto" w:sz="6" w:space="0"/>
            </w:tcBorders>
            <w:shd w:val="clear" w:color="auto" w:fill="FFFFFF"/>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362" w:type="pct"/>
            <w:vMerge w:val="continue"/>
            <w:tcBorders>
              <w:top w:val="single" w:color="auto" w:sz="12" w:space="0"/>
              <w:left w:val="single" w:color="auto" w:sz="6" w:space="0"/>
              <w:bottom w:val="single" w:color="auto" w:sz="6" w:space="0"/>
              <w:right w:val="single" w:color="auto" w:sz="12" w:space="0"/>
            </w:tcBorders>
            <w:shd w:val="clear" w:color="auto" w:fill="FFFFFF"/>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spacing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shd w:val="clear" w:color="auto" w:fill="auto"/>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01.1.01.</w:t>
            </w:r>
            <w:r>
              <w:rPr>
                <w:rFonts w:hint="eastAsia" w:ascii="仿宋_GB2312" w:hAnsi="仿宋_GB2312" w:eastAsia="仿宋_GB2312" w:cs="仿宋_GB2312"/>
                <w:spacing w:val="0"/>
                <w:sz w:val="20"/>
                <w:szCs w:val="20"/>
                <w:highlight w:val="none"/>
              </w:rPr>
              <w:t>001</w:t>
            </w:r>
          </w:p>
        </w:tc>
        <w:tc>
          <w:tcPr>
            <w:tcW w:w="275" w:type="pct"/>
            <w:vMerge w:val="restart"/>
            <w:tcBorders>
              <w:top w:val="single" w:color="auto" w:sz="6" w:space="0"/>
              <w:left w:val="single" w:color="auto" w:sz="6" w:space="0"/>
              <w:right w:val="single" w:color="auto" w:sz="6" w:space="0"/>
            </w:tcBorders>
            <w:shd w:val="clear" w:color="auto" w:fill="FFFFFF"/>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基础资料类</w:t>
            </w:r>
          </w:p>
        </w:tc>
        <w:tc>
          <w:tcPr>
            <w:tcW w:w="277" w:type="pct"/>
            <w:tcBorders>
              <w:top w:val="single" w:color="auto" w:sz="6" w:space="0"/>
              <w:left w:val="single" w:color="auto" w:sz="6" w:space="0"/>
              <w:bottom w:val="single" w:color="auto" w:sz="6" w:space="0"/>
              <w:right w:val="single" w:color="auto" w:sz="6" w:space="0"/>
            </w:tcBorders>
            <w:shd w:val="clear" w:color="auto" w:fill="FFFFFF"/>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资质证照类</w:t>
            </w:r>
          </w:p>
        </w:tc>
        <w:tc>
          <w:tcPr>
            <w:tcW w:w="909" w:type="pct"/>
            <w:tcBorders>
              <w:top w:val="single" w:color="auto" w:sz="6" w:space="0"/>
              <w:left w:val="single" w:color="auto" w:sz="6" w:space="0"/>
              <w:bottom w:val="single" w:color="auto" w:sz="6" w:space="0"/>
              <w:right w:val="single" w:color="auto" w:sz="6" w:space="0"/>
            </w:tcBorders>
            <w:shd w:val="clear" w:color="auto" w:fill="FFFFFF"/>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未取得有效的《经营高危险性体育项目（游泳）经营许可证》或超范围经营。</w:t>
            </w:r>
          </w:p>
        </w:tc>
        <w:tc>
          <w:tcPr>
            <w:tcW w:w="1370" w:type="pct"/>
            <w:tcBorders>
              <w:top w:val="single" w:color="auto" w:sz="6" w:space="0"/>
              <w:left w:val="single" w:color="auto" w:sz="6" w:space="0"/>
              <w:bottom w:val="single" w:color="auto" w:sz="6" w:space="0"/>
              <w:right w:val="single" w:color="auto" w:sz="6" w:space="0"/>
            </w:tcBorders>
            <w:shd w:val="clear" w:color="auto" w:fill="FFFFFF"/>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napToGrid w:val="0"/>
                <w:color w:val="000000"/>
                <w:spacing w:val="0"/>
                <w:kern w:val="0"/>
                <w:sz w:val="20"/>
                <w:szCs w:val="20"/>
                <w:highlight w:val="none"/>
                <w:lang w:val="en-US" w:eastAsia="zh-CN" w:bidi="mn-Mong-CN"/>
              </w:rPr>
            </w:pPr>
            <w:r>
              <w:rPr>
                <w:rFonts w:hint="eastAsia" w:ascii="仿宋_GB2312" w:hAnsi="仿宋_GB2312" w:eastAsia="仿宋_GB2312" w:cs="仿宋_GB2312"/>
                <w:spacing w:val="0"/>
                <w:sz w:val="20"/>
                <w:szCs w:val="20"/>
                <w:highlight w:val="none"/>
                <w:shd w:val="clear" w:color="auto" w:fill="auto"/>
              </w:rPr>
              <w:t>企业、个体工商户经营高危险性体育项目的，应当在</w:t>
            </w:r>
            <w:r>
              <w:rPr>
                <w:rFonts w:hint="eastAsia" w:ascii="仿宋_GB2312" w:hAnsi="仿宋_GB2312" w:eastAsia="仿宋_GB2312" w:cs="仿宋_GB2312"/>
                <w:spacing w:val="0"/>
                <w:sz w:val="20"/>
                <w:szCs w:val="20"/>
                <w:highlight w:val="none"/>
                <w:shd w:val="clear" w:color="auto" w:fill="auto"/>
                <w:lang w:eastAsia="zh-CN"/>
              </w:rPr>
              <w:t>市场监督管理部门</w:t>
            </w:r>
            <w:r>
              <w:rPr>
                <w:rFonts w:hint="eastAsia" w:ascii="仿宋_GB2312" w:hAnsi="仿宋_GB2312" w:eastAsia="仿宋_GB2312" w:cs="仿宋_GB2312"/>
                <w:spacing w:val="0"/>
                <w:sz w:val="20"/>
                <w:szCs w:val="20"/>
                <w:highlight w:val="none"/>
                <w:shd w:val="clear" w:color="auto" w:fill="auto"/>
              </w:rPr>
              <w:t>依法办理相关登记手续后，向县级以上地方人民政府体育主管部门申请行政许可</w:t>
            </w:r>
            <w:r>
              <w:rPr>
                <w:rFonts w:hint="eastAsia" w:ascii="仿宋_GB2312" w:hAnsi="仿宋_GB2312" w:eastAsia="仿宋_GB2312" w:cs="仿宋_GB2312"/>
                <w:spacing w:val="0"/>
                <w:sz w:val="20"/>
                <w:szCs w:val="20"/>
                <w:highlight w:val="none"/>
                <w:shd w:val="clear" w:color="auto" w:fill="auto"/>
                <w:lang w:eastAsia="zh-CN"/>
              </w:rPr>
              <w:t>。</w:t>
            </w:r>
          </w:p>
        </w:tc>
        <w:tc>
          <w:tcPr>
            <w:tcW w:w="1325" w:type="pct"/>
            <w:tcBorders>
              <w:top w:val="single" w:color="auto" w:sz="6" w:space="0"/>
              <w:left w:val="single" w:color="auto" w:sz="6" w:space="0"/>
              <w:bottom w:val="single" w:color="auto" w:sz="6" w:space="0"/>
              <w:right w:val="single" w:color="auto" w:sz="6" w:space="0"/>
            </w:tcBorders>
            <w:shd w:val="clear" w:color="auto" w:fill="auto"/>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napToGrid w:val="0"/>
                <w:color w:val="000000"/>
                <w:spacing w:val="0"/>
                <w:kern w:val="0"/>
                <w:sz w:val="20"/>
                <w:szCs w:val="20"/>
                <w:highlight w:val="none"/>
                <w:lang w:val="en-US" w:eastAsia="zh-CN" w:bidi="mn-Mong-CN"/>
              </w:rPr>
            </w:pPr>
            <w:r>
              <w:rPr>
                <w:rFonts w:hint="eastAsia" w:ascii="仿宋_GB2312" w:hAnsi="仿宋_GB2312" w:eastAsia="仿宋_GB2312" w:cs="仿宋_GB2312"/>
                <w:snapToGrid w:val="0"/>
                <w:color w:val="000000"/>
                <w:spacing w:val="0"/>
                <w:kern w:val="0"/>
                <w:sz w:val="20"/>
                <w:szCs w:val="20"/>
                <w:highlight w:val="none"/>
              </w:rPr>
              <w:t>《经营高危险性体育项目许可管理办法》</w:t>
            </w:r>
            <w:r>
              <w:rPr>
                <w:rFonts w:hint="eastAsia" w:ascii="仿宋_GB2312" w:hAnsi="仿宋_GB2312" w:eastAsia="仿宋_GB2312" w:cs="仿宋_GB2312"/>
                <w:snapToGrid w:val="0"/>
                <w:color w:val="000000"/>
                <w:spacing w:val="0"/>
                <w:kern w:val="0"/>
                <w:sz w:val="20"/>
                <w:szCs w:val="20"/>
                <w:highlight w:val="none"/>
                <w:lang w:eastAsia="zh-CN"/>
              </w:rPr>
              <w:t>；</w:t>
            </w:r>
            <w:r>
              <w:rPr>
                <w:rFonts w:hint="eastAsia" w:ascii="仿宋_GB2312" w:hAnsi="仿宋_GB2312" w:eastAsia="仿宋_GB2312" w:cs="仿宋_GB2312"/>
                <w:snapToGrid w:val="0"/>
                <w:color w:val="000000"/>
                <w:spacing w:val="0"/>
                <w:kern w:val="0"/>
                <w:sz w:val="20"/>
                <w:szCs w:val="20"/>
                <w:highlight w:val="none"/>
                <w:lang w:val="en-US" w:eastAsia="zh-CN"/>
              </w:rPr>
              <w:t>《体育行业安全生产重大事故隐患判定标准（2025版）》第四条第一款</w:t>
            </w:r>
          </w:p>
        </w:tc>
        <w:tc>
          <w:tcPr>
            <w:tcW w:w="362" w:type="pct"/>
            <w:tcBorders>
              <w:top w:val="single" w:color="auto" w:sz="6" w:space="0"/>
              <w:left w:val="single" w:color="auto" w:sz="6" w:space="0"/>
              <w:bottom w:val="single" w:color="auto" w:sz="6" w:space="0"/>
              <w:right w:val="single" w:color="auto" w:sz="12" w:space="0"/>
            </w:tcBorders>
            <w:shd w:val="clear" w:color="auto" w:fill="FFFFFF"/>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宋体" w:hAnsi="宋体" w:eastAsia="宋体" w:cs="宋体"/>
                <w:spacing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shd w:val="clear" w:color="auto" w:fill="auto"/>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01.1.0</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rPr>
              <w:t>.002</w:t>
            </w:r>
          </w:p>
        </w:tc>
        <w:tc>
          <w:tcPr>
            <w:tcW w:w="275" w:type="pct"/>
            <w:vMerge w:val="continue"/>
            <w:tcBorders>
              <w:left w:val="single" w:color="auto" w:sz="6" w:space="0"/>
              <w:right w:val="single" w:color="auto" w:sz="6" w:space="0"/>
            </w:tcBorders>
            <w:shd w:val="clear" w:color="auto" w:fill="auto"/>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tcBorders>
              <w:top w:val="single" w:color="auto" w:sz="6" w:space="0"/>
              <w:left w:val="single" w:color="auto" w:sz="6" w:space="0"/>
              <w:bottom w:val="single" w:color="auto" w:sz="6" w:space="0"/>
              <w:right w:val="single" w:color="auto" w:sz="6" w:space="0"/>
            </w:tcBorders>
            <w:shd w:val="clear" w:color="auto" w:fill="auto"/>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机构及人员配备类</w:t>
            </w:r>
          </w:p>
        </w:tc>
        <w:tc>
          <w:tcPr>
            <w:tcW w:w="909" w:type="pct"/>
            <w:tcBorders>
              <w:top w:val="single" w:color="auto" w:sz="6" w:space="0"/>
              <w:left w:val="single" w:color="auto" w:sz="6" w:space="0"/>
              <w:bottom w:val="single" w:color="auto" w:sz="6" w:space="0"/>
              <w:right w:val="single" w:color="auto" w:sz="6" w:space="0"/>
            </w:tcBorders>
            <w:shd w:val="clear" w:color="auto" w:fill="auto"/>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0"/>
                <w:sz w:val="20"/>
                <w:szCs w:val="20"/>
                <w:highlight w:val="none"/>
              </w:rPr>
              <w:t>未设置安全生产管理机构或配备安全生产管理人员。</w:t>
            </w:r>
          </w:p>
        </w:tc>
        <w:tc>
          <w:tcPr>
            <w:tcW w:w="1370" w:type="pct"/>
            <w:tcBorders>
              <w:top w:val="single" w:color="auto" w:sz="6" w:space="0"/>
              <w:left w:val="single" w:color="auto" w:sz="6" w:space="0"/>
              <w:bottom w:val="single" w:color="auto" w:sz="6" w:space="0"/>
              <w:right w:val="single" w:color="auto" w:sz="6" w:space="0"/>
            </w:tcBorders>
            <w:shd w:val="clear" w:color="auto" w:fill="FFFFFF"/>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0"/>
                <w:sz w:val="20"/>
                <w:szCs w:val="20"/>
                <w:highlight w:val="none"/>
                <w:shd w:val="clear" w:color="auto" w:fill="auto"/>
              </w:rPr>
            </w:pPr>
            <w:r>
              <w:rPr>
                <w:rFonts w:hint="eastAsia" w:ascii="仿宋_GB2312" w:hAnsi="仿宋_GB2312" w:eastAsia="仿宋_GB2312" w:cs="仿宋_GB2312"/>
                <w:color w:val="000000"/>
                <w:spacing w:val="0"/>
                <w:kern w:val="0"/>
                <w:sz w:val="20"/>
                <w:szCs w:val="20"/>
                <w:highlight w:val="none"/>
                <w:shd w:val="clear" w:color="auto" w:fill="auto"/>
              </w:rPr>
              <w:t>（一）从业人员总数超过300人的，应当设置安全生产管理机构，按照不少于从业人员总数0.5%的比例配备专职安全生产管理人员，且最低不得少于3人；</w:t>
            </w:r>
          </w:p>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0"/>
                <w:sz w:val="20"/>
                <w:szCs w:val="20"/>
                <w:highlight w:val="none"/>
                <w:shd w:val="clear" w:color="auto" w:fill="auto"/>
              </w:rPr>
            </w:pPr>
            <w:r>
              <w:rPr>
                <w:rFonts w:hint="eastAsia" w:ascii="仿宋_GB2312" w:hAnsi="仿宋_GB2312" w:eastAsia="仿宋_GB2312" w:cs="仿宋_GB2312"/>
                <w:color w:val="000000"/>
                <w:spacing w:val="0"/>
                <w:kern w:val="0"/>
                <w:sz w:val="20"/>
                <w:szCs w:val="20"/>
                <w:highlight w:val="none"/>
                <w:shd w:val="clear" w:color="auto" w:fill="auto"/>
              </w:rPr>
              <w:t>（二）从业人员总数超过100人且在300人以下的，应当配备不少于2人的专职安全生产管理人员；</w:t>
            </w:r>
          </w:p>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0"/>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0"/>
                <w:sz w:val="20"/>
                <w:szCs w:val="20"/>
                <w:highlight w:val="none"/>
                <w:shd w:val="clear" w:color="auto" w:fill="auto"/>
              </w:rPr>
              <w:t>（三）从业人员总数在100人以下的，应当配备专职或者兼职安全生产管理人员，或者委托依法设立的安全生产技术、管理服务机构提供安全生产管理服务。</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napToGrid w:val="0"/>
                <w:color w:val="000000"/>
                <w:spacing w:val="0"/>
                <w:kern w:val="0"/>
                <w:sz w:val="20"/>
                <w:szCs w:val="20"/>
                <w:highlight w:val="none"/>
                <w:lang w:val="en-US" w:eastAsia="zh-CN" w:bidi="mn-Mong-CN"/>
              </w:rPr>
            </w:pPr>
            <w:r>
              <w:rPr>
                <w:rFonts w:hint="eastAsia" w:ascii="仿宋_GB2312" w:hAnsi="仿宋_GB2312" w:eastAsia="仿宋_GB2312" w:cs="仿宋_GB2312"/>
                <w:snapToGrid w:val="0"/>
                <w:color w:val="000000"/>
                <w:spacing w:val="0"/>
                <w:kern w:val="0"/>
                <w:sz w:val="20"/>
                <w:szCs w:val="20"/>
                <w:highlight w:val="none"/>
              </w:rPr>
              <w:t>《中华人民共和国安全生产法》</w:t>
            </w:r>
            <w:r>
              <w:rPr>
                <w:rFonts w:hint="eastAsia" w:ascii="仿宋_GB2312" w:hAnsi="仿宋_GB2312" w:eastAsia="仿宋_GB2312" w:cs="仿宋_GB2312"/>
                <w:snapToGrid w:val="0"/>
                <w:color w:val="000000"/>
                <w:spacing w:val="0"/>
                <w:kern w:val="0"/>
                <w:sz w:val="20"/>
                <w:szCs w:val="20"/>
                <w:highlight w:val="none"/>
                <w:lang w:val="en-US" w:eastAsia="zh-CN"/>
              </w:rPr>
              <w:t>第二十四条；</w:t>
            </w:r>
            <w:r>
              <w:rPr>
                <w:rFonts w:hint="eastAsia" w:ascii="仿宋_GB2312" w:hAnsi="仿宋_GB2312" w:eastAsia="仿宋_GB2312" w:cs="仿宋_GB2312"/>
                <w:snapToGrid w:val="0"/>
                <w:color w:val="000000"/>
                <w:spacing w:val="0"/>
                <w:kern w:val="0"/>
                <w:sz w:val="20"/>
                <w:szCs w:val="20"/>
                <w:highlight w:val="none"/>
              </w:rPr>
              <w:t>《北京市安全生产条例》第</w:t>
            </w:r>
            <w:r>
              <w:rPr>
                <w:rFonts w:hint="eastAsia" w:ascii="仿宋_GB2312" w:hAnsi="仿宋_GB2312" w:eastAsia="仿宋_GB2312" w:cs="仿宋_GB2312"/>
                <w:snapToGrid w:val="0"/>
                <w:color w:val="000000"/>
                <w:spacing w:val="0"/>
                <w:kern w:val="0"/>
                <w:sz w:val="20"/>
                <w:szCs w:val="20"/>
                <w:highlight w:val="none"/>
                <w:lang w:val="en-US" w:eastAsia="zh-CN"/>
              </w:rPr>
              <w:t>二十条；</w:t>
            </w:r>
            <w:r>
              <w:rPr>
                <w:rFonts w:hint="eastAsia" w:ascii="仿宋_GB2312" w:hAnsi="仿宋_GB2312" w:eastAsia="仿宋_GB2312" w:cs="仿宋_GB2312"/>
                <w:snapToGrid w:val="0"/>
                <w:color w:val="000000"/>
                <w:spacing w:val="0"/>
                <w:kern w:val="0"/>
                <w:sz w:val="20"/>
                <w:szCs w:val="20"/>
                <w:highlight w:val="none"/>
              </w:rPr>
              <w:t>《北京市生产经营单位安全生产主体责任规定》第</w:t>
            </w:r>
            <w:r>
              <w:rPr>
                <w:rFonts w:hint="eastAsia" w:ascii="仿宋_GB2312" w:hAnsi="仿宋_GB2312" w:eastAsia="仿宋_GB2312" w:cs="仿宋_GB2312"/>
                <w:snapToGrid w:val="0"/>
                <w:color w:val="000000"/>
                <w:spacing w:val="0"/>
                <w:kern w:val="0"/>
                <w:sz w:val="20"/>
                <w:szCs w:val="20"/>
                <w:highlight w:val="none"/>
                <w:lang w:val="en-US" w:eastAsia="zh-CN"/>
              </w:rPr>
              <w:t>十二</w:t>
            </w:r>
            <w:r>
              <w:rPr>
                <w:rFonts w:hint="eastAsia" w:ascii="仿宋_GB2312" w:hAnsi="仿宋_GB2312" w:eastAsia="仿宋_GB2312" w:cs="仿宋_GB2312"/>
                <w:snapToGrid w:val="0"/>
                <w:color w:val="000000"/>
                <w:spacing w:val="0"/>
                <w:kern w:val="0"/>
                <w:sz w:val="20"/>
                <w:szCs w:val="20"/>
                <w:highlight w:val="none"/>
              </w:rPr>
              <w:t>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01.1.0</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rPr>
              <w:t>.003</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restart"/>
            <w:tcBorders>
              <w:top w:val="single" w:color="auto" w:sz="6" w:space="0"/>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责任制类</w:t>
            </w: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未制定</w:t>
            </w:r>
            <w:r>
              <w:rPr>
                <w:rFonts w:hint="eastAsia" w:ascii="仿宋_GB2312" w:hAnsi="仿宋_GB2312" w:eastAsia="仿宋_GB2312" w:cs="仿宋_GB2312"/>
                <w:spacing w:val="0"/>
                <w:sz w:val="20"/>
                <w:szCs w:val="20"/>
                <w:highlight w:val="none"/>
                <w:lang w:val="en-US" w:eastAsia="zh-CN"/>
              </w:rPr>
              <w:t>安全生产责任制</w:t>
            </w:r>
            <w:r>
              <w:rPr>
                <w:rFonts w:hint="eastAsia" w:ascii="仿宋_GB2312" w:hAnsi="仿宋_GB2312" w:eastAsia="仿宋_GB2312" w:cs="仿宋_GB2312"/>
                <w:spacing w:val="0"/>
                <w:sz w:val="20"/>
                <w:szCs w:val="20"/>
                <w:highlight w:val="none"/>
              </w:rPr>
              <w:t>。</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shd w:val="clear" w:color="auto" w:fill="auto"/>
                <w:lang w:val="en-US" w:eastAsia="zh-CN"/>
              </w:rPr>
              <w:t>生产经营单位必须遵守安全生产法和其他有关安全生产的法律、法规，加强安全生产管理，建立健全全员安全生产责任制和安全生产规章制度。</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《中华人民共和国安全生产法》第四条、五条、二十一条；《北京市安全生产条例》第四条、十四条；《北京市生产经营单位安全生产主体责任规定》第三条、四条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01.1.0</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rPr>
              <w:t>.00</w:t>
            </w:r>
            <w:r>
              <w:rPr>
                <w:rFonts w:hint="eastAsia" w:ascii="仿宋_GB2312" w:hAnsi="仿宋_GB2312" w:eastAsia="仿宋_GB2312" w:cs="仿宋_GB2312"/>
                <w:spacing w:val="0"/>
                <w:sz w:val="20"/>
                <w:szCs w:val="20"/>
                <w:highlight w:val="none"/>
                <w:lang w:val="en-US" w:eastAsia="zh-CN"/>
              </w:rPr>
              <w:t>4</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安全生产责任制内容不全、不符合实际</w:t>
            </w:r>
            <w:r>
              <w:rPr>
                <w:rFonts w:hint="eastAsia" w:ascii="仿宋_GB2312" w:hAnsi="仿宋_GB2312" w:eastAsia="仿宋_GB2312" w:cs="仿宋_GB2312"/>
                <w:spacing w:val="0"/>
                <w:sz w:val="20"/>
                <w:szCs w:val="20"/>
                <w:highlight w:val="none"/>
              </w:rPr>
              <w:t>。</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pacing w:val="0"/>
                <w:sz w:val="20"/>
                <w:szCs w:val="20"/>
                <w:highlight w:val="none"/>
                <w:shd w:val="clear" w:color="auto" w:fill="auto"/>
              </w:rPr>
            </w:pPr>
            <w:r>
              <w:rPr>
                <w:rFonts w:hint="eastAsia" w:ascii="仿宋_GB2312" w:hAnsi="仿宋_GB2312" w:eastAsia="仿宋_GB2312" w:cs="仿宋_GB2312"/>
                <w:spacing w:val="0"/>
                <w:sz w:val="20"/>
                <w:szCs w:val="20"/>
                <w:highlight w:val="none"/>
                <w:shd w:val="clear" w:color="auto" w:fill="auto"/>
              </w:rPr>
              <w:t>生产经营单位的安全生产责任制应当明确主要负责人、其他负责人、各职能部门负责人、车间和班组负责人、其他从业人员等全体人员的安全生产责任范围和考核标准等内容。</w:t>
            </w:r>
          </w:p>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rPr>
              <w:t>生产经营单位应当每年对安全生产责任制落实情况进行考核，考核结果作为安全生产奖励和惩罚的依据</w:t>
            </w:r>
            <w:r>
              <w:rPr>
                <w:rFonts w:hint="eastAsia" w:ascii="仿宋_GB2312" w:hAnsi="仿宋_GB2312" w:eastAsia="仿宋_GB2312" w:cs="仿宋_GB2312"/>
                <w:spacing w:val="0"/>
                <w:sz w:val="20"/>
                <w:szCs w:val="20"/>
                <w:highlight w:val="none"/>
                <w:shd w:val="clear" w:color="auto" w:fill="auto"/>
                <w:lang w:eastAsia="zh-CN"/>
              </w:rPr>
              <w:t>。</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《中华人民共和国安全生产法》第四</w:t>
            </w:r>
            <w:r>
              <w:rPr>
                <w:rFonts w:hint="eastAsia" w:ascii="仿宋_GB2312" w:hAnsi="仿宋_GB2312" w:eastAsia="仿宋_GB2312" w:cs="仿宋_GB2312"/>
                <w:spacing w:val="0"/>
                <w:sz w:val="20"/>
                <w:szCs w:val="20"/>
                <w:highlight w:val="none"/>
                <w:lang w:val="en-US" w:eastAsia="zh-CN"/>
              </w:rPr>
              <w:t>条、五条、</w:t>
            </w:r>
            <w:r>
              <w:rPr>
                <w:rFonts w:hint="eastAsia" w:ascii="仿宋_GB2312" w:hAnsi="仿宋_GB2312" w:eastAsia="仿宋_GB2312" w:cs="仿宋_GB2312"/>
                <w:spacing w:val="0"/>
                <w:sz w:val="20"/>
                <w:szCs w:val="20"/>
                <w:highlight w:val="none"/>
              </w:rPr>
              <w:t>二十</w:t>
            </w:r>
            <w:r>
              <w:rPr>
                <w:rFonts w:hint="eastAsia" w:ascii="仿宋_GB2312" w:hAnsi="仿宋_GB2312" w:eastAsia="仿宋_GB2312" w:cs="仿宋_GB2312"/>
                <w:spacing w:val="0"/>
                <w:sz w:val="20"/>
                <w:szCs w:val="20"/>
                <w:highlight w:val="none"/>
                <w:lang w:val="en-US" w:eastAsia="zh-CN"/>
              </w:rPr>
              <w:t>一条、二十二条、二十五</w:t>
            </w:r>
            <w:r>
              <w:rPr>
                <w:rFonts w:hint="eastAsia" w:ascii="仿宋_GB2312" w:hAnsi="仿宋_GB2312" w:eastAsia="仿宋_GB2312" w:cs="仿宋_GB2312"/>
                <w:spacing w:val="0"/>
                <w:sz w:val="20"/>
                <w:szCs w:val="20"/>
                <w:highlight w:val="none"/>
              </w:rPr>
              <w:t>条；《北京市安全生产条例》</w:t>
            </w:r>
            <w:r>
              <w:rPr>
                <w:rFonts w:hint="eastAsia" w:ascii="仿宋_GB2312" w:hAnsi="仿宋_GB2312" w:eastAsia="仿宋_GB2312" w:cs="仿宋_GB2312"/>
                <w:spacing w:val="0"/>
                <w:sz w:val="20"/>
                <w:szCs w:val="20"/>
                <w:highlight w:val="none"/>
                <w:lang w:eastAsia="zh-CN"/>
              </w:rPr>
              <w:t>第四条</w:t>
            </w:r>
            <w:r>
              <w:rPr>
                <w:rFonts w:hint="eastAsia" w:ascii="仿宋_GB2312" w:hAnsi="仿宋_GB2312" w:eastAsia="仿宋_GB2312" w:cs="仿宋_GB2312"/>
                <w:spacing w:val="0"/>
                <w:sz w:val="20"/>
                <w:szCs w:val="20"/>
                <w:highlight w:val="none"/>
              </w:rPr>
              <w:t>、</w:t>
            </w:r>
            <w:r>
              <w:rPr>
                <w:rFonts w:hint="eastAsia" w:ascii="仿宋_GB2312" w:hAnsi="仿宋_GB2312" w:eastAsia="仿宋_GB2312" w:cs="仿宋_GB2312"/>
                <w:spacing w:val="0"/>
                <w:sz w:val="20"/>
                <w:szCs w:val="20"/>
                <w:highlight w:val="none"/>
                <w:lang w:val="en-US" w:eastAsia="zh-CN"/>
              </w:rPr>
              <w:t>十三条、十四条、</w:t>
            </w:r>
            <w:r>
              <w:rPr>
                <w:rFonts w:hint="eastAsia" w:ascii="仿宋_GB2312" w:hAnsi="仿宋_GB2312" w:eastAsia="仿宋_GB2312" w:cs="仿宋_GB2312"/>
                <w:spacing w:val="0"/>
                <w:sz w:val="20"/>
                <w:szCs w:val="20"/>
                <w:highlight w:val="none"/>
              </w:rPr>
              <w:t>十六</w:t>
            </w:r>
            <w:r>
              <w:rPr>
                <w:rFonts w:hint="eastAsia" w:ascii="仿宋_GB2312" w:hAnsi="仿宋_GB2312" w:eastAsia="仿宋_GB2312" w:cs="仿宋_GB2312"/>
                <w:spacing w:val="0"/>
                <w:sz w:val="20"/>
                <w:szCs w:val="20"/>
                <w:highlight w:val="none"/>
                <w:lang w:val="en-US" w:eastAsia="zh-CN"/>
              </w:rPr>
              <w:t>条</w:t>
            </w:r>
            <w:r>
              <w:rPr>
                <w:rFonts w:hint="eastAsia" w:ascii="仿宋_GB2312" w:hAnsi="仿宋_GB2312" w:eastAsia="仿宋_GB2312" w:cs="仿宋_GB2312"/>
                <w:spacing w:val="0"/>
                <w:sz w:val="20"/>
                <w:szCs w:val="20"/>
                <w:highlight w:val="none"/>
              </w:rPr>
              <w:t>；《北京市生产经营单位安全生产主体责任规定》</w:t>
            </w:r>
            <w:r>
              <w:rPr>
                <w:rFonts w:hint="eastAsia" w:ascii="仿宋_GB2312" w:hAnsi="仿宋_GB2312" w:eastAsia="仿宋_GB2312" w:cs="仿宋_GB2312"/>
                <w:spacing w:val="0"/>
                <w:sz w:val="20"/>
                <w:szCs w:val="20"/>
                <w:highlight w:val="none"/>
                <w:lang w:eastAsia="zh-CN"/>
              </w:rPr>
              <w:t>第三条</w:t>
            </w:r>
            <w:r>
              <w:rPr>
                <w:rFonts w:hint="eastAsia" w:ascii="仿宋_GB2312" w:hAnsi="仿宋_GB2312" w:eastAsia="仿宋_GB2312" w:cs="仿宋_GB2312"/>
                <w:spacing w:val="0"/>
                <w:sz w:val="20"/>
                <w:szCs w:val="20"/>
                <w:highlight w:val="none"/>
              </w:rPr>
              <w:t>、</w:t>
            </w:r>
            <w:r>
              <w:rPr>
                <w:rFonts w:hint="eastAsia" w:ascii="仿宋_GB2312" w:hAnsi="仿宋_GB2312" w:eastAsia="仿宋_GB2312" w:cs="仿宋_GB2312"/>
                <w:spacing w:val="0"/>
                <w:sz w:val="20"/>
                <w:szCs w:val="20"/>
                <w:highlight w:val="none"/>
                <w:lang w:val="en-US" w:eastAsia="zh-CN"/>
              </w:rPr>
              <w:t>四条、五条、</w:t>
            </w:r>
            <w:r>
              <w:rPr>
                <w:rFonts w:hint="eastAsia" w:ascii="仿宋_GB2312" w:hAnsi="仿宋_GB2312" w:eastAsia="仿宋_GB2312" w:cs="仿宋_GB2312"/>
                <w:spacing w:val="0"/>
                <w:sz w:val="20"/>
                <w:szCs w:val="20"/>
                <w:highlight w:val="none"/>
              </w:rPr>
              <w:t>六条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01.1.0</w:t>
            </w:r>
            <w:r>
              <w:rPr>
                <w:rFonts w:hint="eastAsia" w:ascii="仿宋_GB2312" w:hAnsi="仿宋_GB2312" w:eastAsia="仿宋_GB2312" w:cs="仿宋_GB2312"/>
                <w:spacing w:val="0"/>
                <w:sz w:val="20"/>
                <w:szCs w:val="20"/>
                <w:highlight w:val="none"/>
                <w:lang w:val="en-US" w:eastAsia="zh-CN"/>
              </w:rPr>
              <w:t>4</w:t>
            </w:r>
            <w:r>
              <w:rPr>
                <w:rFonts w:hint="eastAsia" w:ascii="仿宋_GB2312" w:hAnsi="仿宋_GB2312" w:eastAsia="仿宋_GB2312" w:cs="仿宋_GB2312"/>
                <w:spacing w:val="0"/>
                <w:sz w:val="20"/>
                <w:szCs w:val="20"/>
                <w:highlight w:val="none"/>
              </w:rPr>
              <w:t>.00</w:t>
            </w:r>
            <w:r>
              <w:rPr>
                <w:rFonts w:hint="eastAsia" w:ascii="仿宋_GB2312" w:hAnsi="仿宋_GB2312" w:eastAsia="仿宋_GB2312" w:cs="仿宋_GB2312"/>
                <w:spacing w:val="0"/>
                <w:sz w:val="20"/>
                <w:szCs w:val="20"/>
                <w:highlight w:val="none"/>
                <w:lang w:val="en-US" w:eastAsia="zh-CN"/>
              </w:rPr>
              <w:t>5</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制度类</w:t>
            </w: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未制定相关安全生产规章制度。</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应当组织制定下列安全生产规章制度：</w:t>
            </w:r>
          </w:p>
          <w:p>
            <w:pPr>
              <w:pStyle w:val="12"/>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（一）安全生产教育和培训制度；</w:t>
            </w:r>
          </w:p>
          <w:p>
            <w:pPr>
              <w:pStyle w:val="12"/>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（二）安全生产检查制度；</w:t>
            </w:r>
          </w:p>
          <w:p>
            <w:pPr>
              <w:pStyle w:val="12"/>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（三）生产安全事故隐患排查和治理制度；</w:t>
            </w:r>
          </w:p>
          <w:p>
            <w:pPr>
              <w:pStyle w:val="12"/>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（四）具有较大危险因素的生产经营场所、设备和设施的安全管理制度；</w:t>
            </w:r>
          </w:p>
          <w:p>
            <w:pPr>
              <w:pStyle w:val="12"/>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（五）安全生产资金投入或者安全生产费用提取、使用和管理制度；</w:t>
            </w:r>
          </w:p>
          <w:p>
            <w:pPr>
              <w:pStyle w:val="12"/>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（六）危险作业管理制度；</w:t>
            </w:r>
          </w:p>
          <w:p>
            <w:pPr>
              <w:pStyle w:val="12"/>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（七）特种作业人员管理制度；</w:t>
            </w:r>
          </w:p>
          <w:p>
            <w:pPr>
              <w:pStyle w:val="12"/>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（八）劳动防护用品配备和使用制度；</w:t>
            </w:r>
          </w:p>
          <w:p>
            <w:pPr>
              <w:pStyle w:val="12"/>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（九）安全生产奖励和惩罚制度；</w:t>
            </w:r>
          </w:p>
          <w:p>
            <w:pPr>
              <w:pStyle w:val="12"/>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（十）生产安全事故报告和调查处理制度；</w:t>
            </w:r>
          </w:p>
          <w:p>
            <w:pPr>
              <w:pStyle w:val="12"/>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（十一）法律、法规、规章规定的其他安全生产制度。</w:t>
            </w:r>
          </w:p>
          <w:p>
            <w:pPr>
              <w:pStyle w:val="12"/>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color w:val="000000"/>
                <w:spacing w:val="0"/>
                <w:kern w:val="0"/>
                <w:sz w:val="20"/>
                <w:szCs w:val="20"/>
                <w:highlight w:val="none"/>
                <w:lang w:val="en-US" w:eastAsia="zh-CN" w:bidi="mn-Mong-CN"/>
              </w:rPr>
            </w:pPr>
            <w:r>
              <w:rPr>
                <w:rFonts w:hint="eastAsia" w:ascii="仿宋_GB2312" w:hAnsi="仿宋_GB2312" w:eastAsia="仿宋_GB2312" w:cs="仿宋_GB2312"/>
                <w:snapToGrid w:val="0"/>
                <w:spacing w:val="0"/>
                <w:kern w:val="0"/>
                <w:sz w:val="20"/>
                <w:szCs w:val="20"/>
                <w:highlight w:val="none"/>
                <w:lang w:val="en-US" w:eastAsia="zh-CN"/>
              </w:rPr>
              <w:t>小型、微型企业等规模较小的生产经营单位，根据本单位实际，可以制定综合性的安全生产规章制度。从事危险作业或者生产经营场所、设备和设施存在较大危险因素的，生产经营单位还应当制定专项管理制度。</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color w:val="000000"/>
                <w:spacing w:val="0"/>
                <w:kern w:val="0"/>
                <w:sz w:val="20"/>
                <w:szCs w:val="20"/>
                <w:highlight w:val="none"/>
                <w:lang w:val="en-US" w:eastAsia="zh-CN" w:bidi="mn-Mong-CN"/>
              </w:rPr>
            </w:pPr>
            <w:r>
              <w:rPr>
                <w:rFonts w:hint="eastAsia" w:ascii="仿宋_GB2312" w:hAnsi="仿宋_GB2312" w:eastAsia="仿宋_GB2312" w:cs="仿宋_GB2312"/>
                <w:snapToGrid w:val="0"/>
                <w:spacing w:val="0"/>
                <w:kern w:val="0"/>
                <w:sz w:val="20"/>
                <w:szCs w:val="20"/>
                <w:highlight w:val="none"/>
                <w:lang w:val="en-US" w:eastAsia="zh-CN"/>
              </w:rPr>
              <w:t>《中华人民共和国安全生产法》第四条；《北京市安全生产条例》第十五条；《北京市生产经营单位安全生产主体责任规定》第七条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01.1.0</w:t>
            </w:r>
            <w:r>
              <w:rPr>
                <w:rFonts w:hint="eastAsia" w:ascii="仿宋_GB2312" w:hAnsi="仿宋_GB2312" w:eastAsia="仿宋_GB2312" w:cs="仿宋_GB2312"/>
                <w:spacing w:val="0"/>
                <w:sz w:val="20"/>
                <w:szCs w:val="20"/>
                <w:highlight w:val="none"/>
                <w:lang w:val="en-US" w:eastAsia="zh-CN"/>
              </w:rPr>
              <w:t>5</w:t>
            </w:r>
            <w:r>
              <w:rPr>
                <w:rFonts w:hint="eastAsia" w:ascii="仿宋_GB2312" w:hAnsi="仿宋_GB2312" w:eastAsia="仿宋_GB2312" w:cs="仿宋_GB2312"/>
                <w:spacing w:val="0"/>
                <w:sz w:val="20"/>
                <w:szCs w:val="20"/>
                <w:highlight w:val="none"/>
              </w:rPr>
              <w:t>.00</w:t>
            </w:r>
            <w:r>
              <w:rPr>
                <w:rFonts w:hint="eastAsia" w:ascii="仿宋_GB2312" w:hAnsi="仿宋_GB2312" w:eastAsia="仿宋_GB2312" w:cs="仿宋_GB2312"/>
                <w:spacing w:val="0"/>
                <w:sz w:val="20"/>
                <w:szCs w:val="20"/>
                <w:highlight w:val="none"/>
                <w:lang w:val="en-US" w:eastAsia="zh-CN"/>
              </w:rPr>
              <w:t>6</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sz w:val="20"/>
                <w:szCs w:val="20"/>
                <w:highlight w:val="none"/>
              </w:rPr>
            </w:pPr>
            <w:r>
              <w:rPr>
                <w:rFonts w:hint="eastAsia" w:ascii="仿宋_GB2312" w:hAnsi="仿宋_GB2312" w:eastAsia="仿宋_GB2312" w:cs="仿宋_GB2312"/>
                <w:spacing w:val="0"/>
                <w:sz w:val="20"/>
                <w:szCs w:val="20"/>
                <w:highlight w:val="none"/>
              </w:rPr>
              <w:t>操作规程类</w:t>
            </w: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未制定相关岗位的安全操作规程。</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应当依照法律、法规、规章和国家标准、行业标准，结合工艺流程、技术设备特点以及原辅料危险性等情况，制定安全操作规程。</w:t>
            </w:r>
          </w:p>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安全操作规程应当覆盖本单位生产经营活动的全过程。</w:t>
            </w:r>
          </w:p>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napToGrid w:val="0"/>
                <w:spacing w:val="0"/>
                <w:kern w:val="0"/>
                <w:sz w:val="20"/>
                <w:szCs w:val="20"/>
                <w:highlight w:val="none"/>
                <w:lang w:val="en-US" w:eastAsia="zh-CN"/>
              </w:rPr>
              <w:t>安全操作规程应当明确安全操作要求、作业环境要求、作业防护要求、禁止事项、紧急情况现场处置措施等内容。</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《中华人民共和国安全生产法》第二十一条；《北京市生产经营单位安全生产主体责任规定》第八条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01.1.0</w:t>
            </w:r>
            <w:r>
              <w:rPr>
                <w:rFonts w:hint="eastAsia" w:ascii="仿宋_GB2312" w:hAnsi="仿宋_GB2312" w:eastAsia="仿宋_GB2312" w:cs="仿宋_GB2312"/>
                <w:spacing w:val="0"/>
                <w:sz w:val="20"/>
                <w:szCs w:val="20"/>
                <w:highlight w:val="none"/>
                <w:lang w:val="en-US" w:eastAsia="zh-CN"/>
              </w:rPr>
              <w:t>6</w:t>
            </w:r>
            <w:r>
              <w:rPr>
                <w:rFonts w:hint="eastAsia" w:ascii="仿宋_GB2312" w:hAnsi="仿宋_GB2312" w:eastAsia="仿宋_GB2312" w:cs="仿宋_GB2312"/>
                <w:spacing w:val="0"/>
                <w:sz w:val="20"/>
                <w:szCs w:val="20"/>
                <w:highlight w:val="none"/>
              </w:rPr>
              <w:t>.00</w:t>
            </w:r>
            <w:r>
              <w:rPr>
                <w:rFonts w:hint="eastAsia" w:ascii="仿宋_GB2312" w:hAnsi="仿宋_GB2312" w:eastAsia="仿宋_GB2312" w:cs="仿宋_GB2312"/>
                <w:spacing w:val="0"/>
                <w:sz w:val="20"/>
                <w:szCs w:val="20"/>
                <w:highlight w:val="none"/>
                <w:lang w:val="en-US" w:eastAsia="zh-CN"/>
              </w:rPr>
              <w:t>7</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风险辨识类</w:t>
            </w: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未开展安全风险分级管控工作，对安全风险进行有效管控。</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应按照下列规定开展安全风险分级管控：</w:t>
            </w:r>
          </w:p>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（一）根据本单位生产经营活动的特点，制定安全风险辨识程序和方法，全面开展安全风险辨识和评估；</w:t>
            </w:r>
          </w:p>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（二）对辨识出的安全风险进行分类梳理，确定安全风险等级；</w:t>
            </w:r>
          </w:p>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highlight w:val="none"/>
                <w:lang w:val="en-US" w:eastAsia="zh-CN"/>
              </w:rPr>
            </w:pPr>
            <w:r>
              <w:rPr>
                <w:rFonts w:hint="eastAsia" w:ascii="仿宋_GB2312" w:hAnsi="仿宋_GB2312" w:eastAsia="仿宋_GB2312" w:cs="仿宋_GB2312"/>
                <w:snapToGrid w:val="0"/>
                <w:spacing w:val="0"/>
                <w:kern w:val="0"/>
                <w:sz w:val="20"/>
                <w:szCs w:val="20"/>
                <w:highlight w:val="none"/>
                <w:lang w:val="en-US" w:eastAsia="zh-CN"/>
              </w:rPr>
              <w:t>（三）从制度、技术、应急等方面，对安全风险进行有效管控；</w:t>
            </w:r>
          </w:p>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napToGrid w:val="0"/>
                <w:spacing w:val="0"/>
                <w:kern w:val="0"/>
                <w:sz w:val="20"/>
                <w:szCs w:val="20"/>
                <w:highlight w:val="none"/>
                <w:lang w:val="en-US" w:eastAsia="zh-CN"/>
              </w:rPr>
              <w:t>（四）建立安全风险公告制度，告知从业人员安全风险基本情况和防范措施。</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《生产安全事故应急预案管理办法》第十条；《北京市安全生产条例》第二十七条；《北京市生产经营单位安全生产主体责任规定》第二十九条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01.1.0</w:t>
            </w:r>
            <w:r>
              <w:rPr>
                <w:rFonts w:hint="eastAsia" w:ascii="仿宋_GB2312" w:hAnsi="仿宋_GB2312" w:eastAsia="仿宋_GB2312" w:cs="仿宋_GB2312"/>
                <w:spacing w:val="0"/>
                <w:sz w:val="20"/>
                <w:szCs w:val="20"/>
                <w:highlight w:val="none"/>
                <w:lang w:val="en-US" w:eastAsia="zh-CN"/>
              </w:rPr>
              <w:t>7</w:t>
            </w:r>
            <w:r>
              <w:rPr>
                <w:rFonts w:hint="eastAsia" w:ascii="仿宋_GB2312" w:hAnsi="仿宋_GB2312" w:eastAsia="仿宋_GB2312" w:cs="仿宋_GB2312"/>
                <w:spacing w:val="0"/>
                <w:sz w:val="20"/>
                <w:szCs w:val="20"/>
                <w:highlight w:val="none"/>
              </w:rPr>
              <w:t>.00</w:t>
            </w:r>
            <w:r>
              <w:rPr>
                <w:rFonts w:hint="eastAsia" w:ascii="仿宋_GB2312" w:hAnsi="仿宋_GB2312" w:eastAsia="仿宋_GB2312" w:cs="仿宋_GB2312"/>
                <w:spacing w:val="0"/>
                <w:sz w:val="20"/>
                <w:szCs w:val="20"/>
                <w:highlight w:val="none"/>
                <w:lang w:val="en-US" w:eastAsia="zh-CN"/>
              </w:rPr>
              <w:t>8</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隐患排查类</w:t>
            </w: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color w:val="000000"/>
                <w:spacing w:val="0"/>
                <w:kern w:val="0"/>
                <w:sz w:val="20"/>
                <w:szCs w:val="20"/>
                <w:highlight w:val="none"/>
                <w:lang w:bidi="ar"/>
              </w:rPr>
              <w:t>未开展生产安全事故隐患排查治理工作，及时发现并消除事故隐患，并如实记录。</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按照国家和本市有关规定开展生产安全事故隐患排查治理</w:t>
            </w:r>
            <w:r>
              <w:rPr>
                <w:rFonts w:hint="eastAsia" w:ascii="仿宋_GB2312" w:hAnsi="仿宋_GB2312" w:eastAsia="仿宋_GB2312" w:cs="仿宋_GB2312"/>
                <w:spacing w:val="0"/>
                <w:sz w:val="20"/>
                <w:szCs w:val="20"/>
                <w:highlight w:val="none"/>
                <w:lang w:eastAsia="zh-CN"/>
              </w:rPr>
              <w:t>，制定并落实防范和应急措施</w:t>
            </w:r>
            <w:r>
              <w:rPr>
                <w:rFonts w:hint="eastAsia" w:ascii="仿宋_GB2312" w:hAnsi="仿宋_GB2312" w:eastAsia="仿宋_GB2312" w:cs="仿宋_GB2312"/>
                <w:spacing w:val="0"/>
                <w:sz w:val="20"/>
                <w:szCs w:val="20"/>
                <w:highlight w:val="none"/>
              </w:rPr>
              <w:t>。</w:t>
            </w:r>
          </w:p>
          <w:p>
            <w:pPr>
              <w:pStyle w:val="12"/>
              <w:keepNext w:val="0"/>
              <w:keepLines w:val="0"/>
              <w:pageBreakBefore w:val="0"/>
              <w:kinsoku/>
              <w:wordWrap/>
              <w:overflowPunct/>
              <w:topLinePunct w:val="0"/>
              <w:autoSpaceDE/>
              <w:autoSpaceDN/>
              <w:bidi w:val="0"/>
              <w:spacing w:line="300" w:lineRule="exact"/>
              <w:ind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应在每日营业开始前和结束后，对营业区域进行全面安全检查；营业期间每2小时至少进行1次安全巡查。</w:t>
            </w:r>
          </w:p>
          <w:p>
            <w:pPr>
              <w:pStyle w:val="12"/>
              <w:keepNext w:val="0"/>
              <w:keepLines w:val="0"/>
              <w:pageBreakBefore w:val="0"/>
              <w:kinsoku/>
              <w:wordWrap/>
              <w:overflowPunct/>
              <w:topLinePunct w:val="0"/>
              <w:autoSpaceDE/>
              <w:autoSpaceDN/>
              <w:bidi w:val="0"/>
              <w:spacing w:line="300" w:lineRule="exact"/>
              <w:ind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检查和巡查应当做好记录。</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snapToGrid w:val="0"/>
              <w:spacing w:line="300" w:lineRule="exact"/>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bidi="ar"/>
              </w:rPr>
              <w:t>《中华人民共和国安全生产法》第四十一条</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bidi="ar"/>
              </w:rPr>
              <w:t>《北京市生产经营单位安全生产主体责任规定》第二十九条</w:t>
            </w:r>
            <w:r>
              <w:rPr>
                <w:rFonts w:hint="eastAsia" w:ascii="仿宋_GB2312" w:hAnsi="仿宋_GB2312" w:eastAsia="仿宋_GB2312" w:cs="仿宋_GB2312"/>
                <w:color w:val="000000"/>
                <w:spacing w:val="0"/>
                <w:kern w:val="0"/>
                <w:sz w:val="20"/>
                <w:szCs w:val="20"/>
                <w:highlight w:val="none"/>
                <w:lang w:eastAsia="zh-CN" w:bidi="ar"/>
              </w:rPr>
              <w:t>；《北京市体育运动项目经营单位安全生产规定》</w:t>
            </w:r>
            <w:r>
              <w:rPr>
                <w:rFonts w:hint="eastAsia" w:ascii="仿宋_GB2312" w:hAnsi="仿宋_GB2312" w:eastAsia="仿宋_GB2312" w:cs="仿宋_GB2312"/>
                <w:color w:val="000000"/>
                <w:spacing w:val="0"/>
                <w:kern w:val="0"/>
                <w:sz w:val="20"/>
                <w:szCs w:val="20"/>
                <w:highlight w:val="none"/>
                <w:lang w:val="en-US" w:eastAsia="zh-CN" w:bidi="ar"/>
              </w:rPr>
              <w:t>第十一条、十二条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01.1.0</w:t>
            </w:r>
            <w:r>
              <w:rPr>
                <w:rFonts w:hint="eastAsia" w:ascii="仿宋_GB2312" w:hAnsi="仿宋_GB2312" w:eastAsia="仿宋_GB2312" w:cs="仿宋_GB2312"/>
                <w:spacing w:val="0"/>
                <w:sz w:val="20"/>
                <w:szCs w:val="20"/>
                <w:highlight w:val="none"/>
                <w:lang w:val="en-US" w:eastAsia="zh-CN"/>
              </w:rPr>
              <w:t>8</w:t>
            </w:r>
            <w:r>
              <w:rPr>
                <w:rFonts w:hint="eastAsia" w:ascii="仿宋_GB2312" w:hAnsi="仿宋_GB2312" w:eastAsia="仿宋_GB2312" w:cs="仿宋_GB2312"/>
                <w:spacing w:val="0"/>
                <w:sz w:val="20"/>
                <w:szCs w:val="20"/>
                <w:highlight w:val="none"/>
              </w:rPr>
              <w:t>.00</w:t>
            </w:r>
            <w:r>
              <w:rPr>
                <w:rFonts w:hint="eastAsia" w:ascii="仿宋_GB2312" w:hAnsi="仿宋_GB2312" w:eastAsia="仿宋_GB2312" w:cs="仿宋_GB2312"/>
                <w:spacing w:val="0"/>
                <w:sz w:val="20"/>
                <w:szCs w:val="20"/>
                <w:highlight w:val="none"/>
                <w:lang w:val="en-US" w:eastAsia="zh-CN"/>
              </w:rPr>
              <w:t>9</w:t>
            </w:r>
          </w:p>
        </w:tc>
        <w:tc>
          <w:tcPr>
            <w:tcW w:w="275" w:type="pct"/>
            <w:vMerge w:val="continue"/>
            <w:tcBorders>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77" w:type="pct"/>
            <w:vMerge w:val="restart"/>
            <w:tcBorders>
              <w:top w:val="single" w:color="auto" w:sz="6" w:space="0"/>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应急救援类</w:t>
            </w: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未按要求编制应急救援预案。</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应根据有关法律、法规、规章和相关标准，结合本单位组织管理体系、生产规模和可能发生的事故特点，与相关预案保持衔接，确立本单位的应急预案体系，编制相应的应急预案，并体现自救互救和先期处置等特点。</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《中华人民共和国安全生产法》第</w:t>
            </w:r>
            <w:r>
              <w:rPr>
                <w:rFonts w:hint="eastAsia" w:ascii="仿宋_GB2312" w:hAnsi="仿宋_GB2312" w:eastAsia="仿宋_GB2312" w:cs="仿宋_GB2312"/>
                <w:spacing w:val="0"/>
                <w:sz w:val="20"/>
                <w:szCs w:val="20"/>
                <w:highlight w:val="none"/>
                <w:lang w:val="en-US" w:eastAsia="zh-CN"/>
              </w:rPr>
              <w:t>八十一</w:t>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《生产安全事故应急条例》第七条；《生产安全事故应急预案管理办法》第</w:t>
            </w:r>
            <w:r>
              <w:rPr>
                <w:rFonts w:hint="eastAsia" w:ascii="仿宋_GB2312" w:hAnsi="仿宋_GB2312" w:eastAsia="仿宋_GB2312" w:cs="仿宋_GB2312"/>
                <w:spacing w:val="0"/>
                <w:sz w:val="20"/>
                <w:szCs w:val="20"/>
                <w:highlight w:val="none"/>
                <w:lang w:val="en-US" w:eastAsia="zh-CN"/>
              </w:rPr>
              <w:t>十二</w:t>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《北京市安全生产条例》第</w:t>
            </w:r>
            <w:r>
              <w:rPr>
                <w:rFonts w:hint="eastAsia" w:ascii="仿宋_GB2312" w:hAnsi="仿宋_GB2312" w:eastAsia="仿宋_GB2312" w:cs="仿宋_GB2312"/>
                <w:spacing w:val="0"/>
                <w:sz w:val="20"/>
                <w:szCs w:val="20"/>
                <w:highlight w:val="none"/>
                <w:lang w:val="en-US" w:eastAsia="zh-CN"/>
              </w:rPr>
              <w:t>五十五</w:t>
            </w:r>
            <w:r>
              <w:rPr>
                <w:rFonts w:hint="eastAsia" w:ascii="仿宋_GB2312" w:hAnsi="仿宋_GB2312" w:eastAsia="仿宋_GB2312" w:cs="仿宋_GB2312"/>
                <w:spacing w:val="0"/>
                <w:sz w:val="20"/>
                <w:szCs w:val="20"/>
                <w:highlight w:val="none"/>
              </w:rPr>
              <w:t>条；《北京市生产经营单位安全生产主体责任规定》第三十条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01.1.0</w:t>
            </w:r>
            <w:r>
              <w:rPr>
                <w:rFonts w:hint="eastAsia" w:ascii="仿宋_GB2312" w:hAnsi="仿宋_GB2312" w:eastAsia="仿宋_GB2312" w:cs="仿宋_GB2312"/>
                <w:spacing w:val="0"/>
                <w:sz w:val="20"/>
                <w:szCs w:val="20"/>
                <w:highlight w:val="none"/>
                <w:lang w:val="en-US" w:eastAsia="zh-CN"/>
              </w:rPr>
              <w:t>8</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10</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编制应急预案前，未进行事故风险评估和应急资源调查。</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编制应急预案前，应进行事故风险辨识、评估和应急资源调查。</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《生产安全事故应急预案管理办法》第十条第一款</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01.1.0</w:t>
            </w:r>
            <w:r>
              <w:rPr>
                <w:rFonts w:hint="eastAsia" w:ascii="仿宋_GB2312" w:hAnsi="仿宋_GB2312" w:eastAsia="仿宋_GB2312" w:cs="仿宋_GB2312"/>
                <w:spacing w:val="0"/>
                <w:sz w:val="20"/>
                <w:szCs w:val="20"/>
                <w:highlight w:val="none"/>
                <w:lang w:val="en-US" w:eastAsia="zh-CN"/>
              </w:rPr>
              <w:t>8</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11</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未按规定组织应急演练。</w:t>
            </w:r>
          </w:p>
        </w:tc>
        <w:tc>
          <w:tcPr>
            <w:tcW w:w="4134"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spacing w:line="280" w:lineRule="exact"/>
              <w:ind w:left="84" w:leftChars="40" w:right="84" w:rightChars="40" w:firstLine="0" w:firstLineChars="0"/>
              <w:textAlignment w:val="auto"/>
              <w:rPr>
                <w:rFonts w:hint="eastAsia" w:ascii="仿宋_GB2312" w:hAnsi="仿宋_GB2312" w:eastAsia="仿宋_GB2312" w:cs="仿宋_GB2312"/>
                <w:spacing w:val="0"/>
                <w:sz w:val="20"/>
                <w:szCs w:val="20"/>
                <w:highlight w:val="none"/>
                <w:shd w:val="clear" w:color="auto" w:fill="auto"/>
                <w:lang w:eastAsia="zh-CN"/>
              </w:rPr>
            </w:pPr>
            <w:r>
              <w:rPr>
                <w:rFonts w:hint="eastAsia" w:ascii="仿宋_GB2312" w:hAnsi="仿宋_GB2312" w:eastAsia="仿宋_GB2312" w:cs="仿宋_GB2312"/>
                <w:spacing w:val="0"/>
                <w:sz w:val="20"/>
                <w:szCs w:val="20"/>
                <w:highlight w:val="none"/>
                <w:shd w:val="clear" w:color="auto" w:fill="auto"/>
                <w:lang w:eastAsia="zh-CN"/>
              </w:rPr>
              <w:t>体育运动项目经营单位应当制定本单位的应急预案演练计划，应急救援预案应当每半年至少演练1次，并做好记录。</w:t>
            </w:r>
          </w:p>
          <w:p>
            <w:pPr>
              <w:pStyle w:val="12"/>
              <w:keepNext w:val="0"/>
              <w:keepLines w:val="0"/>
              <w:pageBreakBefore w:val="0"/>
              <w:kinsoku/>
              <w:wordWrap/>
              <w:overflowPunct/>
              <w:topLinePunct w:val="0"/>
              <w:autoSpaceDE/>
              <w:autoSpaceDN/>
              <w:bidi w:val="0"/>
              <w:adjustRightInd/>
              <w:spacing w:line="28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lang w:eastAsia="zh-CN"/>
              </w:rPr>
              <w:t>应急预案演练结束后，应急预案演练组织单位应当对应急预案演练效果进行评估，撰写应急预案演练评估报告，分析存在的问题，并对应急预案提出修订意见。</w:t>
            </w:r>
          </w:p>
        </w:tc>
        <w:tc>
          <w:tcPr>
            <w:tcW w:w="3998"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left="84" w:leftChars="40" w:right="84" w:rightChars="40"/>
              <w:jc w:val="left"/>
              <w:textAlignment w:val="auto"/>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bidi="ar"/>
              </w:rPr>
              <w:t>《中华人民共和国安全生产法》第八十一条</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bidi="ar"/>
              </w:rPr>
              <w:t>《生产安全事故应急预案管理办法》</w:t>
            </w:r>
            <w:r>
              <w:rPr>
                <w:rFonts w:hint="eastAsia" w:ascii="仿宋_GB2312" w:hAnsi="仿宋_GB2312" w:eastAsia="仿宋_GB2312" w:cs="仿宋_GB2312"/>
                <w:color w:val="000000"/>
                <w:spacing w:val="0"/>
                <w:kern w:val="0"/>
                <w:sz w:val="20"/>
                <w:szCs w:val="20"/>
                <w:highlight w:val="none"/>
                <w:lang w:eastAsia="zh-CN" w:bidi="ar"/>
              </w:rPr>
              <w:t>第三十三条、三十四条；</w:t>
            </w:r>
            <w:r>
              <w:rPr>
                <w:rFonts w:hint="eastAsia" w:ascii="仿宋_GB2312" w:hAnsi="仿宋_GB2312" w:eastAsia="仿宋_GB2312" w:cs="仿宋_GB2312"/>
                <w:color w:val="000000"/>
                <w:spacing w:val="0"/>
                <w:kern w:val="0"/>
                <w:sz w:val="20"/>
                <w:szCs w:val="20"/>
                <w:highlight w:val="none"/>
                <w:lang w:bidi="ar"/>
              </w:rPr>
              <w:t>《北京市安全生产条例》第五十五条</w:t>
            </w:r>
            <w:r>
              <w:rPr>
                <w:rFonts w:hint="eastAsia" w:ascii="仿宋_GB2312" w:hAnsi="仿宋_GB2312" w:eastAsia="仿宋_GB2312" w:cs="仿宋_GB2312"/>
                <w:color w:val="000000"/>
                <w:spacing w:val="0"/>
                <w:kern w:val="0"/>
                <w:sz w:val="20"/>
                <w:szCs w:val="20"/>
                <w:highlight w:val="none"/>
                <w:lang w:eastAsia="zh-CN" w:bidi="ar"/>
              </w:rPr>
              <w:t>；《北京市体育运动项目经营单位安全生产规定》第</w:t>
            </w:r>
            <w:r>
              <w:rPr>
                <w:rFonts w:hint="eastAsia" w:ascii="仿宋_GB2312" w:hAnsi="仿宋_GB2312" w:eastAsia="仿宋_GB2312" w:cs="仿宋_GB2312"/>
                <w:color w:val="000000"/>
                <w:spacing w:val="0"/>
                <w:kern w:val="0"/>
                <w:sz w:val="20"/>
                <w:szCs w:val="20"/>
                <w:highlight w:val="none"/>
                <w:lang w:val="en-US" w:eastAsia="zh-CN" w:bidi="ar"/>
              </w:rPr>
              <w:t>二十九</w:t>
            </w:r>
            <w:r>
              <w:rPr>
                <w:rFonts w:hint="eastAsia" w:ascii="仿宋_GB2312" w:hAnsi="仿宋_GB2312" w:eastAsia="仿宋_GB2312" w:cs="仿宋_GB2312"/>
                <w:color w:val="000000"/>
                <w:spacing w:val="0"/>
                <w:kern w:val="0"/>
                <w:sz w:val="20"/>
                <w:szCs w:val="20"/>
                <w:highlight w:val="none"/>
                <w:lang w:eastAsia="zh-CN" w:bidi="ar"/>
              </w:rPr>
              <w:t>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01.1.</w:t>
            </w:r>
            <w:r>
              <w:rPr>
                <w:rFonts w:hint="eastAsia" w:ascii="仿宋_GB2312" w:hAnsi="仿宋_GB2312" w:eastAsia="仿宋_GB2312" w:cs="仿宋_GB2312"/>
                <w:spacing w:val="0"/>
                <w:sz w:val="20"/>
                <w:szCs w:val="20"/>
                <w:highlight w:val="none"/>
                <w:lang w:val="en-US" w:eastAsia="zh-CN"/>
              </w:rPr>
              <w:t>09</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12</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restart"/>
            <w:tcBorders>
              <w:top w:val="single" w:color="auto" w:sz="6" w:space="0"/>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教育培训类</w:t>
            </w: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rPr>
              <w:t>未开展安全生产教育培训。</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安全教育培训应符合下列要求：</w:t>
            </w:r>
          </w:p>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一）应对从业人员进行安全生产教育和培训，保证从业人员具备必要的安全生产知识，熟悉有关安全生产规章制度和安全操作规程，掌握本岗位安全操作技能，了解事故应急处理措施，知悉自身在安全生产方面的权利和义务；</w:t>
            </w:r>
          </w:p>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（二）对新招用、换岗、离岗6个月以上的人员，以及采用新工艺、新技术、新材料或者使用新设备的人员，进行安全生产教育和培训；</w:t>
            </w:r>
          </w:p>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（三）未经安全生产教育和培训合格的人员，不得安排上岗作业。</w:t>
            </w:r>
          </w:p>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单位的主要负责人和安全生产管理人员初次安全培训时间不应少于32学时，每年再培训时间不应少于12学时；</w:t>
            </w:r>
          </w:p>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新上岗的从业人员应进行“单位（厂）、部门（车间）、基层（班组）”三级安全培训教育，岗前安全培训时间不应少于24学时，每年再培训时间不应少于8学时。</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bidi="ar"/>
              </w:rPr>
              <w:t>《中华人民共和国安全生产法》第二十八条</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bidi="ar"/>
              </w:rPr>
              <w:t>《北京市生产经营单位安全生产主体责任规定》第十七条</w:t>
            </w:r>
            <w:r>
              <w:rPr>
                <w:rFonts w:hint="eastAsia" w:ascii="仿宋_GB2312" w:hAnsi="仿宋_GB2312" w:eastAsia="仿宋_GB2312" w:cs="仿宋_GB2312"/>
                <w:color w:val="000000"/>
                <w:spacing w:val="0"/>
                <w:kern w:val="0"/>
                <w:sz w:val="20"/>
                <w:szCs w:val="20"/>
                <w:highlight w:val="none"/>
                <w:lang w:eastAsia="zh-CN" w:bidi="ar"/>
              </w:rPr>
              <w:t>；《生产经营单位安全培训规定》</w:t>
            </w:r>
            <w:r>
              <w:rPr>
                <w:rFonts w:hint="eastAsia" w:ascii="仿宋_GB2312" w:hAnsi="仿宋_GB2312" w:eastAsia="仿宋_GB2312" w:cs="仿宋_GB2312"/>
                <w:color w:val="000000"/>
                <w:spacing w:val="0"/>
                <w:kern w:val="0"/>
                <w:sz w:val="20"/>
                <w:szCs w:val="20"/>
                <w:highlight w:val="none"/>
                <w:lang w:val="en-US" w:eastAsia="zh-CN" w:bidi="ar"/>
              </w:rPr>
              <w:t>第九条、十二条、十三条、</w:t>
            </w:r>
            <w:r>
              <w:rPr>
                <w:rFonts w:hint="eastAsia" w:ascii="仿宋_GB2312" w:hAnsi="仿宋_GB2312" w:eastAsia="仿宋_GB2312" w:cs="仿宋_GB2312"/>
                <w:color w:val="000000"/>
                <w:spacing w:val="0"/>
                <w:kern w:val="0"/>
                <w:sz w:val="20"/>
                <w:szCs w:val="20"/>
                <w:highlight w:val="none"/>
                <w:lang w:eastAsia="zh-CN" w:bidi="ar"/>
              </w:rPr>
              <w:t>二十一条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01.1.</w:t>
            </w:r>
            <w:r>
              <w:rPr>
                <w:rFonts w:hint="eastAsia" w:ascii="仿宋_GB2312" w:hAnsi="仿宋_GB2312" w:eastAsia="仿宋_GB2312" w:cs="仿宋_GB2312"/>
                <w:spacing w:val="0"/>
                <w:sz w:val="20"/>
                <w:szCs w:val="20"/>
                <w:highlight w:val="none"/>
                <w:lang w:val="en-US" w:eastAsia="zh-CN"/>
              </w:rPr>
              <w:t>09</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13</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lang w:val="en-US" w:eastAsia="zh-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rPr>
              <w:t>未建立安全生产教育和培训档案</w:t>
            </w:r>
            <w:r>
              <w:rPr>
                <w:rFonts w:hint="eastAsia" w:ascii="仿宋_GB2312" w:hAnsi="仿宋_GB2312" w:eastAsia="仿宋_GB2312" w:cs="仿宋_GB2312"/>
                <w:color w:val="000000"/>
                <w:spacing w:val="0"/>
                <w:kern w:val="0"/>
                <w:sz w:val="20"/>
                <w:szCs w:val="20"/>
                <w:highlight w:val="none"/>
                <w:lang w:eastAsia="zh-CN"/>
              </w:rPr>
              <w:t>，</w:t>
            </w:r>
            <w:r>
              <w:rPr>
                <w:rFonts w:hint="eastAsia" w:ascii="仿宋_GB2312" w:hAnsi="仿宋_GB2312" w:eastAsia="仿宋_GB2312" w:cs="仿宋_GB2312"/>
                <w:color w:val="000000"/>
                <w:spacing w:val="0"/>
                <w:kern w:val="0"/>
                <w:sz w:val="20"/>
                <w:szCs w:val="20"/>
                <w:highlight w:val="none"/>
                <w:lang w:val="en-US" w:eastAsia="zh-CN"/>
              </w:rPr>
              <w:t>或记录档案等不符合要求</w:t>
            </w:r>
            <w:r>
              <w:rPr>
                <w:rFonts w:hint="eastAsia" w:ascii="仿宋_GB2312" w:hAnsi="仿宋_GB2312" w:eastAsia="仿宋_GB2312" w:cs="仿宋_GB2312"/>
                <w:color w:val="000000"/>
                <w:spacing w:val="0"/>
                <w:kern w:val="0"/>
                <w:sz w:val="20"/>
                <w:szCs w:val="20"/>
                <w:highlight w:val="none"/>
              </w:rPr>
              <w:t>。</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kern w:val="2"/>
                <w:sz w:val="20"/>
                <w:szCs w:val="20"/>
                <w:highlight w:val="none"/>
                <w:shd w:val="clear" w:color="auto" w:fill="auto"/>
              </w:rPr>
              <w:t>生产经营单位应当建立健全从业人员安全生产教育和培训档案，由生产经营单位的安全生产管理机构以及安全生产管理人员详细、准确记录培训的时间、内容、参加人员以及考核结果等</w:t>
            </w:r>
            <w:r>
              <w:rPr>
                <w:rFonts w:hint="eastAsia" w:ascii="仿宋_GB2312" w:hAnsi="仿宋_GB2312" w:eastAsia="仿宋_GB2312" w:cs="仿宋_GB2312"/>
                <w:spacing w:val="0"/>
                <w:kern w:val="2"/>
                <w:sz w:val="20"/>
                <w:szCs w:val="20"/>
                <w:highlight w:val="none"/>
                <w:shd w:val="clear" w:color="auto" w:fill="auto"/>
                <w:lang w:eastAsia="zh-CN"/>
              </w:rPr>
              <w:t>情况。</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ar"/>
              </w:rPr>
            </w:pPr>
            <w:r>
              <w:rPr>
                <w:rFonts w:hint="eastAsia" w:ascii="仿宋_GB2312" w:hAnsi="仿宋_GB2312" w:eastAsia="仿宋_GB2312" w:cs="仿宋_GB2312"/>
                <w:color w:val="000000"/>
                <w:spacing w:val="0"/>
                <w:kern w:val="2"/>
                <w:sz w:val="20"/>
                <w:szCs w:val="20"/>
                <w:highlight w:val="none"/>
                <w:lang w:bidi="ar"/>
              </w:rPr>
              <w:t>《中华人民共和国安全生产法》</w:t>
            </w:r>
            <w:r>
              <w:rPr>
                <w:rFonts w:hint="eastAsia" w:ascii="仿宋_GB2312" w:hAnsi="仿宋_GB2312" w:eastAsia="仿宋_GB2312" w:cs="仿宋_GB2312"/>
                <w:color w:val="000000"/>
                <w:spacing w:val="0"/>
                <w:kern w:val="2"/>
                <w:sz w:val="20"/>
                <w:szCs w:val="20"/>
                <w:highlight w:val="none"/>
                <w:lang w:eastAsia="zh-CN" w:bidi="ar"/>
              </w:rPr>
              <w:t>第二十八条；</w:t>
            </w:r>
            <w:r>
              <w:rPr>
                <w:rFonts w:hint="eastAsia" w:ascii="仿宋_GB2312" w:hAnsi="仿宋_GB2312" w:eastAsia="仿宋_GB2312" w:cs="仿宋_GB2312"/>
                <w:color w:val="000000"/>
                <w:spacing w:val="0"/>
                <w:kern w:val="2"/>
                <w:sz w:val="20"/>
                <w:szCs w:val="20"/>
                <w:highlight w:val="none"/>
                <w:lang w:bidi="ar"/>
              </w:rPr>
              <w:t>《生产经营单位安全培训规定》</w:t>
            </w:r>
            <w:r>
              <w:rPr>
                <w:rFonts w:hint="eastAsia" w:ascii="仿宋_GB2312" w:hAnsi="仿宋_GB2312" w:eastAsia="仿宋_GB2312" w:cs="仿宋_GB2312"/>
                <w:color w:val="000000"/>
                <w:spacing w:val="0"/>
                <w:kern w:val="2"/>
                <w:sz w:val="20"/>
                <w:szCs w:val="20"/>
                <w:highlight w:val="none"/>
                <w:lang w:eastAsia="zh-CN" w:bidi="ar"/>
              </w:rPr>
              <w:t>第二十二条；</w:t>
            </w:r>
            <w:r>
              <w:rPr>
                <w:rFonts w:hint="eastAsia" w:ascii="仿宋_GB2312" w:hAnsi="仿宋_GB2312" w:eastAsia="仿宋_GB2312" w:cs="仿宋_GB2312"/>
                <w:color w:val="000000"/>
                <w:spacing w:val="0"/>
                <w:kern w:val="2"/>
                <w:sz w:val="20"/>
                <w:szCs w:val="20"/>
                <w:highlight w:val="none"/>
                <w:lang w:bidi="ar"/>
              </w:rPr>
              <w:t>《北京市生产经营单位安全生产主体责任规定》第十七条、十八条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01.1.</w:t>
            </w:r>
            <w:r>
              <w:rPr>
                <w:rFonts w:hint="eastAsia" w:ascii="仿宋_GB2312" w:hAnsi="仿宋_GB2312" w:eastAsia="仿宋_GB2312" w:cs="仿宋_GB2312"/>
                <w:spacing w:val="0"/>
                <w:sz w:val="20"/>
                <w:szCs w:val="20"/>
                <w:highlight w:val="none"/>
                <w:lang w:val="en-US" w:eastAsia="zh-CN"/>
              </w:rPr>
              <w:t>10</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14</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restart"/>
            <w:tcBorders>
              <w:top w:val="single" w:color="auto" w:sz="6" w:space="0"/>
              <w:left w:val="single" w:color="auto" w:sz="6" w:space="0"/>
              <w:right w:val="single" w:color="auto" w:sz="6" w:space="0"/>
            </w:tcBorders>
            <w:noWrap w:val="0"/>
            <w:tcMar>
              <w:left w:w="0" w:type="dxa"/>
              <w:right w:w="0" w:type="dxa"/>
            </w:tcMar>
            <w:vAlign w:val="center"/>
          </w:tcPr>
          <w:p>
            <w:pPr>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有限空间作业类</w:t>
            </w: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rPr>
              <w:t>未对有限空间进行辨识、建立安全管理台账，并且未设置明显的安全警示标志的。</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lang w:val="en-US" w:eastAsia="zh-CN" w:bidi="ar-SA"/>
              </w:rPr>
              <w:t>可能存在有限空间的单位应对本单位管理区域内的有限空间进行辨识，建立有限空间管理台账，并及时更新，有限空间管理台账应包括有限空间名称、位置和主要危险因素等。</w:t>
            </w:r>
          </w:p>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lang w:val="en-US" w:eastAsia="zh-CN" w:bidi="ar-SA"/>
              </w:rPr>
              <w:t>有限空间出入口等周边醒目位置应设置明显的安全警示标志，多个有限空间集中布置场所，应在场所显著位置设置有限空间作业安全风险告知牌。</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lang w:val="en-US" w:eastAsia="zh-CN" w:bidi="ar-SA"/>
              </w:rPr>
              <w:t>《有限空间作业安全技术规范》GB 46768—2025第4.1条、4.2条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01.1.</w:t>
            </w:r>
            <w:r>
              <w:rPr>
                <w:rFonts w:hint="eastAsia" w:ascii="仿宋_GB2312" w:hAnsi="仿宋_GB2312" w:eastAsia="仿宋_GB2312" w:cs="仿宋_GB2312"/>
                <w:spacing w:val="0"/>
                <w:sz w:val="20"/>
                <w:szCs w:val="20"/>
                <w:highlight w:val="none"/>
                <w:lang w:val="en-US" w:eastAsia="zh-CN"/>
              </w:rPr>
              <w:t>10</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15</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rPr>
              <w:t>未落实有限空间作业审批，或者未执行“先通风、再检测、后作业”要求，或者作业现场未设置监护人员的。</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有限空间作业应实行作业审批制度，未经审批不得作业，有限空间内盛装或残留的物料可能对作业存在危害时，应采取清空、清洗或置换等措施。作业人员应在有限空间外上风侧开启出入口及其他与外界大气环境相连通的设施，进行自然通风；</w:t>
            </w:r>
          </w:p>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若开启时可能受到内部涌出气流或喷溅液体冲击，应佩戴相应的呼吸防护用品、防护眼镜等个体防护装备；</w:t>
            </w:r>
          </w:p>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应根据有限空间内可能存在的危害气体进行针对性检测，应至少检测氧气、可燃气、硫化氢和一氧化碳，气体检测结果应如实记录，内容应包括检测位置、检测时间、气体种类和浓度等信息。检测记录应经检测人员签字确认并归档保存；</w:t>
            </w:r>
          </w:p>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spacing w:val="0"/>
                <w:kern w:val="2"/>
                <w:sz w:val="20"/>
                <w:szCs w:val="20"/>
                <w:highlight w:val="none"/>
                <w:lang w:val="en-US" w:eastAsia="zh-CN" w:bidi="ar-SA"/>
              </w:rPr>
            </w:pPr>
            <w:r>
              <w:rPr>
                <w:rFonts w:hint="eastAsia" w:ascii="仿宋_GB2312" w:hAnsi="仿宋_GB2312" w:eastAsia="仿宋_GB2312" w:cs="仿宋_GB2312"/>
                <w:spacing w:val="0"/>
                <w:sz w:val="20"/>
                <w:szCs w:val="20"/>
                <w:highlight w:val="none"/>
                <w:lang w:val="en-US" w:eastAsia="zh-CN"/>
              </w:rPr>
              <w:t>有限空间作业应实行监护制，监护人员应全程进行监护，与作业人员进行实时联络，不得离开作业现场或者进入有限空间参与作业。</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lang w:val="en-US" w:eastAsia="zh-CN" w:bidi="ar-SA"/>
              </w:rPr>
              <w:t>《有限空间作业安全技术规范》GB 46768—2025第5.2条、5.6条、5.7条、5.8条、6.3条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01.1.</w:t>
            </w:r>
            <w:r>
              <w:rPr>
                <w:rFonts w:hint="eastAsia" w:ascii="仿宋_GB2312" w:hAnsi="仿宋_GB2312" w:eastAsia="仿宋_GB2312" w:cs="仿宋_GB2312"/>
                <w:spacing w:val="0"/>
                <w:sz w:val="20"/>
                <w:szCs w:val="20"/>
                <w:highlight w:val="none"/>
                <w:lang w:val="en-US" w:eastAsia="zh-CN"/>
              </w:rPr>
              <w:t>11</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16</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restart"/>
            <w:tcBorders>
              <w:top w:val="single" w:color="auto" w:sz="6" w:space="0"/>
              <w:left w:val="single" w:color="auto" w:sz="6" w:space="0"/>
              <w:right w:val="single" w:color="auto" w:sz="6" w:space="0"/>
            </w:tcBorders>
            <w:noWrap w:val="0"/>
            <w:tcMar>
              <w:left w:w="0" w:type="dxa"/>
              <w:right w:w="0" w:type="dxa"/>
            </w:tcMar>
            <w:vAlign w:val="center"/>
          </w:tcPr>
          <w:p>
            <w:pPr>
              <w:pStyle w:val="12"/>
              <w:jc w:val="center"/>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相关方管理类</w:t>
            </w: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选用未取得相应资质的承包（承租）单位的。</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不得将生产经营项目、场所、设备发包或者出租给不具备安全生产条件或者相应资质的单位或者个人。</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beforeLines="0" w:afterLines="0" w:line="300" w:lineRule="exact"/>
              <w:jc w:val="both"/>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rPr>
              <w:t>《中华人民共和国安全生产法》第四十九条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01.1.</w:t>
            </w:r>
            <w:r>
              <w:rPr>
                <w:rFonts w:hint="eastAsia" w:ascii="仿宋_GB2312" w:hAnsi="仿宋_GB2312" w:eastAsia="仿宋_GB2312" w:cs="仿宋_GB2312"/>
                <w:spacing w:val="0"/>
                <w:sz w:val="20"/>
                <w:szCs w:val="20"/>
                <w:highlight w:val="none"/>
                <w:lang w:val="en-US" w:eastAsia="zh-CN"/>
              </w:rPr>
              <w:t>11</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17</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使用危险化学品的单位未采购有危险化学品安全生产许可或经营许可资质单位的危险化学品。</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不得向未经许可从事危险化学品生产、经营活动的企业采购危险化学品。</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beforeLines="0" w:afterLines="0" w:line="300" w:lineRule="exact"/>
              <w:ind w:left="84" w:leftChars="40" w:right="84" w:rightChars="40"/>
              <w:jc w:val="both"/>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rPr>
              <w:t>《中华人民共和国危险化学品安全法》第五十三条；《危险化学品安全管理条例》第三十七条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01.1.</w:t>
            </w:r>
            <w:r>
              <w:rPr>
                <w:rFonts w:hint="eastAsia" w:ascii="仿宋_GB2312" w:hAnsi="仿宋_GB2312" w:eastAsia="仿宋_GB2312" w:cs="仿宋_GB2312"/>
                <w:spacing w:val="0"/>
                <w:sz w:val="20"/>
                <w:szCs w:val="20"/>
                <w:highlight w:val="none"/>
                <w:lang w:val="en-US" w:eastAsia="zh-CN"/>
              </w:rPr>
              <w:t>11</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18</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未与承包、承租单位签订专门的安全生产管理协议或在承包、</w:t>
            </w:r>
            <w:r>
              <w:rPr>
                <w:rFonts w:hint="eastAsia" w:ascii="仿宋_GB2312" w:hAnsi="仿宋_GB2312" w:eastAsia="仿宋_GB2312" w:cs="仿宋_GB2312"/>
                <w:spacing w:val="0"/>
                <w:sz w:val="20"/>
                <w:szCs w:val="20"/>
                <w:highlight w:val="none"/>
                <w:lang w:val="en-US" w:eastAsia="zh-CN"/>
              </w:rPr>
              <w:t>承租</w:t>
            </w:r>
            <w:r>
              <w:rPr>
                <w:rFonts w:hint="eastAsia" w:ascii="仿宋_GB2312" w:hAnsi="仿宋_GB2312" w:eastAsia="仿宋_GB2312" w:cs="仿宋_GB2312"/>
                <w:spacing w:val="0"/>
                <w:sz w:val="20"/>
                <w:szCs w:val="20"/>
                <w:highlight w:val="none"/>
              </w:rPr>
              <w:t>合同中明确各自的安全生产管理职责。</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应与承包、承租单位签订专门的安全生产管理协议，或者在承包合同、</w:t>
            </w:r>
            <w:r>
              <w:rPr>
                <w:rFonts w:hint="eastAsia" w:ascii="仿宋_GB2312" w:hAnsi="仿宋_GB2312" w:eastAsia="仿宋_GB2312" w:cs="仿宋_GB2312"/>
                <w:spacing w:val="0"/>
                <w:sz w:val="20"/>
                <w:szCs w:val="20"/>
                <w:highlight w:val="none"/>
                <w:lang w:val="en-US" w:eastAsia="zh-CN"/>
              </w:rPr>
              <w:t>承租</w:t>
            </w:r>
            <w:r>
              <w:rPr>
                <w:rFonts w:hint="eastAsia" w:ascii="仿宋_GB2312" w:hAnsi="仿宋_GB2312" w:eastAsia="仿宋_GB2312" w:cs="仿宋_GB2312"/>
                <w:spacing w:val="0"/>
                <w:sz w:val="20"/>
                <w:szCs w:val="20"/>
                <w:highlight w:val="none"/>
              </w:rPr>
              <w:t>合同中约定各自的安全生产管理职责</w:t>
            </w:r>
            <w:r>
              <w:rPr>
                <w:rFonts w:hint="eastAsia" w:ascii="仿宋_GB2312" w:hAnsi="仿宋_GB2312" w:eastAsia="仿宋_GB2312" w:cs="仿宋_GB2312"/>
                <w:spacing w:val="0"/>
                <w:sz w:val="20"/>
                <w:szCs w:val="20"/>
                <w:highlight w:val="none"/>
                <w:lang w:eastAsia="zh-CN"/>
              </w:rPr>
              <w:t>，不得在安全生产管理协议中要求安全生产责任全部由承包、承租单位承担。</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《中华人民共和国安全生产法》第四十</w:t>
            </w:r>
            <w:r>
              <w:rPr>
                <w:rFonts w:hint="eastAsia" w:ascii="仿宋_GB2312" w:hAnsi="仿宋_GB2312" w:eastAsia="仿宋_GB2312" w:cs="仿宋_GB2312"/>
                <w:spacing w:val="0"/>
                <w:sz w:val="20"/>
                <w:szCs w:val="20"/>
                <w:highlight w:val="none"/>
                <w:lang w:val="en-US" w:eastAsia="zh-CN"/>
              </w:rPr>
              <w:t>九</w:t>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《北京市生产经营单位安全生产主体责任规定》</w:t>
            </w:r>
            <w:r>
              <w:rPr>
                <w:rFonts w:hint="eastAsia" w:ascii="仿宋_GB2312" w:hAnsi="仿宋_GB2312" w:eastAsia="仿宋_GB2312" w:cs="仿宋_GB2312"/>
                <w:spacing w:val="0"/>
                <w:sz w:val="20"/>
                <w:szCs w:val="20"/>
                <w:highlight w:val="none"/>
                <w:lang w:eastAsia="zh-CN"/>
              </w:rPr>
              <w:t>第二十六条</w:t>
            </w:r>
            <w:r>
              <w:rPr>
                <w:rFonts w:hint="eastAsia" w:ascii="仿宋_GB2312" w:hAnsi="仿宋_GB2312" w:eastAsia="仿宋_GB2312" w:cs="仿宋_GB2312"/>
                <w:spacing w:val="0"/>
                <w:sz w:val="20"/>
                <w:szCs w:val="20"/>
                <w:highlight w:val="none"/>
                <w:lang w:val="en-US" w:eastAsia="zh-CN"/>
              </w:rPr>
              <w:t>、第二十七条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kern w:val="2"/>
                <w:sz w:val="20"/>
                <w:szCs w:val="20"/>
                <w:highlight w:val="none"/>
                <w:lang w:val="en-US" w:eastAsia="zh-CN" w:bidi="ar-SA"/>
              </w:rPr>
            </w:pPr>
            <w:r>
              <w:rPr>
                <w:rFonts w:hint="eastAsia" w:ascii="仿宋_GB2312" w:hAnsi="仿宋_GB2312" w:eastAsia="仿宋_GB2312" w:cs="仿宋_GB2312"/>
                <w:spacing w:val="0"/>
                <w:sz w:val="20"/>
                <w:szCs w:val="20"/>
                <w:highlight w:val="none"/>
                <w:lang w:eastAsia="zh-CN"/>
              </w:rPr>
              <w:t>01.1.</w:t>
            </w:r>
            <w:r>
              <w:rPr>
                <w:rFonts w:hint="eastAsia" w:ascii="仿宋_GB2312" w:hAnsi="仿宋_GB2312" w:eastAsia="仿宋_GB2312" w:cs="仿宋_GB2312"/>
                <w:spacing w:val="0"/>
                <w:sz w:val="20"/>
                <w:szCs w:val="20"/>
                <w:highlight w:val="none"/>
                <w:lang w:val="en-US" w:eastAsia="zh-CN"/>
              </w:rPr>
              <w:t>11</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19</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tabs>
                <w:tab w:val="left" w:pos="898"/>
              </w:tabs>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安全管理协议内容不符合要求。</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安全生产管理协议</w:t>
            </w:r>
            <w:r>
              <w:rPr>
                <w:rFonts w:hint="eastAsia" w:ascii="仿宋_GB2312" w:hAnsi="仿宋_GB2312" w:eastAsia="仿宋_GB2312" w:cs="仿宋_GB2312"/>
                <w:spacing w:val="0"/>
                <w:sz w:val="20"/>
                <w:szCs w:val="20"/>
                <w:highlight w:val="none"/>
                <w:lang w:val="en-US" w:eastAsia="zh-CN"/>
              </w:rPr>
              <w:t>内容应包括：双方安全生产职责、各自管理的区域范围；作业场所和人员、设备设施的安全生产管理责任；双方有关安全生产的权利和义务；生产安全事故报告和应急救援责任等主要内容。</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《北京市生产经营单位安全生产主体责任规定》</w:t>
            </w:r>
            <w:r>
              <w:rPr>
                <w:rFonts w:hint="eastAsia" w:ascii="仿宋_GB2312" w:hAnsi="仿宋_GB2312" w:eastAsia="仿宋_GB2312" w:cs="仿宋_GB2312"/>
                <w:spacing w:val="0"/>
                <w:sz w:val="20"/>
                <w:szCs w:val="20"/>
                <w:highlight w:val="none"/>
                <w:lang w:val="en-US" w:eastAsia="zh-CN"/>
              </w:rPr>
              <w:t>第二十七条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01.1.</w:t>
            </w:r>
            <w:r>
              <w:rPr>
                <w:rFonts w:hint="eastAsia" w:ascii="仿宋_GB2312" w:hAnsi="仿宋_GB2312" w:eastAsia="仿宋_GB2312" w:cs="仿宋_GB2312"/>
                <w:spacing w:val="0"/>
                <w:sz w:val="20"/>
                <w:szCs w:val="20"/>
                <w:highlight w:val="none"/>
                <w:lang w:val="en-US" w:eastAsia="zh-CN"/>
              </w:rPr>
              <w:t>11</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20</w:t>
            </w:r>
          </w:p>
        </w:tc>
        <w:tc>
          <w:tcPr>
            <w:tcW w:w="275" w:type="pct"/>
            <w:vMerge w:val="continue"/>
            <w:tcBorders>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77"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未对承包、承租单位的安全生产统一协调、管理</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未定期进行安全检查。</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对承包单位、承租单位的安全生产工作统一协调、管理，定期进行安全检查，发现安全问题的，应当及时督促整改。</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beforeLines="0" w:afterLines="0" w:line="300" w:lineRule="exact"/>
              <w:jc w:val="both"/>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rPr>
              <w:t>《中华人民共和国安全生产法》第四十九条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01.1.</w:t>
            </w:r>
            <w:r>
              <w:rPr>
                <w:rFonts w:hint="eastAsia" w:ascii="仿宋_GB2312" w:hAnsi="仿宋_GB2312" w:eastAsia="仿宋_GB2312" w:cs="仿宋_GB2312"/>
                <w:spacing w:val="0"/>
                <w:sz w:val="20"/>
                <w:szCs w:val="20"/>
                <w:highlight w:val="none"/>
                <w:lang w:val="en-US" w:eastAsia="zh-CN"/>
              </w:rPr>
              <w:t>11</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21</w:t>
            </w:r>
          </w:p>
        </w:tc>
        <w:tc>
          <w:tcPr>
            <w:tcW w:w="275" w:type="pct"/>
            <w:vMerge w:val="continue"/>
            <w:tcBorders>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77" w:type="pct"/>
            <w:vMerge w:val="continue"/>
            <w:tcBorders>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承包</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承租单位进行</w:t>
            </w:r>
            <w:r>
              <w:rPr>
                <w:rFonts w:hint="eastAsia" w:ascii="仿宋_GB2312" w:hAnsi="仿宋_GB2312" w:eastAsia="仿宋_GB2312" w:cs="仿宋_GB2312"/>
                <w:spacing w:val="0"/>
                <w:sz w:val="20"/>
                <w:szCs w:val="20"/>
                <w:highlight w:val="none"/>
                <w:lang w:val="en-US" w:eastAsia="zh-CN"/>
              </w:rPr>
              <w:t>危险</w:t>
            </w:r>
            <w:r>
              <w:rPr>
                <w:rFonts w:hint="eastAsia" w:ascii="仿宋_GB2312" w:hAnsi="仿宋_GB2312" w:eastAsia="仿宋_GB2312" w:cs="仿宋_GB2312"/>
                <w:spacing w:val="0"/>
                <w:sz w:val="20"/>
                <w:szCs w:val="20"/>
                <w:highlight w:val="none"/>
              </w:rPr>
              <w:t>作业的，</w:t>
            </w:r>
            <w:r>
              <w:rPr>
                <w:rFonts w:hint="eastAsia" w:ascii="仿宋_GB2312" w:hAnsi="仿宋_GB2312" w:eastAsia="仿宋_GB2312" w:cs="仿宋_GB2312"/>
                <w:spacing w:val="0"/>
                <w:sz w:val="20"/>
                <w:szCs w:val="20"/>
                <w:highlight w:val="none"/>
                <w:lang w:val="en-US" w:eastAsia="zh-CN"/>
              </w:rPr>
              <w:t>未督促</w:t>
            </w:r>
            <w:r>
              <w:rPr>
                <w:rFonts w:hint="eastAsia" w:ascii="仿宋_GB2312" w:hAnsi="仿宋_GB2312" w:eastAsia="仿宋_GB2312" w:cs="仿宋_GB2312"/>
                <w:spacing w:val="0"/>
                <w:sz w:val="20"/>
                <w:szCs w:val="20"/>
                <w:highlight w:val="none"/>
              </w:rPr>
              <w:t>承包</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承租单位进行作业审批，制定作业方案，落实安全防范措施，加强现场安全管理</w:t>
            </w:r>
            <w:r>
              <w:rPr>
                <w:rFonts w:hint="eastAsia" w:ascii="仿宋_GB2312" w:hAnsi="仿宋_GB2312" w:eastAsia="仿宋_GB2312" w:cs="仿宋_GB2312"/>
                <w:spacing w:val="0"/>
                <w:sz w:val="20"/>
                <w:szCs w:val="20"/>
                <w:highlight w:val="none"/>
                <w:lang w:eastAsia="zh-CN"/>
              </w:rPr>
              <w:t>。</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在进行有限空间内作业、动火作业、高处作业、带电作业等，应当遵守下列规定：</w:t>
            </w:r>
          </w:p>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（一）制定作业方案，按照本单位内部批准权限审批；</w:t>
            </w:r>
          </w:p>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（二）落实安全交底，向作业人员详细说明作业内容、主要危险因素、作业安全要求和应急措施等内容；</w:t>
            </w:r>
          </w:p>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（三）安排专门人员进行现场管理，确认现场作业条件、作业人员上岗资格、身体状况符合安全作业要求，监督作业人员遵守操作规程，落实安全措施；</w:t>
            </w:r>
          </w:p>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（四）配备与现场作业活动相适应的劳动防护用品，以及相应的安全警示标志、安全防护设备、应急救援装备；</w:t>
            </w:r>
          </w:p>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（五）发现直接危及人身安全的紧急情况，立即采取应急措施，停止作业或者撤出作业人员。</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《中华人民共和国安全生产法》第</w:t>
            </w:r>
            <w:r>
              <w:rPr>
                <w:rFonts w:hint="eastAsia" w:ascii="仿宋_GB2312" w:hAnsi="仿宋_GB2312" w:eastAsia="仿宋_GB2312" w:cs="仿宋_GB2312"/>
                <w:spacing w:val="0"/>
                <w:sz w:val="20"/>
                <w:szCs w:val="20"/>
                <w:highlight w:val="none"/>
                <w:lang w:val="en-US" w:eastAsia="zh-CN"/>
              </w:rPr>
              <w:t>四十三条</w:t>
            </w:r>
            <w:r>
              <w:rPr>
                <w:rFonts w:hint="eastAsia" w:ascii="仿宋_GB2312" w:hAnsi="仿宋_GB2312" w:eastAsia="仿宋_GB2312" w:cs="仿宋_GB2312"/>
                <w:spacing w:val="0"/>
                <w:sz w:val="20"/>
                <w:szCs w:val="20"/>
                <w:highlight w:val="none"/>
              </w:rPr>
              <w:t>；《北京市生产经营单位安全生产主体责任规定》第</w:t>
            </w:r>
            <w:r>
              <w:rPr>
                <w:rFonts w:hint="eastAsia" w:ascii="仿宋_GB2312" w:hAnsi="仿宋_GB2312" w:eastAsia="仿宋_GB2312" w:cs="仿宋_GB2312"/>
                <w:spacing w:val="0"/>
                <w:sz w:val="20"/>
                <w:szCs w:val="20"/>
                <w:highlight w:val="none"/>
                <w:lang w:val="en-US" w:eastAsia="zh-CN"/>
              </w:rPr>
              <w:t>二十五条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01.1.</w:t>
            </w:r>
            <w:r>
              <w:rPr>
                <w:rFonts w:hint="eastAsia" w:ascii="仿宋_GB2312" w:hAnsi="仿宋_GB2312" w:eastAsia="仿宋_GB2312" w:cs="仿宋_GB2312"/>
                <w:spacing w:val="0"/>
                <w:sz w:val="20"/>
                <w:szCs w:val="20"/>
                <w:highlight w:val="none"/>
                <w:lang w:val="en-US" w:eastAsia="zh-CN"/>
              </w:rPr>
              <w:t>12</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22</w:t>
            </w:r>
          </w:p>
        </w:tc>
        <w:tc>
          <w:tcPr>
            <w:tcW w:w="275" w:type="pct"/>
            <w:vMerge w:val="continue"/>
            <w:tcBorders>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77"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安全生产投入类</w:t>
            </w: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未按规定将安全生产费用纳入年度财务预算并专款专用。</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主要负责人应保证安全生产所必需的资金投入，并专项用于下列安全生产事项：</w:t>
            </w:r>
          </w:p>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（一）安全技术措施工程建设；</w:t>
            </w:r>
          </w:p>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（二）安全设备、设施的更新和维护；</w:t>
            </w:r>
          </w:p>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（三）安全生产宣传、教育和培训；</w:t>
            </w:r>
          </w:p>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（四）劳动防护用品配备；</w:t>
            </w:r>
          </w:p>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（五）重大危险源监控；</w:t>
            </w:r>
          </w:p>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（六）安全风险评估和隐患排查治理；</w:t>
            </w:r>
          </w:p>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（七）生产安全事故应急救援演练；</w:t>
            </w:r>
          </w:p>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（八）应急救援队伍建设或者救援服务；</w:t>
            </w:r>
          </w:p>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（九）其他保障安全生产的事项。</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《北京市安全生产条例》第</w:t>
            </w:r>
            <w:r>
              <w:rPr>
                <w:rFonts w:hint="eastAsia" w:ascii="仿宋_GB2312" w:hAnsi="仿宋_GB2312" w:eastAsia="仿宋_GB2312" w:cs="仿宋_GB2312"/>
                <w:spacing w:val="0"/>
                <w:sz w:val="20"/>
                <w:szCs w:val="20"/>
                <w:highlight w:val="none"/>
                <w:lang w:val="en-US" w:eastAsia="zh-CN"/>
              </w:rPr>
              <w:t>十八</w:t>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《北京市生产经营单位安全生产主体责任规定》</w:t>
            </w:r>
            <w:r>
              <w:rPr>
                <w:rFonts w:hint="eastAsia" w:ascii="仿宋_GB2312" w:hAnsi="仿宋_GB2312" w:eastAsia="仿宋_GB2312" w:cs="仿宋_GB2312"/>
                <w:spacing w:val="0"/>
                <w:sz w:val="20"/>
                <w:szCs w:val="20"/>
                <w:highlight w:val="none"/>
                <w:lang w:val="en-US" w:eastAsia="zh-CN"/>
              </w:rPr>
              <w:t>第九条；</w:t>
            </w:r>
            <w:r>
              <w:rPr>
                <w:rFonts w:hint="eastAsia" w:ascii="仿宋_GB2312" w:hAnsi="仿宋_GB2312" w:eastAsia="仿宋_GB2312" w:cs="仿宋_GB2312"/>
                <w:spacing w:val="0"/>
                <w:sz w:val="20"/>
                <w:szCs w:val="20"/>
                <w:highlight w:val="none"/>
              </w:rPr>
              <w:t>《企业安全生产费用提取和使用管理办法》第</w:t>
            </w:r>
            <w:r>
              <w:rPr>
                <w:rFonts w:hint="eastAsia" w:ascii="仿宋_GB2312" w:hAnsi="仿宋_GB2312" w:eastAsia="仿宋_GB2312" w:cs="仿宋_GB2312"/>
                <w:spacing w:val="0"/>
                <w:sz w:val="20"/>
                <w:szCs w:val="20"/>
                <w:highlight w:val="none"/>
                <w:lang w:val="en-US" w:eastAsia="zh-CN"/>
              </w:rPr>
              <w:t>四十五条、四十六</w:t>
            </w:r>
            <w:r>
              <w:rPr>
                <w:rFonts w:hint="eastAsia" w:ascii="仿宋_GB2312" w:hAnsi="仿宋_GB2312" w:eastAsia="仿宋_GB2312" w:cs="仿宋_GB2312"/>
                <w:spacing w:val="0"/>
                <w:sz w:val="20"/>
                <w:szCs w:val="20"/>
                <w:highlight w:val="none"/>
              </w:rPr>
              <w:t>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1</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23</w:t>
            </w:r>
          </w:p>
        </w:tc>
        <w:tc>
          <w:tcPr>
            <w:tcW w:w="275" w:type="pct"/>
            <w:vMerge w:val="restart"/>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sz w:val="20"/>
                <w:szCs w:val="20"/>
                <w:highlight w:val="none"/>
                <w:lang w:val="en-US" w:eastAsia="zh-CN"/>
              </w:rPr>
              <w:t>设备设施及物料类</w:t>
            </w:r>
          </w:p>
        </w:tc>
        <w:tc>
          <w:tcPr>
            <w:tcW w:w="277" w:type="pct"/>
            <w:vMerge w:val="restart"/>
            <w:tcBorders>
              <w:top w:val="single" w:color="auto" w:sz="6" w:space="0"/>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工艺及生产设备设施类</w:t>
            </w: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游泳池存在视线盲区。</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游泳池</w:t>
            </w:r>
            <w:r>
              <w:rPr>
                <w:rFonts w:hint="eastAsia" w:ascii="仿宋_GB2312" w:hAnsi="仿宋_GB2312" w:eastAsia="仿宋_GB2312" w:cs="仿宋_GB2312"/>
                <w:spacing w:val="0"/>
                <w:sz w:val="20"/>
                <w:szCs w:val="20"/>
                <w:highlight w:val="none"/>
                <w:lang w:val="en-US" w:eastAsia="zh-CN"/>
              </w:rPr>
              <w:t>应无</w:t>
            </w:r>
            <w:r>
              <w:rPr>
                <w:rFonts w:hint="eastAsia" w:ascii="仿宋_GB2312" w:hAnsi="仿宋_GB2312" w:eastAsia="仿宋_GB2312" w:cs="仿宋_GB2312"/>
                <w:spacing w:val="0"/>
                <w:sz w:val="20"/>
                <w:szCs w:val="20"/>
                <w:highlight w:val="none"/>
              </w:rPr>
              <w:t>视线盲区。</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《体育场所开放条件与技术要求第1部分：游泳场所》GB 19079.1-2013第5.2条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01.2.01.024</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游泳池浅水区水深大于1.2m或者儿童游泳池的水深大于0.8m</w:t>
            </w:r>
            <w:r>
              <w:rPr>
                <w:rFonts w:hint="eastAsia" w:ascii="仿宋_GB2312" w:hAnsi="仿宋_GB2312" w:eastAsia="仿宋_GB2312" w:cs="仿宋_GB2312"/>
                <w:spacing w:val="0"/>
                <w:sz w:val="20"/>
                <w:szCs w:val="20"/>
                <w:highlight w:val="none"/>
                <w:lang w:eastAsia="zh-CN"/>
              </w:rPr>
              <w:t>。</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游泳池浅水区水深</w:t>
            </w:r>
            <w:r>
              <w:rPr>
                <w:rFonts w:hint="eastAsia" w:ascii="仿宋_GB2312" w:hAnsi="仿宋_GB2312" w:eastAsia="仿宋_GB2312" w:cs="仿宋_GB2312"/>
                <w:spacing w:val="0"/>
                <w:sz w:val="20"/>
                <w:szCs w:val="20"/>
                <w:highlight w:val="none"/>
                <w:lang w:val="en-US" w:eastAsia="zh-CN"/>
              </w:rPr>
              <w:t>应不</w:t>
            </w:r>
            <w:r>
              <w:rPr>
                <w:rFonts w:hint="eastAsia" w:ascii="仿宋_GB2312" w:hAnsi="仿宋_GB2312" w:eastAsia="仿宋_GB2312" w:cs="仿宋_GB2312"/>
                <w:spacing w:val="0"/>
                <w:sz w:val="20"/>
                <w:szCs w:val="20"/>
                <w:highlight w:val="none"/>
              </w:rPr>
              <w:t>大于1.2m</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儿童游泳池的水深</w:t>
            </w:r>
            <w:r>
              <w:rPr>
                <w:rFonts w:hint="eastAsia" w:ascii="仿宋_GB2312" w:hAnsi="仿宋_GB2312" w:eastAsia="仿宋_GB2312" w:cs="仿宋_GB2312"/>
                <w:spacing w:val="0"/>
                <w:sz w:val="20"/>
                <w:szCs w:val="20"/>
                <w:highlight w:val="none"/>
                <w:lang w:val="en-US" w:eastAsia="zh-CN"/>
              </w:rPr>
              <w:t>应不</w:t>
            </w:r>
            <w:r>
              <w:rPr>
                <w:rFonts w:hint="eastAsia" w:ascii="仿宋_GB2312" w:hAnsi="仿宋_GB2312" w:eastAsia="仿宋_GB2312" w:cs="仿宋_GB2312"/>
                <w:spacing w:val="0"/>
                <w:sz w:val="20"/>
                <w:szCs w:val="20"/>
                <w:highlight w:val="none"/>
              </w:rPr>
              <w:t>大于0.8m</w:t>
            </w:r>
            <w:r>
              <w:rPr>
                <w:rFonts w:hint="eastAsia" w:ascii="仿宋_GB2312" w:hAnsi="仿宋_GB2312" w:eastAsia="仿宋_GB2312" w:cs="仿宋_GB2312"/>
                <w:spacing w:val="0"/>
                <w:sz w:val="20"/>
                <w:szCs w:val="20"/>
                <w:highlight w:val="none"/>
                <w:lang w:eastAsia="zh-CN"/>
              </w:rPr>
              <w:t>。</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《体育场所开放条件与技术要求第1部分：游泳场所》GB 19079.1-2013第5.3条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01.2.01.025</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游泳池池面未设置醒目的水深度标识、深浅水区警示标识或深浅水区隔离带。</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游泳池池面</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设置醒目的水深度标识、深浅水区警示标识或深浅水区隔离带。</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《体育场所开放条件与技术要求第1部分：游泳场所》GB 19079.1-2013第5.4条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《体育场所安全运营管理规范</w:t>
            </w:r>
            <w:r>
              <w:rPr>
                <w:rFonts w:hint="eastAsia" w:ascii="仿宋_GB2312" w:hAnsi="仿宋_GB2312" w:eastAsia="仿宋_GB2312" w:cs="仿宋_GB2312"/>
                <w:spacing w:val="0"/>
                <w:sz w:val="20"/>
                <w:szCs w:val="20"/>
                <w:highlight w:val="none"/>
                <w:lang w:val="en-US" w:eastAsia="zh-CN"/>
              </w:rPr>
              <w:t xml:space="preserve"> </w:t>
            </w:r>
            <w:r>
              <w:rPr>
                <w:rFonts w:hint="eastAsia" w:ascii="仿宋_GB2312" w:hAnsi="仿宋_GB2312" w:eastAsia="仿宋_GB2312" w:cs="仿宋_GB2312"/>
                <w:spacing w:val="0"/>
                <w:sz w:val="20"/>
                <w:szCs w:val="20"/>
                <w:highlight w:val="none"/>
              </w:rPr>
              <w:t>游泳场所》DB11/T 1218-2019第5.1.6条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01.2.01.026</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带出发台的游泳池，从出发端开始延伸至少6.0m的范围内，水深小于1.35m。</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带出发台的游泳池，从出发端开始延伸至少6.0m的范围内，水深</w:t>
            </w:r>
            <w:r>
              <w:rPr>
                <w:rFonts w:hint="eastAsia" w:ascii="仿宋_GB2312" w:hAnsi="仿宋_GB2312" w:eastAsia="仿宋_GB2312" w:cs="仿宋_GB2312"/>
                <w:spacing w:val="0"/>
                <w:sz w:val="20"/>
                <w:szCs w:val="20"/>
                <w:highlight w:val="none"/>
                <w:lang w:val="en-US" w:eastAsia="zh-CN"/>
              </w:rPr>
              <w:t>应不</w:t>
            </w:r>
            <w:r>
              <w:rPr>
                <w:rFonts w:hint="eastAsia" w:ascii="仿宋_GB2312" w:hAnsi="仿宋_GB2312" w:eastAsia="仿宋_GB2312" w:cs="仿宋_GB2312"/>
                <w:spacing w:val="0"/>
                <w:sz w:val="20"/>
                <w:szCs w:val="20"/>
                <w:highlight w:val="none"/>
              </w:rPr>
              <w:t>小于1.35m。</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《体育场所开放条件与技术要求第1部分：游泳场所》GB 19079.1-2013第5.5条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01.2.01.027</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color w:val="000000"/>
                <w:spacing w:val="0"/>
                <w:kern w:val="2"/>
                <w:sz w:val="20"/>
                <w:szCs w:val="20"/>
                <w:highlight w:val="none"/>
                <w:lang w:val="en-US" w:eastAsia="zh-CN" w:bidi="mn-Mong-CN"/>
              </w:rPr>
            </w:pPr>
          </w:p>
        </w:tc>
        <w:tc>
          <w:tcPr>
            <w:tcW w:w="277" w:type="pct"/>
            <w:vMerge w:val="continue"/>
            <w:tcBorders>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游泳池出入水扶梯</w:t>
            </w:r>
            <w:r>
              <w:rPr>
                <w:rFonts w:hint="eastAsia" w:ascii="仿宋_GB2312" w:hAnsi="仿宋_GB2312" w:eastAsia="仿宋_GB2312" w:cs="仿宋_GB2312"/>
                <w:spacing w:val="0"/>
                <w:sz w:val="20"/>
                <w:szCs w:val="20"/>
                <w:highlight w:val="none"/>
                <w:lang w:val="en-US" w:eastAsia="zh-CN"/>
              </w:rPr>
              <w:t>数量设置不足</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扶梯</w:t>
            </w:r>
            <w:r>
              <w:rPr>
                <w:rFonts w:hint="eastAsia" w:ascii="仿宋_GB2312" w:hAnsi="仿宋_GB2312" w:eastAsia="仿宋_GB2312" w:cs="仿宋_GB2312"/>
                <w:spacing w:val="0"/>
                <w:sz w:val="20"/>
                <w:szCs w:val="20"/>
                <w:highlight w:val="none"/>
              </w:rPr>
              <w:t>带有粗糙或锐角部位</w:t>
            </w:r>
            <w:r>
              <w:rPr>
                <w:rFonts w:hint="eastAsia" w:ascii="仿宋_GB2312" w:hAnsi="仿宋_GB2312" w:eastAsia="仿宋_GB2312" w:cs="仿宋_GB2312"/>
                <w:spacing w:val="0"/>
                <w:sz w:val="20"/>
                <w:szCs w:val="20"/>
                <w:highlight w:val="none"/>
                <w:lang w:eastAsia="zh-CN"/>
              </w:rPr>
              <w:t>。</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水面面积在500m</w:t>
            </w:r>
            <w:r>
              <w:rPr>
                <w:rFonts w:hint="eastAsia" w:ascii="仿宋_GB2312" w:hAnsi="仿宋_GB2312" w:eastAsia="仿宋_GB2312" w:cs="仿宋_GB2312"/>
                <w:spacing w:val="0"/>
                <w:sz w:val="20"/>
                <w:szCs w:val="20"/>
                <w:highlight w:val="none"/>
                <w:vertAlign w:val="superscript"/>
                <w:lang w:val="en-US" w:eastAsia="zh-CN"/>
              </w:rPr>
              <w:t>2</w:t>
            </w:r>
            <w:r>
              <w:rPr>
                <w:rFonts w:hint="eastAsia" w:ascii="仿宋_GB2312" w:hAnsi="仿宋_GB2312" w:eastAsia="仿宋_GB2312" w:cs="仿宋_GB2312"/>
                <w:spacing w:val="0"/>
                <w:sz w:val="20"/>
                <w:szCs w:val="20"/>
                <w:highlight w:val="none"/>
              </w:rPr>
              <w:t>以下的游泳池</w:t>
            </w:r>
            <w:r>
              <w:rPr>
                <w:rFonts w:hint="eastAsia" w:ascii="仿宋_GB2312" w:hAnsi="仿宋_GB2312" w:eastAsia="仿宋_GB2312" w:cs="仿宋_GB2312"/>
                <w:spacing w:val="0"/>
                <w:sz w:val="20"/>
                <w:szCs w:val="20"/>
                <w:highlight w:val="none"/>
                <w:lang w:val="en-US" w:eastAsia="zh-CN"/>
              </w:rPr>
              <w:t>应至少设置</w:t>
            </w:r>
            <w:r>
              <w:rPr>
                <w:rFonts w:hint="eastAsia" w:ascii="仿宋_GB2312" w:hAnsi="仿宋_GB2312" w:eastAsia="仿宋_GB2312" w:cs="仿宋_GB2312"/>
                <w:spacing w:val="0"/>
                <w:sz w:val="20"/>
                <w:szCs w:val="20"/>
                <w:highlight w:val="none"/>
              </w:rPr>
              <w:t>2个出入水扶梯，水面面积在500m</w:t>
            </w:r>
            <w:r>
              <w:rPr>
                <w:rFonts w:hint="eastAsia" w:ascii="仿宋_GB2312" w:hAnsi="仿宋_GB2312" w:eastAsia="仿宋_GB2312" w:cs="仿宋_GB2312"/>
                <w:spacing w:val="0"/>
                <w:sz w:val="20"/>
                <w:szCs w:val="20"/>
                <w:highlight w:val="none"/>
                <w:vertAlign w:val="superscript"/>
                <w:lang w:val="en-US" w:eastAsia="zh-CN"/>
              </w:rPr>
              <w:t>2</w:t>
            </w:r>
            <w:r>
              <w:rPr>
                <w:rFonts w:hint="eastAsia" w:ascii="仿宋_GB2312" w:hAnsi="仿宋_GB2312" w:eastAsia="仿宋_GB2312" w:cs="仿宋_GB2312"/>
                <w:spacing w:val="0"/>
                <w:sz w:val="20"/>
                <w:szCs w:val="20"/>
                <w:highlight w:val="none"/>
              </w:rPr>
              <w:t>及以上的游泳池</w:t>
            </w:r>
            <w:r>
              <w:rPr>
                <w:rFonts w:hint="eastAsia" w:ascii="仿宋_GB2312" w:hAnsi="仿宋_GB2312" w:eastAsia="仿宋_GB2312" w:cs="仿宋_GB2312"/>
                <w:spacing w:val="0"/>
                <w:sz w:val="20"/>
                <w:szCs w:val="20"/>
                <w:highlight w:val="none"/>
                <w:lang w:val="en-US" w:eastAsia="zh-CN"/>
              </w:rPr>
              <w:t>应至少</w:t>
            </w:r>
            <w:r>
              <w:rPr>
                <w:rFonts w:hint="eastAsia" w:ascii="仿宋_GB2312" w:hAnsi="仿宋_GB2312" w:eastAsia="仿宋_GB2312" w:cs="仿宋_GB2312"/>
                <w:spacing w:val="0"/>
                <w:sz w:val="20"/>
                <w:szCs w:val="20"/>
                <w:highlight w:val="none"/>
              </w:rPr>
              <w:t>设置4个出入水扶梯。扶梯</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经过光滑倒角处理，</w:t>
            </w:r>
            <w:r>
              <w:rPr>
                <w:rFonts w:hint="eastAsia" w:ascii="仿宋_GB2312" w:hAnsi="仿宋_GB2312" w:eastAsia="仿宋_GB2312" w:cs="仿宋_GB2312"/>
                <w:spacing w:val="0"/>
                <w:sz w:val="20"/>
                <w:szCs w:val="20"/>
                <w:highlight w:val="none"/>
                <w:lang w:val="en-US" w:eastAsia="zh-CN"/>
              </w:rPr>
              <w:t>不应</w:t>
            </w:r>
            <w:r>
              <w:rPr>
                <w:rFonts w:hint="eastAsia" w:ascii="仿宋_GB2312" w:hAnsi="仿宋_GB2312" w:eastAsia="仿宋_GB2312" w:cs="仿宋_GB2312"/>
                <w:spacing w:val="0"/>
                <w:sz w:val="20"/>
                <w:szCs w:val="20"/>
                <w:highlight w:val="none"/>
              </w:rPr>
              <w:t>有粗糙或锐角部位</w:t>
            </w:r>
            <w:r>
              <w:rPr>
                <w:rFonts w:hint="eastAsia" w:ascii="仿宋_GB2312" w:hAnsi="仿宋_GB2312" w:eastAsia="仿宋_GB2312" w:cs="仿宋_GB2312"/>
                <w:spacing w:val="0"/>
                <w:sz w:val="20"/>
                <w:szCs w:val="20"/>
                <w:highlight w:val="none"/>
                <w:lang w:eastAsia="zh-CN"/>
              </w:rPr>
              <w:t>。</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《体育场所开放条件与技术要求第1部分</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游泳场所》GB 19079.1-2013第5.6条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《体育场所安全运营管理规范</w:t>
            </w:r>
            <w:r>
              <w:rPr>
                <w:rFonts w:hint="eastAsia" w:ascii="仿宋_GB2312" w:hAnsi="仿宋_GB2312" w:eastAsia="仿宋_GB2312" w:cs="仿宋_GB2312"/>
                <w:spacing w:val="0"/>
                <w:sz w:val="20"/>
                <w:szCs w:val="20"/>
                <w:highlight w:val="none"/>
                <w:lang w:val="en-US" w:eastAsia="zh-CN"/>
              </w:rPr>
              <w:t xml:space="preserve"> </w:t>
            </w:r>
            <w:r>
              <w:rPr>
                <w:rFonts w:hint="eastAsia" w:ascii="仿宋_GB2312" w:hAnsi="仿宋_GB2312" w:eastAsia="仿宋_GB2312" w:cs="仿宋_GB2312"/>
                <w:spacing w:val="0"/>
                <w:sz w:val="20"/>
                <w:szCs w:val="20"/>
                <w:highlight w:val="none"/>
              </w:rPr>
              <w:t>游泳场所》DB11/T 1218-2019第5.1.</w:t>
            </w:r>
            <w:r>
              <w:rPr>
                <w:rFonts w:hint="eastAsia" w:ascii="仿宋_GB2312" w:hAnsi="仿宋_GB2312" w:eastAsia="仿宋_GB2312" w:cs="仿宋_GB2312"/>
                <w:spacing w:val="0"/>
                <w:sz w:val="20"/>
                <w:szCs w:val="20"/>
                <w:highlight w:val="none"/>
                <w:lang w:val="en-US" w:eastAsia="zh-CN"/>
              </w:rPr>
              <w:t>10</w:t>
            </w:r>
            <w:r>
              <w:rPr>
                <w:rFonts w:hint="eastAsia" w:ascii="仿宋_GB2312" w:hAnsi="仿宋_GB2312" w:eastAsia="仿宋_GB2312" w:cs="仿宋_GB2312"/>
                <w:spacing w:val="0"/>
                <w:sz w:val="20"/>
                <w:szCs w:val="20"/>
                <w:highlight w:val="none"/>
              </w:rPr>
              <w:t>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kern w:val="2"/>
                <w:sz w:val="20"/>
                <w:szCs w:val="20"/>
                <w:highlight w:val="none"/>
                <w:lang w:val="en-US" w:eastAsia="zh-CN" w:bidi="ar-SA"/>
              </w:rPr>
            </w:pPr>
            <w:r>
              <w:rPr>
                <w:rFonts w:hint="eastAsia" w:ascii="仿宋_GB2312" w:hAnsi="仿宋_GB2312" w:eastAsia="仿宋_GB2312" w:cs="仿宋_GB2312"/>
                <w:color w:val="000000"/>
                <w:spacing w:val="0"/>
                <w:kern w:val="2"/>
                <w:sz w:val="20"/>
                <w:szCs w:val="20"/>
                <w:highlight w:val="none"/>
                <w:lang w:val="en-US" w:eastAsia="zh-CN" w:bidi="mn-Mong-CN"/>
              </w:rPr>
              <w:t>01.2.01.028</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color w:val="000000"/>
                <w:spacing w:val="0"/>
                <w:kern w:val="2"/>
                <w:sz w:val="20"/>
                <w:szCs w:val="20"/>
                <w:highlight w:val="none"/>
                <w:lang w:val="en-US" w:eastAsia="zh-CN" w:bidi="mn-Mong-CN"/>
              </w:rPr>
            </w:pPr>
          </w:p>
        </w:tc>
        <w:tc>
          <w:tcPr>
            <w:tcW w:w="277" w:type="pct"/>
            <w:vMerge w:val="continue"/>
            <w:tcBorders>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游泳池观察台</w:t>
            </w:r>
            <w:r>
              <w:rPr>
                <w:rFonts w:hint="eastAsia" w:ascii="仿宋_GB2312" w:hAnsi="仿宋_GB2312" w:eastAsia="仿宋_GB2312" w:cs="仿宋_GB2312"/>
                <w:spacing w:val="0"/>
                <w:sz w:val="20"/>
                <w:szCs w:val="20"/>
                <w:highlight w:val="none"/>
                <w:lang w:val="en-US" w:eastAsia="zh-CN"/>
              </w:rPr>
              <w:t>数量</w:t>
            </w:r>
            <w:r>
              <w:rPr>
                <w:rFonts w:hint="eastAsia" w:ascii="仿宋_GB2312" w:hAnsi="仿宋_GB2312" w:eastAsia="仿宋_GB2312" w:cs="仿宋_GB2312"/>
                <w:spacing w:val="0"/>
                <w:sz w:val="20"/>
                <w:szCs w:val="20"/>
                <w:highlight w:val="none"/>
              </w:rPr>
              <w:t>设置</w:t>
            </w:r>
            <w:r>
              <w:rPr>
                <w:rFonts w:hint="eastAsia" w:ascii="仿宋_GB2312" w:hAnsi="仿宋_GB2312" w:eastAsia="仿宋_GB2312" w:cs="仿宋_GB2312"/>
                <w:spacing w:val="0"/>
                <w:sz w:val="20"/>
                <w:szCs w:val="20"/>
                <w:highlight w:val="none"/>
                <w:lang w:val="en-US" w:eastAsia="zh-CN"/>
              </w:rPr>
              <w:t>不足、高度不符合要求。</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应配置有救生观察台。游泳池水面面积250m</w:t>
            </w:r>
            <w:r>
              <w:rPr>
                <w:rFonts w:hint="eastAsia" w:ascii="仿宋_GB2312" w:hAnsi="仿宋_GB2312" w:eastAsia="仿宋_GB2312" w:cs="仿宋_GB2312"/>
                <w:spacing w:val="0"/>
                <w:sz w:val="20"/>
                <w:szCs w:val="20"/>
                <w:highlight w:val="none"/>
                <w:vertAlign w:val="superscript"/>
                <w:lang w:val="en-US" w:eastAsia="zh-CN"/>
              </w:rPr>
              <w:t>2</w:t>
            </w:r>
            <w:r>
              <w:rPr>
                <w:rFonts w:hint="eastAsia" w:ascii="仿宋_GB2312" w:hAnsi="仿宋_GB2312" w:eastAsia="仿宋_GB2312" w:cs="仿宋_GB2312"/>
                <w:spacing w:val="0"/>
                <w:sz w:val="20"/>
                <w:szCs w:val="20"/>
                <w:highlight w:val="none"/>
              </w:rPr>
              <w:t>以下的，应至少设置2个观察台；水面面积在250m</w:t>
            </w:r>
            <w:r>
              <w:rPr>
                <w:rFonts w:hint="eastAsia" w:ascii="仿宋_GB2312" w:hAnsi="仿宋_GB2312" w:eastAsia="仿宋_GB2312" w:cs="仿宋_GB2312"/>
                <w:spacing w:val="0"/>
                <w:sz w:val="20"/>
                <w:szCs w:val="20"/>
                <w:highlight w:val="none"/>
                <w:vertAlign w:val="superscript"/>
                <w:lang w:val="en-US" w:eastAsia="zh-CN"/>
              </w:rPr>
              <w:t>2</w:t>
            </w:r>
            <w:r>
              <w:rPr>
                <w:rFonts w:hint="eastAsia" w:ascii="仿宋_GB2312" w:hAnsi="仿宋_GB2312" w:eastAsia="仿宋_GB2312" w:cs="仿宋_GB2312"/>
                <w:spacing w:val="0"/>
                <w:sz w:val="20"/>
                <w:szCs w:val="20"/>
                <w:highlight w:val="none"/>
              </w:rPr>
              <w:t>及以上的，应按面积每增加250m</w:t>
            </w:r>
            <w:r>
              <w:rPr>
                <w:rFonts w:hint="eastAsia" w:ascii="仿宋_GB2312" w:hAnsi="仿宋_GB2312" w:eastAsia="仿宋_GB2312" w:cs="仿宋_GB2312"/>
                <w:spacing w:val="0"/>
                <w:sz w:val="20"/>
                <w:szCs w:val="20"/>
                <w:highlight w:val="none"/>
                <w:vertAlign w:val="superscript"/>
                <w:lang w:val="en-US" w:eastAsia="zh-CN"/>
              </w:rPr>
              <w:t>2</w:t>
            </w:r>
            <w:r>
              <w:rPr>
                <w:rFonts w:hint="eastAsia" w:ascii="仿宋_GB2312" w:hAnsi="仿宋_GB2312" w:eastAsia="仿宋_GB2312" w:cs="仿宋_GB2312"/>
                <w:spacing w:val="0"/>
                <w:sz w:val="20"/>
                <w:szCs w:val="20"/>
                <w:highlight w:val="none"/>
              </w:rPr>
              <w:t>及以内增设1个观察台的比例，配置观察台；观察台的高度应不小于1.5m。</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《体育场所开放条件与技术要求第1部分：游泳场所》</w:t>
            </w:r>
            <w:r>
              <w:rPr>
                <w:rFonts w:hint="eastAsia" w:ascii="仿宋_GB2312" w:hAnsi="仿宋_GB2312" w:eastAsia="仿宋_GB2312" w:cs="仿宋_GB2312"/>
                <w:spacing w:val="0"/>
                <w:sz w:val="20"/>
                <w:szCs w:val="20"/>
                <w:highlight w:val="none"/>
                <w:lang w:val="en-US" w:eastAsia="zh-CN"/>
              </w:rPr>
              <w:t>G</w:t>
            </w:r>
            <w:r>
              <w:rPr>
                <w:rFonts w:hint="eastAsia" w:ascii="仿宋_GB2312" w:hAnsi="仿宋_GB2312" w:eastAsia="仿宋_GB2312" w:cs="仿宋_GB2312"/>
                <w:spacing w:val="0"/>
                <w:sz w:val="20"/>
                <w:szCs w:val="20"/>
                <w:highlight w:val="none"/>
              </w:rPr>
              <w:t>B19079.1-2013第7.1.1条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01.2.01.029</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游泳池内的排水设施未设置安全防护罩</w:t>
            </w:r>
            <w:r>
              <w:rPr>
                <w:rFonts w:hint="eastAsia" w:ascii="仿宋_GB2312" w:hAnsi="仿宋_GB2312" w:eastAsia="仿宋_GB2312" w:cs="仿宋_GB2312"/>
                <w:spacing w:val="0"/>
                <w:sz w:val="20"/>
                <w:szCs w:val="20"/>
                <w:highlight w:val="none"/>
                <w:lang w:eastAsia="zh-CN"/>
              </w:rPr>
              <w:t>。</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游泳池内的给水、排水口应设置安全防吸护罩。</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《体育场所开放条件与技术要求第1部分：游泳场所》GB 19079.1-2013第</w:t>
            </w:r>
            <w:r>
              <w:rPr>
                <w:rFonts w:hint="eastAsia" w:ascii="仿宋_GB2312" w:hAnsi="仿宋_GB2312" w:eastAsia="仿宋_GB2312" w:cs="仿宋_GB2312"/>
                <w:spacing w:val="0"/>
                <w:sz w:val="20"/>
                <w:szCs w:val="20"/>
                <w:highlight w:val="none"/>
                <w:lang w:val="en-US" w:eastAsia="zh-CN"/>
              </w:rPr>
              <w:t>5.8</w:t>
            </w:r>
            <w:r>
              <w:rPr>
                <w:rFonts w:hint="eastAsia" w:ascii="仿宋_GB2312" w:hAnsi="仿宋_GB2312" w:eastAsia="仿宋_GB2312" w:cs="仿宋_GB2312"/>
                <w:spacing w:val="0"/>
                <w:sz w:val="20"/>
                <w:szCs w:val="20"/>
                <w:highlight w:val="none"/>
              </w:rPr>
              <w:t>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01.2.01.030</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未进行水质监测</w:t>
            </w:r>
            <w:r>
              <w:rPr>
                <w:rFonts w:hint="eastAsia" w:ascii="仿宋_GB2312" w:hAnsi="仿宋_GB2312" w:eastAsia="仿宋_GB2312" w:cs="仿宋_GB2312"/>
                <w:spacing w:val="0"/>
                <w:sz w:val="20"/>
                <w:szCs w:val="20"/>
                <w:highlight w:val="none"/>
              </w:rPr>
              <w:t>。</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泳池开放期间，应进行水质监测并记录。</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《体育场所开放条件与技术要求第1部分：游泳场所》GB 19079.1-2013第</w:t>
            </w:r>
            <w:r>
              <w:rPr>
                <w:rFonts w:hint="eastAsia" w:ascii="仿宋_GB2312" w:hAnsi="仿宋_GB2312" w:eastAsia="仿宋_GB2312" w:cs="仿宋_GB2312"/>
                <w:spacing w:val="0"/>
                <w:sz w:val="20"/>
                <w:szCs w:val="20"/>
                <w:highlight w:val="none"/>
                <w:lang w:val="en-US" w:eastAsia="zh-CN"/>
              </w:rPr>
              <w:t>6.3</w:t>
            </w:r>
            <w:r>
              <w:rPr>
                <w:rFonts w:hint="eastAsia" w:ascii="仿宋_GB2312" w:hAnsi="仿宋_GB2312" w:eastAsia="仿宋_GB2312" w:cs="仿宋_GB2312"/>
                <w:spacing w:val="0"/>
                <w:sz w:val="20"/>
                <w:szCs w:val="20"/>
                <w:highlight w:val="none"/>
              </w:rPr>
              <w:t>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01.2.02.031</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restart"/>
            <w:tcBorders>
              <w:top w:val="single" w:color="auto" w:sz="6" w:space="0"/>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辅助系统设备设施类</w:t>
            </w: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游泳池池岸、卫生间、淋浴间及更衣室地面未做防滑处理；有破损时未及时进行维护。</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游泳池池岸、卫生间、淋浴间及更衣室地面</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防滑；有破损时</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及时进行维护。</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《体育场所开放条件与技术要求第1部分：游泳场所》GB 19079.1-2013第5.7条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01.2.02.032</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未设置</w:t>
            </w:r>
            <w:r>
              <w:rPr>
                <w:rFonts w:hint="eastAsia" w:ascii="仿宋_GB2312" w:hAnsi="仿宋_GB2312" w:eastAsia="仿宋_GB2312" w:cs="仿宋_GB2312"/>
                <w:spacing w:val="0"/>
                <w:sz w:val="20"/>
                <w:szCs w:val="20"/>
                <w:highlight w:val="none"/>
                <w:lang w:val="en-US" w:eastAsia="zh-CN"/>
              </w:rPr>
              <w:t>应急</w:t>
            </w:r>
            <w:r>
              <w:rPr>
                <w:rFonts w:hint="eastAsia" w:ascii="仿宋_GB2312" w:hAnsi="仿宋_GB2312" w:eastAsia="仿宋_GB2312" w:cs="仿宋_GB2312"/>
                <w:spacing w:val="0"/>
                <w:sz w:val="20"/>
                <w:szCs w:val="20"/>
                <w:highlight w:val="none"/>
              </w:rPr>
              <w:t>广播系统</w:t>
            </w:r>
            <w:r>
              <w:rPr>
                <w:rFonts w:hint="eastAsia" w:ascii="仿宋_GB2312" w:hAnsi="仿宋_GB2312" w:eastAsia="仿宋_GB2312" w:cs="仿宋_GB2312"/>
                <w:spacing w:val="0"/>
                <w:sz w:val="20"/>
                <w:szCs w:val="20"/>
                <w:highlight w:val="none"/>
                <w:lang w:eastAsia="zh-CN"/>
              </w:rPr>
              <w:t>，有关负责人不会使用</w:t>
            </w:r>
            <w:r>
              <w:rPr>
                <w:rFonts w:hint="eastAsia" w:ascii="仿宋_GB2312" w:hAnsi="仿宋_GB2312" w:eastAsia="仿宋_GB2312" w:cs="仿宋_GB2312"/>
                <w:spacing w:val="0"/>
                <w:sz w:val="20"/>
                <w:szCs w:val="20"/>
                <w:highlight w:val="none"/>
                <w:lang w:val="en-US" w:eastAsia="zh-CN"/>
              </w:rPr>
              <w:t>应急</w:t>
            </w:r>
            <w:r>
              <w:rPr>
                <w:rFonts w:hint="eastAsia" w:ascii="仿宋_GB2312" w:hAnsi="仿宋_GB2312" w:eastAsia="仿宋_GB2312" w:cs="仿宋_GB2312"/>
                <w:spacing w:val="0"/>
                <w:sz w:val="20"/>
                <w:szCs w:val="20"/>
                <w:highlight w:val="none"/>
                <w:lang w:eastAsia="zh-CN"/>
              </w:rPr>
              <w:t>广播</w:t>
            </w:r>
            <w:r>
              <w:rPr>
                <w:rFonts w:hint="eastAsia" w:ascii="仿宋_GB2312" w:hAnsi="仿宋_GB2312" w:eastAsia="仿宋_GB2312" w:cs="仿宋_GB2312"/>
                <w:spacing w:val="0"/>
                <w:sz w:val="20"/>
                <w:szCs w:val="20"/>
                <w:highlight w:val="none"/>
                <w:lang w:val="en-US" w:eastAsia="zh-CN"/>
              </w:rPr>
              <w:t>系统</w:t>
            </w:r>
            <w:r>
              <w:rPr>
                <w:rFonts w:hint="eastAsia" w:ascii="仿宋_GB2312" w:hAnsi="仿宋_GB2312" w:eastAsia="仿宋_GB2312" w:cs="仿宋_GB2312"/>
                <w:spacing w:val="0"/>
                <w:sz w:val="20"/>
                <w:szCs w:val="20"/>
                <w:highlight w:val="none"/>
              </w:rPr>
              <w:t>。</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应设置能够覆盖全部营业区域的应急广播，并能够使用中英文两种语言播放</w:t>
            </w:r>
            <w:r>
              <w:rPr>
                <w:rFonts w:hint="eastAsia" w:ascii="仿宋_GB2312" w:hAnsi="仿宋_GB2312" w:eastAsia="仿宋_GB2312" w:cs="仿宋_GB2312"/>
                <w:spacing w:val="0"/>
                <w:sz w:val="20"/>
                <w:szCs w:val="20"/>
                <w:highlight w:val="none"/>
                <w:lang w:eastAsia="zh-CN"/>
              </w:rPr>
              <w:t>，有关负责人</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lang w:eastAsia="zh-CN"/>
              </w:rPr>
              <w:t>会使用广播</w:t>
            </w:r>
            <w:r>
              <w:rPr>
                <w:rFonts w:hint="eastAsia" w:ascii="仿宋_GB2312" w:hAnsi="仿宋_GB2312" w:eastAsia="仿宋_GB2312" w:cs="仿宋_GB2312"/>
                <w:spacing w:val="0"/>
                <w:sz w:val="20"/>
                <w:szCs w:val="20"/>
                <w:highlight w:val="none"/>
                <w:lang w:val="en-US" w:eastAsia="zh-CN"/>
              </w:rPr>
              <w:t>系统</w:t>
            </w:r>
            <w:r>
              <w:rPr>
                <w:rFonts w:hint="eastAsia" w:ascii="仿宋_GB2312" w:hAnsi="仿宋_GB2312" w:eastAsia="仿宋_GB2312" w:cs="仿宋_GB2312"/>
                <w:spacing w:val="0"/>
                <w:sz w:val="20"/>
                <w:szCs w:val="20"/>
                <w:highlight w:val="none"/>
              </w:rPr>
              <w:t>。</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《北京市体育运动项目经营单位安全生产规定》第三十一条</w:t>
            </w:r>
            <w:r>
              <w:rPr>
                <w:rFonts w:hint="eastAsia" w:ascii="仿宋_GB2312" w:hAnsi="仿宋_GB2312" w:eastAsia="仿宋_GB2312" w:cs="仿宋_GB2312"/>
                <w:spacing w:val="0"/>
                <w:sz w:val="20"/>
                <w:szCs w:val="20"/>
                <w:highlight w:val="none"/>
                <w:lang w:eastAsia="zh-CN"/>
              </w:rPr>
              <w:t>；《北京市安全生产条例》第三十四条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01.2.02.033</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beforeLines="0" w:afterLines="0" w:line="300" w:lineRule="exact"/>
              <w:ind w:left="84" w:leftChars="40" w:right="84" w:rightChars="40"/>
              <w:jc w:val="both"/>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rPr>
              <w:t>开放夜场的游泳场所未配置足够的应急照明灯</w:t>
            </w:r>
            <w:r>
              <w:rPr>
                <w:rFonts w:hint="eastAsia" w:ascii="仿宋_GB2312" w:hAnsi="仿宋_GB2312" w:eastAsia="仿宋_GB2312" w:cs="仿宋_GB2312"/>
                <w:color w:val="000000"/>
                <w:spacing w:val="0"/>
                <w:sz w:val="20"/>
                <w:szCs w:val="20"/>
                <w:highlight w:val="none"/>
                <w:lang w:eastAsia="zh-CN"/>
              </w:rPr>
              <w:t>。</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beforeLines="0" w:afterLines="0" w:line="300" w:lineRule="exact"/>
              <w:ind w:left="84" w:leftChars="40" w:right="84" w:rightChars="40"/>
              <w:jc w:val="both"/>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rPr>
              <w:t>开放夜场的游泳场所应有足够的应急照明灯。</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beforeLines="0" w:afterLines="0" w:line="300" w:lineRule="exact"/>
              <w:ind w:left="84" w:leftChars="40" w:right="84" w:rightChars="40"/>
              <w:jc w:val="both"/>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rPr>
              <w:t>《体育场所开放条件与技术要求第1部分：游泳场所》GB 19079.1-2013第5.11条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01.2.03.034</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restart"/>
            <w:tcBorders>
              <w:top w:val="single" w:color="auto" w:sz="6" w:space="0"/>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kern w:val="2"/>
                <w:sz w:val="20"/>
                <w:szCs w:val="20"/>
                <w:highlight w:val="none"/>
                <w:lang w:val="en-US" w:eastAsia="zh-CN" w:bidi="ar-SA"/>
              </w:rPr>
            </w:pPr>
            <w:r>
              <w:rPr>
                <w:rFonts w:hint="eastAsia" w:ascii="仿宋_GB2312" w:hAnsi="仿宋_GB2312" w:eastAsia="仿宋_GB2312" w:cs="仿宋_GB2312"/>
                <w:spacing w:val="0"/>
                <w:sz w:val="20"/>
                <w:szCs w:val="20"/>
                <w:highlight w:val="none"/>
                <w:lang w:val="en-US" w:eastAsia="zh-CN"/>
              </w:rPr>
              <w:t>消防设施类</w:t>
            </w: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消火栓被埋压、圈占、遮挡</w:t>
            </w:r>
            <w:r>
              <w:rPr>
                <w:rFonts w:hint="eastAsia" w:ascii="仿宋_GB2312" w:hAnsi="仿宋_GB2312" w:eastAsia="仿宋_GB2312" w:cs="仿宋_GB2312"/>
                <w:spacing w:val="0"/>
                <w:sz w:val="20"/>
                <w:szCs w:val="20"/>
                <w:highlight w:val="none"/>
                <w:lang w:eastAsia="zh-CN"/>
              </w:rPr>
              <w:t>。</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i w:val="0"/>
                <w:iCs w:val="0"/>
                <w:caps w:val="0"/>
                <w:spacing w:val="0"/>
                <w:sz w:val="20"/>
                <w:szCs w:val="20"/>
                <w:highlight w:val="none"/>
                <w:shd w:val="clear" w:color="auto" w:fill="FFFFFF"/>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r>
              <w:rPr>
                <w:rFonts w:hint="eastAsia" w:ascii="仿宋_GB2312" w:hAnsi="仿宋_GB2312" w:eastAsia="仿宋_GB2312" w:cs="仿宋_GB2312"/>
                <w:i w:val="0"/>
                <w:iCs w:val="0"/>
                <w:caps w:val="0"/>
                <w:spacing w:val="0"/>
                <w:sz w:val="20"/>
                <w:szCs w:val="20"/>
                <w:highlight w:val="none"/>
                <w:shd w:val="clear" w:color="auto" w:fill="FFFFFF"/>
                <w:lang w:eastAsia="zh-CN"/>
              </w:rPr>
              <w:t>。</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《中华人民共和国消防法》第二十八条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b w:val="0"/>
                <w:bCs w:val="0"/>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01.2.03.035</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kern w:val="2"/>
                <w:sz w:val="20"/>
                <w:szCs w:val="20"/>
                <w:highlight w:val="none"/>
                <w:lang w:val="en-US" w:eastAsia="zh-CN" w:bidi="ar-SA"/>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灭火器软管损坏、筒体明显锈蚀；灭火器压力不符合标准，压力指针不在压力表绿区范围内</w:t>
            </w:r>
            <w:r>
              <w:rPr>
                <w:rFonts w:hint="eastAsia" w:ascii="仿宋_GB2312" w:hAnsi="仿宋_GB2312" w:eastAsia="仿宋_GB2312" w:cs="仿宋_GB2312"/>
                <w:spacing w:val="0"/>
                <w:sz w:val="20"/>
                <w:szCs w:val="20"/>
                <w:highlight w:val="none"/>
                <w:lang w:eastAsia="zh-CN"/>
              </w:rPr>
              <w:t>。</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单位应</w:t>
            </w:r>
            <w:r>
              <w:rPr>
                <w:rFonts w:hint="eastAsia" w:ascii="仿宋_GB2312" w:hAnsi="仿宋_GB2312" w:eastAsia="仿宋_GB2312" w:cs="仿宋_GB2312"/>
                <w:spacing w:val="0"/>
                <w:sz w:val="20"/>
                <w:szCs w:val="20"/>
                <w:highlight w:val="none"/>
              </w:rPr>
              <w:t>按照国家标准、行业标准配置消防设施、器材，设置消防安全标志，并定期组织检验、维修，确保完好有效</w:t>
            </w:r>
            <w:r>
              <w:rPr>
                <w:rFonts w:hint="eastAsia" w:ascii="仿宋_GB2312" w:hAnsi="仿宋_GB2312" w:eastAsia="仿宋_GB2312" w:cs="仿宋_GB2312"/>
                <w:spacing w:val="0"/>
                <w:sz w:val="20"/>
                <w:szCs w:val="20"/>
                <w:highlight w:val="none"/>
                <w:lang w:eastAsia="zh-CN"/>
              </w:rPr>
              <w:t>。</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《中华人民共和国消防法》第十六条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b w:val="0"/>
                <w:bCs w:val="0"/>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01.2.03.036</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kern w:val="2"/>
                <w:sz w:val="20"/>
                <w:szCs w:val="20"/>
                <w:highlight w:val="none"/>
                <w:lang w:val="en-US" w:eastAsia="zh-CN" w:bidi="ar-SA"/>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自动喷水灭火系统或火灾自动报警系统，未保持正常使用或运行的</w:t>
            </w:r>
            <w:r>
              <w:rPr>
                <w:rFonts w:hint="eastAsia" w:ascii="仿宋_GB2312" w:hAnsi="仿宋_GB2312" w:eastAsia="仿宋_GB2312" w:cs="仿宋_GB2312"/>
                <w:spacing w:val="0"/>
                <w:sz w:val="20"/>
                <w:szCs w:val="20"/>
                <w:highlight w:val="none"/>
                <w:lang w:eastAsia="zh-CN"/>
              </w:rPr>
              <w:t>。</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单位应</w:t>
            </w:r>
            <w:r>
              <w:rPr>
                <w:rFonts w:hint="eastAsia" w:ascii="仿宋_GB2312" w:hAnsi="仿宋_GB2312" w:eastAsia="仿宋_GB2312" w:cs="仿宋_GB2312"/>
                <w:spacing w:val="0"/>
                <w:sz w:val="20"/>
                <w:szCs w:val="20"/>
                <w:highlight w:val="none"/>
              </w:rPr>
              <w:t>按照国家标准、行业标准配置消防设施、器材，设置消防安全标志，并定期组织检验、维修，确保完好有效</w:t>
            </w:r>
            <w:r>
              <w:rPr>
                <w:rFonts w:hint="eastAsia" w:ascii="仿宋_GB2312" w:hAnsi="仿宋_GB2312" w:eastAsia="仿宋_GB2312" w:cs="仿宋_GB2312"/>
                <w:spacing w:val="0"/>
                <w:sz w:val="20"/>
                <w:szCs w:val="20"/>
                <w:highlight w:val="none"/>
                <w:lang w:eastAsia="zh-CN"/>
              </w:rPr>
              <w:t>。</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《中华人民共和国消防法》第十六条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b w:val="0"/>
                <w:bCs w:val="0"/>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01.2.04.037</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特种设备类</w:t>
            </w: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特种设备未按规定的周期进行检验。</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在检验合格有效期届满前一个月</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向特种设备检验机构提出定期检验要求</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并</w:t>
            </w:r>
            <w:r>
              <w:rPr>
                <w:rFonts w:hint="eastAsia" w:ascii="仿宋_GB2312" w:hAnsi="仿宋_GB2312" w:eastAsia="仿宋_GB2312" w:cs="仿宋_GB2312"/>
                <w:spacing w:val="0"/>
                <w:sz w:val="20"/>
                <w:szCs w:val="20"/>
                <w:highlight w:val="none"/>
              </w:rPr>
              <w:t>将定期检验标志置于该特种设备的显著位置。</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0"/>
                <w:sz w:val="20"/>
                <w:szCs w:val="20"/>
                <w:highlight w:val="none"/>
              </w:rPr>
              <w:t>《中华人民共和国特种设备安全法》第</w:t>
            </w:r>
            <w:r>
              <w:rPr>
                <w:rFonts w:hint="eastAsia" w:ascii="仿宋_GB2312" w:hAnsi="仿宋_GB2312" w:eastAsia="仿宋_GB2312" w:cs="仿宋_GB2312"/>
                <w:color w:val="000000"/>
                <w:spacing w:val="0"/>
                <w:kern w:val="0"/>
                <w:sz w:val="20"/>
                <w:szCs w:val="20"/>
                <w:highlight w:val="none"/>
                <w:lang w:val="en-US" w:eastAsia="zh-CN"/>
              </w:rPr>
              <w:t>四十</w:t>
            </w:r>
            <w:r>
              <w:rPr>
                <w:rFonts w:hint="eastAsia" w:ascii="仿宋_GB2312" w:hAnsi="仿宋_GB2312" w:eastAsia="仿宋_GB2312" w:cs="仿宋_GB2312"/>
                <w:color w:val="000000"/>
                <w:spacing w:val="0"/>
                <w:kern w:val="0"/>
                <w:sz w:val="20"/>
                <w:szCs w:val="20"/>
                <w:highlight w:val="none"/>
              </w:rPr>
              <w:t>条</w:t>
            </w:r>
            <w:r>
              <w:rPr>
                <w:rFonts w:hint="eastAsia" w:ascii="仿宋_GB2312" w:hAnsi="仿宋_GB2312" w:eastAsia="仿宋_GB2312" w:cs="仿宋_GB2312"/>
                <w:color w:val="000000"/>
                <w:spacing w:val="0"/>
                <w:kern w:val="0"/>
                <w:sz w:val="20"/>
                <w:szCs w:val="20"/>
                <w:highlight w:val="none"/>
                <w:lang w:eastAsia="zh-CN"/>
              </w:rPr>
              <w:t>；《特种设备</w:t>
            </w:r>
            <w:r>
              <w:rPr>
                <w:rFonts w:hint="eastAsia" w:ascii="仿宋_GB2312" w:hAnsi="仿宋_GB2312" w:eastAsia="仿宋_GB2312" w:cs="仿宋_GB2312"/>
                <w:color w:val="000000"/>
                <w:spacing w:val="0"/>
                <w:kern w:val="0"/>
                <w:sz w:val="20"/>
                <w:szCs w:val="20"/>
                <w:highlight w:val="none"/>
                <w:lang w:val="en-US" w:eastAsia="zh-CN"/>
              </w:rPr>
              <w:t>重大</w:t>
            </w:r>
            <w:r>
              <w:rPr>
                <w:rFonts w:hint="eastAsia" w:ascii="仿宋_GB2312" w:hAnsi="仿宋_GB2312" w:eastAsia="仿宋_GB2312" w:cs="仿宋_GB2312"/>
                <w:color w:val="000000"/>
                <w:spacing w:val="0"/>
                <w:kern w:val="0"/>
                <w:sz w:val="20"/>
                <w:szCs w:val="20"/>
                <w:highlight w:val="none"/>
                <w:lang w:eastAsia="zh-CN"/>
              </w:rPr>
              <w:t>事故隐患</w:t>
            </w:r>
            <w:r>
              <w:rPr>
                <w:rFonts w:hint="eastAsia" w:ascii="仿宋_GB2312" w:hAnsi="仿宋_GB2312" w:eastAsia="仿宋_GB2312" w:cs="仿宋_GB2312"/>
                <w:color w:val="000000"/>
                <w:spacing w:val="0"/>
                <w:kern w:val="0"/>
                <w:sz w:val="20"/>
                <w:szCs w:val="20"/>
                <w:highlight w:val="none"/>
                <w:lang w:val="en-US" w:eastAsia="zh-CN"/>
              </w:rPr>
              <w:t>判定准则</w:t>
            </w:r>
            <w:r>
              <w:rPr>
                <w:rFonts w:hint="eastAsia" w:ascii="仿宋_GB2312" w:hAnsi="仿宋_GB2312" w:eastAsia="仿宋_GB2312" w:cs="仿宋_GB2312"/>
                <w:color w:val="000000"/>
                <w:spacing w:val="0"/>
                <w:kern w:val="0"/>
                <w:sz w:val="20"/>
                <w:szCs w:val="20"/>
                <w:highlight w:val="none"/>
                <w:lang w:eastAsia="zh-CN"/>
              </w:rPr>
              <w:t>》GB 45067-2024</w:t>
            </w:r>
            <w:r>
              <w:rPr>
                <w:rFonts w:hint="eastAsia" w:ascii="仿宋_GB2312" w:hAnsi="仿宋_GB2312" w:eastAsia="仿宋_GB2312" w:cs="仿宋_GB2312"/>
                <w:color w:val="000000"/>
                <w:spacing w:val="0"/>
                <w:kern w:val="0"/>
                <w:sz w:val="20"/>
                <w:szCs w:val="20"/>
                <w:highlight w:val="none"/>
                <w:lang w:val="en-US" w:eastAsia="zh-CN"/>
              </w:rPr>
              <w:t>第4.1条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宋体" w:hAnsi="宋体" w:eastAsia="宋体" w:cs="宋体"/>
                <w:spacing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b w:val="0"/>
                <w:bCs w:val="0"/>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01.2.05.038</w:t>
            </w:r>
          </w:p>
        </w:tc>
        <w:tc>
          <w:tcPr>
            <w:tcW w:w="275" w:type="pct"/>
            <w:vMerge w:val="continue"/>
            <w:tcBorders>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77" w:type="pct"/>
            <w:vMerge w:val="restart"/>
            <w:tcBorders>
              <w:top w:val="single" w:color="auto" w:sz="6" w:space="0"/>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危险化学品类</w:t>
            </w: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危险化学品</w:t>
            </w:r>
            <w:r>
              <w:rPr>
                <w:rFonts w:hint="eastAsia" w:ascii="仿宋_GB2312" w:hAnsi="仿宋_GB2312" w:eastAsia="仿宋_GB2312" w:cs="仿宋_GB2312"/>
                <w:spacing w:val="0"/>
                <w:sz w:val="20"/>
                <w:szCs w:val="20"/>
                <w:highlight w:val="none"/>
              </w:rPr>
              <w:t>未分区、分类存放，禁忌类危险化学品混合存放。</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危险化学品应</w:t>
            </w:r>
            <w:r>
              <w:rPr>
                <w:rFonts w:hint="eastAsia" w:ascii="仿宋_GB2312" w:hAnsi="仿宋_GB2312" w:eastAsia="仿宋_GB2312" w:cs="仿宋_GB2312"/>
                <w:spacing w:val="0"/>
                <w:sz w:val="20"/>
                <w:szCs w:val="20"/>
                <w:highlight w:val="none"/>
              </w:rPr>
              <w:t>分区、分类存放，禁忌类危险化学品</w:t>
            </w:r>
            <w:r>
              <w:rPr>
                <w:rFonts w:hint="eastAsia" w:ascii="仿宋_GB2312" w:hAnsi="仿宋_GB2312" w:eastAsia="仿宋_GB2312" w:cs="仿宋_GB2312"/>
                <w:spacing w:val="0"/>
                <w:sz w:val="20"/>
                <w:szCs w:val="20"/>
                <w:highlight w:val="none"/>
                <w:lang w:val="en-US" w:eastAsia="zh-CN"/>
              </w:rPr>
              <w:t>不得</w:t>
            </w:r>
            <w:r>
              <w:rPr>
                <w:rFonts w:hint="eastAsia" w:ascii="仿宋_GB2312" w:hAnsi="仿宋_GB2312" w:eastAsia="仿宋_GB2312" w:cs="仿宋_GB2312"/>
                <w:spacing w:val="0"/>
                <w:sz w:val="20"/>
                <w:szCs w:val="20"/>
                <w:highlight w:val="none"/>
              </w:rPr>
              <w:t>混合存放。</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beforeLines="0" w:afterLines="0" w:line="300" w:lineRule="exact"/>
              <w:ind w:left="84" w:leftChars="40" w:right="84" w:rightChars="40"/>
              <w:jc w:val="both"/>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rPr>
              <w:t>《危险化学品安全管理条例》第二十四条；《北京市体育运动项目经营单位安全生产规定》第二十八条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01.2.05.039</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tabs>
                <w:tab w:val="left" w:pos="2634"/>
              </w:tabs>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危险化学品</w:t>
            </w:r>
            <w:r>
              <w:rPr>
                <w:rFonts w:hint="eastAsia" w:ascii="仿宋_GB2312" w:hAnsi="仿宋_GB2312" w:eastAsia="仿宋_GB2312" w:cs="仿宋_GB2312"/>
                <w:spacing w:val="0"/>
                <w:sz w:val="20"/>
                <w:szCs w:val="20"/>
                <w:highlight w:val="none"/>
                <w:lang w:eastAsia="zh-CN"/>
              </w:rPr>
              <w:t>储存场所未做到</w:t>
            </w:r>
            <w:r>
              <w:rPr>
                <w:rFonts w:hint="eastAsia" w:ascii="仿宋_GB2312" w:hAnsi="仿宋_GB2312" w:eastAsia="仿宋_GB2312" w:cs="仿宋_GB2312"/>
                <w:spacing w:val="0"/>
                <w:sz w:val="20"/>
                <w:szCs w:val="20"/>
                <w:highlight w:val="none"/>
                <w:lang w:val="en-US" w:eastAsia="zh-CN"/>
              </w:rPr>
              <w:t>阴凉、干燥、防潮、通风、避光</w:t>
            </w:r>
            <w:r>
              <w:rPr>
                <w:rFonts w:hint="eastAsia" w:ascii="仿宋_GB2312" w:hAnsi="仿宋_GB2312" w:eastAsia="仿宋_GB2312" w:cs="仿宋_GB2312"/>
                <w:spacing w:val="0"/>
                <w:sz w:val="20"/>
                <w:szCs w:val="20"/>
                <w:highlight w:val="none"/>
                <w:lang w:eastAsia="zh-CN"/>
              </w:rPr>
              <w:t>，地面和踢脚未经防腐蚀、防渗处理。</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tabs>
                <w:tab w:val="left" w:pos="2634"/>
              </w:tabs>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eastAsia="zh-CN"/>
              </w:rPr>
            </w:pPr>
            <w:r>
              <w:rPr>
                <w:rFonts w:hint="eastAsia" w:ascii="仿宋_GB2312" w:hAnsi="仿宋_GB2312" w:eastAsia="仿宋_GB2312" w:cs="仿宋_GB2312"/>
                <w:spacing w:val="0"/>
                <w:sz w:val="20"/>
                <w:szCs w:val="20"/>
                <w:highlight w:val="none"/>
                <w:lang w:val="en-US" w:eastAsia="zh-CN"/>
              </w:rPr>
              <w:t>危险化学品储存场所阴凉、干燥、防潮、通风、避光，远离热源、电源、火源，</w:t>
            </w:r>
            <w:r>
              <w:rPr>
                <w:rFonts w:hint="eastAsia" w:ascii="仿宋_GB2312" w:hAnsi="仿宋_GB2312" w:eastAsia="仿宋_GB2312" w:cs="仿宋_GB2312"/>
                <w:spacing w:val="0"/>
                <w:sz w:val="20"/>
                <w:szCs w:val="20"/>
                <w:highlight w:val="none"/>
                <w:lang w:eastAsia="zh-CN"/>
              </w:rPr>
              <w:t>地面和踢脚</w:t>
            </w:r>
            <w:r>
              <w:rPr>
                <w:rFonts w:hint="eastAsia" w:ascii="仿宋_GB2312" w:hAnsi="仿宋_GB2312" w:eastAsia="仿宋_GB2312" w:cs="仿宋_GB2312"/>
                <w:spacing w:val="0"/>
                <w:sz w:val="20"/>
                <w:szCs w:val="20"/>
                <w:highlight w:val="none"/>
                <w:lang w:val="en-US" w:eastAsia="zh-CN"/>
              </w:rPr>
              <w:t>经过防腐蚀、防渗处理。</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beforeLines="0" w:afterLines="0" w:line="300" w:lineRule="exact"/>
              <w:ind w:left="84" w:leftChars="40" w:right="84" w:rightChars="40"/>
              <w:jc w:val="both"/>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rPr>
              <w:t>《危险化学品安全管理条例》第二十条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01.2.05.040</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危险化学品</w:t>
            </w:r>
            <w:r>
              <w:rPr>
                <w:rFonts w:hint="eastAsia" w:ascii="仿宋_GB2312" w:hAnsi="仿宋_GB2312" w:eastAsia="仿宋_GB2312" w:cs="仿宋_GB2312"/>
                <w:color w:val="000000"/>
                <w:spacing w:val="0"/>
                <w:kern w:val="2"/>
                <w:sz w:val="20"/>
                <w:szCs w:val="20"/>
                <w:highlight w:val="none"/>
                <w:lang w:val="en-US" w:eastAsia="zh-CN" w:bidi="mn-Mong-CN"/>
              </w:rPr>
              <w:t>储存场所未设置明显的危险化学品警示标志。</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危险化学品</w:t>
            </w:r>
            <w:r>
              <w:rPr>
                <w:rFonts w:hint="eastAsia" w:ascii="仿宋_GB2312" w:hAnsi="仿宋_GB2312" w:eastAsia="仿宋_GB2312" w:cs="仿宋_GB2312"/>
                <w:color w:val="000000"/>
                <w:spacing w:val="0"/>
                <w:kern w:val="2"/>
                <w:sz w:val="20"/>
                <w:szCs w:val="20"/>
                <w:highlight w:val="none"/>
                <w:lang w:val="en-US" w:eastAsia="zh-CN" w:bidi="mn-Mong-CN"/>
              </w:rPr>
              <w:t>储存场所、作业场所和安全设施、设备上应设置明显的安全警示标志。</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beforeLines="0" w:afterLines="0" w:line="300" w:lineRule="exact"/>
              <w:ind w:left="84" w:leftChars="40" w:right="84" w:rightChars="40"/>
              <w:jc w:val="both"/>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rPr>
              <w:t>《危险化学品安全管理条例》第二十条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01.2.05.041</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使用危险化学品的单位未保留与所储存、使用危险化学品种类相符的化学品安全标签和安全技术说明书。</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保留与所储存、使用危险化学品种类相符的化学品安全标签和安全技术说明书。</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beforeLines="0" w:afterLines="0" w:line="300" w:lineRule="exact"/>
              <w:ind w:left="84" w:leftChars="40" w:right="84" w:rightChars="40"/>
              <w:jc w:val="both"/>
              <w:rPr>
                <w:rFonts w:hint="eastAsia" w:ascii="仿宋_GB2312" w:hAnsi="仿宋_GB2312" w:eastAsia="仿宋_GB2312" w:cs="仿宋_GB2312"/>
                <w:color w:val="000000"/>
                <w:spacing w:val="0"/>
                <w:kern w:val="2"/>
                <w:sz w:val="20"/>
                <w:szCs w:val="20"/>
                <w:highlight w:val="none"/>
                <w:lang w:val="en-US" w:eastAsia="zh-CN" w:bidi="ar-SA"/>
              </w:rPr>
            </w:pPr>
            <w:r>
              <w:rPr>
                <w:rFonts w:hint="eastAsia" w:ascii="仿宋_GB2312" w:hAnsi="仿宋_GB2312" w:eastAsia="仿宋_GB2312" w:cs="仿宋_GB2312"/>
                <w:color w:val="000000"/>
                <w:spacing w:val="0"/>
                <w:sz w:val="20"/>
                <w:szCs w:val="20"/>
                <w:highlight w:val="none"/>
              </w:rPr>
              <w:t>《中华人民共和国危险化学品安全法》第五十七条；《危险化学品安全管理条例》第十五条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b w:val="0"/>
                <w:bCs w:val="0"/>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01.2.05.042</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使用</w:t>
            </w:r>
            <w:r>
              <w:rPr>
                <w:rFonts w:hint="eastAsia" w:ascii="仿宋_GB2312" w:hAnsi="仿宋_GB2312" w:eastAsia="仿宋_GB2312" w:cs="仿宋_GB2312"/>
                <w:spacing w:val="0"/>
                <w:sz w:val="20"/>
                <w:szCs w:val="20"/>
                <w:highlight w:val="none"/>
              </w:rPr>
              <w:t>腐蚀性、刺激性</w:t>
            </w:r>
            <w:r>
              <w:rPr>
                <w:rFonts w:hint="eastAsia" w:ascii="仿宋_GB2312" w:hAnsi="仿宋_GB2312" w:eastAsia="仿宋_GB2312" w:cs="仿宋_GB2312"/>
                <w:spacing w:val="0"/>
                <w:sz w:val="20"/>
                <w:szCs w:val="20"/>
                <w:highlight w:val="none"/>
                <w:lang w:val="en-US" w:eastAsia="zh-CN"/>
              </w:rPr>
              <w:t>危险化学品</w:t>
            </w:r>
            <w:r>
              <w:rPr>
                <w:rFonts w:hint="eastAsia" w:ascii="仿宋_GB2312" w:hAnsi="仿宋_GB2312" w:eastAsia="仿宋_GB2312" w:cs="仿宋_GB2312"/>
                <w:spacing w:val="0"/>
                <w:sz w:val="20"/>
                <w:szCs w:val="20"/>
                <w:highlight w:val="none"/>
              </w:rPr>
              <w:t>，未设置</w:t>
            </w:r>
            <w:r>
              <w:rPr>
                <w:rFonts w:hint="eastAsia" w:ascii="仿宋_GB2312" w:hAnsi="仿宋_GB2312" w:eastAsia="仿宋_GB2312" w:cs="仿宋_GB2312"/>
                <w:spacing w:val="0"/>
                <w:sz w:val="20"/>
                <w:szCs w:val="20"/>
                <w:highlight w:val="none"/>
                <w:lang w:val="en-US" w:eastAsia="zh-CN"/>
              </w:rPr>
              <w:t>应急处置设施</w:t>
            </w:r>
            <w:r>
              <w:rPr>
                <w:rFonts w:hint="eastAsia" w:ascii="仿宋_GB2312" w:hAnsi="仿宋_GB2312" w:eastAsia="仿宋_GB2312" w:cs="仿宋_GB2312"/>
                <w:spacing w:val="0"/>
                <w:sz w:val="20"/>
                <w:szCs w:val="20"/>
                <w:highlight w:val="none"/>
              </w:rPr>
              <w:t>。</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使用</w:t>
            </w:r>
            <w:r>
              <w:rPr>
                <w:rFonts w:hint="eastAsia" w:ascii="仿宋_GB2312" w:hAnsi="仿宋_GB2312" w:eastAsia="仿宋_GB2312" w:cs="仿宋_GB2312"/>
                <w:spacing w:val="0"/>
                <w:sz w:val="20"/>
                <w:szCs w:val="20"/>
                <w:highlight w:val="none"/>
              </w:rPr>
              <w:t>腐蚀性、刺激性</w:t>
            </w:r>
            <w:r>
              <w:rPr>
                <w:rFonts w:hint="eastAsia" w:ascii="仿宋_GB2312" w:hAnsi="仿宋_GB2312" w:eastAsia="仿宋_GB2312" w:cs="仿宋_GB2312"/>
                <w:spacing w:val="0"/>
                <w:sz w:val="20"/>
                <w:szCs w:val="20"/>
                <w:highlight w:val="none"/>
                <w:lang w:val="en-US" w:eastAsia="zh-CN"/>
              </w:rPr>
              <w:t>危险化学品</w:t>
            </w:r>
            <w:r>
              <w:rPr>
                <w:rFonts w:hint="eastAsia" w:ascii="仿宋_GB2312" w:hAnsi="仿宋_GB2312" w:eastAsia="仿宋_GB2312" w:cs="仿宋_GB2312"/>
                <w:spacing w:val="0"/>
                <w:sz w:val="20"/>
                <w:szCs w:val="20"/>
                <w:highlight w:val="none"/>
              </w:rPr>
              <w:t>，</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设置淋洗器、洗眼器等卫生防护设施。</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GB 17915-2013《腐蚀性商品储存养护技术条件》第</w:t>
            </w:r>
            <w:r>
              <w:rPr>
                <w:rFonts w:hint="eastAsia" w:ascii="仿宋_GB2312" w:hAnsi="仿宋_GB2312" w:eastAsia="仿宋_GB2312" w:cs="仿宋_GB2312"/>
                <w:spacing w:val="0"/>
                <w:sz w:val="20"/>
                <w:szCs w:val="20"/>
                <w:highlight w:val="none"/>
                <w:lang w:val="en-US" w:eastAsia="zh-CN"/>
              </w:rPr>
              <w:t>4.3.3</w:t>
            </w:r>
            <w:r>
              <w:rPr>
                <w:rFonts w:hint="eastAsia" w:ascii="仿宋_GB2312" w:hAnsi="仿宋_GB2312" w:eastAsia="仿宋_GB2312" w:cs="仿宋_GB2312"/>
                <w:spacing w:val="0"/>
                <w:sz w:val="20"/>
                <w:szCs w:val="20"/>
                <w:highlight w:val="none"/>
              </w:rPr>
              <w:t>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01.2.06.043</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restart"/>
            <w:tcBorders>
              <w:top w:val="single" w:color="auto" w:sz="6" w:space="0"/>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用电安全类</w:t>
            </w: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线路裸露，出入配电箱（柜）未采取防止电缆损伤的措施。</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线路接头不得裸露，出入配电箱（柜）应采取防止电缆损伤的措施。</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lang w:eastAsia="zh-CN"/>
              </w:rPr>
              <w:t>GB 55024-2022《建筑电气与智能化通用规范》</w:t>
            </w:r>
            <w:r>
              <w:rPr>
                <w:rFonts w:hint="eastAsia" w:ascii="仿宋_GB2312" w:hAnsi="仿宋_GB2312" w:eastAsia="仿宋_GB2312" w:cs="仿宋_GB2312"/>
                <w:spacing w:val="0"/>
                <w:sz w:val="20"/>
                <w:szCs w:val="20"/>
                <w:highlight w:val="none"/>
                <w:lang w:val="en-US" w:eastAsia="zh-CN"/>
              </w:rPr>
              <w:t>第8.7.9条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01.2.06.044</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配电箱（柜）周边0.3m内有可燃物，箱（柜）体内和下方搁置和堆放可燃物。</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rPr>
              <w:t>配电箱（柜）体内和</w:t>
            </w:r>
            <w:r>
              <w:rPr>
                <w:rFonts w:hint="eastAsia" w:ascii="仿宋_GB2312" w:hAnsi="仿宋_GB2312" w:eastAsia="仿宋_GB2312" w:cs="仿宋_GB2312"/>
                <w:spacing w:val="0"/>
                <w:sz w:val="20"/>
                <w:szCs w:val="20"/>
                <w:highlight w:val="none"/>
                <w:shd w:val="clear" w:color="auto" w:fill="auto"/>
                <w:lang w:val="en-US" w:eastAsia="zh-CN"/>
              </w:rPr>
              <w:t>周围0.3m范围内不应</w:t>
            </w:r>
            <w:r>
              <w:rPr>
                <w:rFonts w:hint="eastAsia" w:ascii="仿宋_GB2312" w:hAnsi="仿宋_GB2312" w:eastAsia="仿宋_GB2312" w:cs="仿宋_GB2312"/>
                <w:spacing w:val="0"/>
                <w:sz w:val="20"/>
                <w:szCs w:val="20"/>
                <w:highlight w:val="none"/>
                <w:shd w:val="clear" w:color="auto" w:fill="auto"/>
              </w:rPr>
              <w:t>搁置和堆放</w:t>
            </w:r>
            <w:r>
              <w:rPr>
                <w:rFonts w:hint="eastAsia" w:ascii="仿宋_GB2312" w:hAnsi="仿宋_GB2312" w:eastAsia="仿宋_GB2312" w:cs="仿宋_GB2312"/>
                <w:spacing w:val="0"/>
                <w:sz w:val="20"/>
                <w:szCs w:val="20"/>
                <w:highlight w:val="none"/>
                <w:shd w:val="clear" w:color="auto" w:fill="auto"/>
                <w:lang w:eastAsia="zh-CN"/>
              </w:rPr>
              <w:t>可燃物。</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0"/>
                <w:sz w:val="20"/>
                <w:szCs w:val="20"/>
                <w:highlight w:val="none"/>
                <w:lang w:val="en-US" w:eastAsia="zh-CN" w:bidi="mn-Mong-CN"/>
              </w:rPr>
            </w:pPr>
            <w:r>
              <w:rPr>
                <w:rFonts w:hint="eastAsia" w:ascii="仿宋_GB2312" w:hAnsi="仿宋_GB2312" w:eastAsia="仿宋_GB2312" w:cs="仿宋_GB2312"/>
                <w:spacing w:val="0"/>
                <w:sz w:val="20"/>
                <w:szCs w:val="20"/>
                <w:highlight w:val="none"/>
              </w:rPr>
              <w:t>《电气防火检测技术规范》DB11/</w:t>
            </w:r>
            <w:r>
              <w:rPr>
                <w:rFonts w:hint="eastAsia" w:ascii="仿宋_GB2312" w:hAnsi="仿宋_GB2312" w:eastAsia="仿宋_GB2312" w:cs="仿宋_GB2312"/>
                <w:spacing w:val="0"/>
                <w:sz w:val="20"/>
                <w:szCs w:val="20"/>
                <w:highlight w:val="none"/>
                <w:lang w:val="en-US" w:eastAsia="zh-CN"/>
              </w:rPr>
              <w:t xml:space="preserve">T </w:t>
            </w:r>
            <w:r>
              <w:rPr>
                <w:rFonts w:hint="eastAsia" w:ascii="仿宋_GB2312" w:hAnsi="仿宋_GB2312" w:eastAsia="仿宋_GB2312" w:cs="仿宋_GB2312"/>
                <w:spacing w:val="0"/>
                <w:sz w:val="20"/>
                <w:szCs w:val="20"/>
                <w:highlight w:val="none"/>
              </w:rPr>
              <w:t>065-20</w:t>
            </w:r>
            <w:r>
              <w:rPr>
                <w:rFonts w:hint="eastAsia" w:ascii="仿宋_GB2312" w:hAnsi="仿宋_GB2312" w:eastAsia="仿宋_GB2312" w:cs="仿宋_GB2312"/>
                <w:spacing w:val="0"/>
                <w:sz w:val="20"/>
                <w:szCs w:val="20"/>
                <w:highlight w:val="none"/>
                <w:lang w:val="en-US" w:eastAsia="zh-CN"/>
              </w:rPr>
              <w:t>22</w:t>
            </w:r>
            <w:r>
              <w:rPr>
                <w:rFonts w:hint="eastAsia" w:ascii="仿宋_GB2312" w:hAnsi="仿宋_GB2312" w:eastAsia="仿宋_GB2312" w:cs="仿宋_GB2312"/>
                <w:spacing w:val="0"/>
                <w:sz w:val="20"/>
                <w:szCs w:val="20"/>
                <w:highlight w:val="none"/>
              </w:rPr>
              <w:t>附录B.2</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01.2.06.045</w:t>
            </w:r>
          </w:p>
        </w:tc>
        <w:tc>
          <w:tcPr>
            <w:tcW w:w="275" w:type="pct"/>
            <w:vMerge w:val="continue"/>
            <w:tcBorders>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77"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highlight w:val="none"/>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0"/>
                <w:sz w:val="20"/>
                <w:szCs w:val="20"/>
                <w:highlight w:val="none"/>
                <w:lang w:bidi="ar"/>
              </w:rPr>
              <w:t>配电箱（柜）</w:t>
            </w:r>
            <w:r>
              <w:rPr>
                <w:rFonts w:hint="eastAsia" w:ascii="仿宋_GB2312" w:hAnsi="仿宋_GB2312" w:eastAsia="仿宋_GB2312" w:cs="仿宋_GB2312"/>
                <w:color w:val="000000"/>
                <w:spacing w:val="0"/>
                <w:kern w:val="0"/>
                <w:sz w:val="20"/>
                <w:szCs w:val="20"/>
                <w:highlight w:val="none"/>
                <w:lang w:val="en-US" w:eastAsia="zh-CN" w:bidi="ar"/>
              </w:rPr>
              <w:t>未</w:t>
            </w:r>
            <w:r>
              <w:rPr>
                <w:rFonts w:hint="eastAsia" w:ascii="仿宋_GB2312" w:hAnsi="仿宋_GB2312" w:eastAsia="仿宋_GB2312" w:cs="仿宋_GB2312"/>
                <w:color w:val="000000"/>
                <w:spacing w:val="0"/>
                <w:kern w:val="0"/>
                <w:sz w:val="20"/>
                <w:szCs w:val="20"/>
                <w:highlight w:val="none"/>
                <w:lang w:bidi="ar"/>
              </w:rPr>
              <w:t>标识所控对象的名称，</w:t>
            </w:r>
            <w:r>
              <w:rPr>
                <w:rFonts w:hint="eastAsia" w:ascii="仿宋_GB2312" w:hAnsi="仿宋_GB2312" w:eastAsia="仿宋_GB2312" w:cs="仿宋_GB2312"/>
                <w:color w:val="000000"/>
                <w:spacing w:val="0"/>
                <w:kern w:val="0"/>
                <w:sz w:val="20"/>
                <w:szCs w:val="20"/>
                <w:highlight w:val="none"/>
                <w:lang w:val="en-US" w:eastAsia="zh-CN" w:bidi="ar"/>
              </w:rPr>
              <w:t>或</w:t>
            </w:r>
            <w:r>
              <w:rPr>
                <w:rFonts w:hint="eastAsia" w:ascii="仿宋_GB2312" w:hAnsi="仿宋_GB2312" w:eastAsia="仿宋_GB2312" w:cs="仿宋_GB2312"/>
                <w:color w:val="000000"/>
                <w:spacing w:val="0"/>
                <w:kern w:val="0"/>
                <w:sz w:val="20"/>
                <w:szCs w:val="20"/>
                <w:highlight w:val="none"/>
                <w:lang w:bidi="ar"/>
              </w:rPr>
              <w:t>与实际</w:t>
            </w:r>
            <w:r>
              <w:rPr>
                <w:rFonts w:hint="eastAsia" w:ascii="仿宋_GB2312" w:hAnsi="仿宋_GB2312" w:eastAsia="仿宋_GB2312" w:cs="仿宋_GB2312"/>
                <w:color w:val="000000"/>
                <w:spacing w:val="0"/>
                <w:kern w:val="0"/>
                <w:sz w:val="20"/>
                <w:szCs w:val="20"/>
                <w:highlight w:val="none"/>
                <w:lang w:val="en-US" w:eastAsia="zh-CN" w:bidi="ar"/>
              </w:rPr>
              <w:t>不</w:t>
            </w:r>
            <w:r>
              <w:rPr>
                <w:rFonts w:hint="eastAsia" w:ascii="仿宋_GB2312" w:hAnsi="仿宋_GB2312" w:eastAsia="仿宋_GB2312" w:cs="仿宋_GB2312"/>
                <w:color w:val="000000"/>
                <w:spacing w:val="0"/>
                <w:kern w:val="0"/>
                <w:sz w:val="20"/>
                <w:szCs w:val="20"/>
                <w:highlight w:val="none"/>
                <w:lang w:bidi="ar"/>
              </w:rPr>
              <w:t>符</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val="en-US" w:eastAsia="zh-CN" w:bidi="ar"/>
              </w:rPr>
              <w:t>箱门门锁失效。</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right="84" w:rightChars="40"/>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bidi="ar"/>
              </w:rPr>
              <w:t>配电箱（柜）</w:t>
            </w:r>
            <w:r>
              <w:rPr>
                <w:rFonts w:hint="eastAsia" w:ascii="仿宋_GB2312" w:hAnsi="仿宋_GB2312" w:eastAsia="仿宋_GB2312" w:cs="仿宋_GB2312"/>
                <w:color w:val="000000"/>
                <w:spacing w:val="0"/>
                <w:kern w:val="0"/>
                <w:sz w:val="20"/>
                <w:szCs w:val="20"/>
                <w:highlight w:val="none"/>
                <w:lang w:val="en-US" w:eastAsia="zh-CN" w:bidi="ar"/>
              </w:rPr>
              <w:t>应按回路用途</w:t>
            </w:r>
            <w:r>
              <w:rPr>
                <w:rFonts w:hint="eastAsia" w:ascii="仿宋_GB2312" w:hAnsi="仿宋_GB2312" w:eastAsia="仿宋_GB2312" w:cs="仿宋_GB2312"/>
                <w:color w:val="000000"/>
                <w:spacing w:val="0"/>
                <w:kern w:val="0"/>
                <w:sz w:val="20"/>
                <w:szCs w:val="20"/>
                <w:highlight w:val="none"/>
                <w:lang w:bidi="ar"/>
              </w:rPr>
              <w:t>标识所控对象的名称，且与实际</w:t>
            </w:r>
            <w:r>
              <w:rPr>
                <w:rFonts w:hint="eastAsia" w:ascii="仿宋_GB2312" w:hAnsi="仿宋_GB2312" w:eastAsia="仿宋_GB2312" w:cs="仿宋_GB2312"/>
                <w:color w:val="000000"/>
                <w:spacing w:val="0"/>
                <w:kern w:val="0"/>
                <w:sz w:val="20"/>
                <w:szCs w:val="20"/>
                <w:highlight w:val="none"/>
                <w:lang w:val="en-US" w:eastAsia="zh-CN" w:bidi="ar"/>
              </w:rPr>
              <w:t>相</w:t>
            </w:r>
            <w:r>
              <w:rPr>
                <w:rFonts w:hint="eastAsia" w:ascii="仿宋_GB2312" w:hAnsi="仿宋_GB2312" w:eastAsia="仿宋_GB2312" w:cs="仿宋_GB2312"/>
                <w:color w:val="000000"/>
                <w:spacing w:val="0"/>
                <w:kern w:val="0"/>
                <w:sz w:val="20"/>
                <w:szCs w:val="20"/>
                <w:highlight w:val="none"/>
                <w:lang w:bidi="ar"/>
              </w:rPr>
              <w:t>符</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val="en-US" w:eastAsia="zh-CN" w:bidi="ar"/>
              </w:rPr>
              <w:t>箱门门锁完好。</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0"/>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GB 55024-2022《建筑电气与智能化通用规范》</w:t>
            </w:r>
            <w:r>
              <w:rPr>
                <w:rFonts w:hint="eastAsia" w:ascii="仿宋_GB2312" w:hAnsi="仿宋_GB2312" w:eastAsia="仿宋_GB2312" w:cs="仿宋_GB2312"/>
                <w:spacing w:val="0"/>
                <w:sz w:val="20"/>
                <w:szCs w:val="20"/>
                <w:highlight w:val="none"/>
                <w:lang w:val="en-US" w:eastAsia="zh-CN"/>
              </w:rPr>
              <w:t>第8.4.1、8.7.10条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01.2.06.046</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剩余电流保护装置</w:t>
            </w:r>
            <w:r>
              <w:rPr>
                <w:rFonts w:hint="eastAsia" w:ascii="仿宋_GB2312" w:hAnsi="仿宋_GB2312" w:eastAsia="仿宋_GB2312" w:cs="仿宋_GB2312"/>
                <w:spacing w:val="0"/>
                <w:sz w:val="20"/>
                <w:szCs w:val="20"/>
                <w:highlight w:val="none"/>
                <w:lang w:val="en-US" w:eastAsia="zh-CN"/>
              </w:rPr>
              <w:t>设置不符合要求。</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rPr>
              <w:t>剩余电流保护装置</w:t>
            </w:r>
            <w:r>
              <w:rPr>
                <w:rFonts w:hint="eastAsia" w:ascii="仿宋_GB2312" w:hAnsi="仿宋_GB2312" w:eastAsia="仿宋_GB2312" w:cs="仿宋_GB2312"/>
                <w:spacing w:val="0"/>
                <w:sz w:val="20"/>
                <w:szCs w:val="20"/>
                <w:highlight w:val="none"/>
                <w:lang w:val="en-US" w:eastAsia="zh-CN"/>
              </w:rPr>
              <w:t>设置应符合下列要求：</w:t>
            </w:r>
          </w:p>
          <w:p>
            <w:pPr>
              <w:pStyle w:val="12"/>
              <w:keepNext w:val="0"/>
              <w:keepLines w:val="0"/>
              <w:pageBreakBefore w:val="0"/>
              <w:kinsoku/>
              <w:wordWrap/>
              <w:overflowPunct/>
              <w:topLinePunct w:val="0"/>
              <w:autoSpaceDE/>
              <w:autoSpaceDN/>
              <w:bidi w:val="0"/>
              <w:spacing w:line="300" w:lineRule="exact"/>
              <w:ind w:left="84" w:leftChars="40" w:right="84" w:rightChars="40" w:firstLine="0" w:firstLineChars="0"/>
              <w:jc w:val="left"/>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（一）安装在户外的电气装置、临时用电、</w:t>
            </w:r>
            <w:r>
              <w:rPr>
                <w:rFonts w:hint="eastAsia" w:ascii="仿宋_GB2312" w:hAnsi="仿宋_GB2312" w:eastAsia="仿宋_GB2312" w:cs="仿宋_GB2312"/>
                <w:spacing w:val="0"/>
                <w:sz w:val="20"/>
                <w:szCs w:val="20"/>
                <w:highlight w:val="none"/>
              </w:rPr>
              <w:t>游泳池</w:t>
            </w:r>
            <w:r>
              <w:rPr>
                <w:rFonts w:hint="eastAsia" w:ascii="仿宋_GB2312" w:hAnsi="仿宋_GB2312" w:eastAsia="仿宋_GB2312" w:cs="仿宋_GB2312"/>
                <w:spacing w:val="0"/>
                <w:sz w:val="20"/>
                <w:szCs w:val="20"/>
                <w:highlight w:val="none"/>
                <w:lang w:val="en-US" w:eastAsia="zh-CN"/>
              </w:rPr>
              <w:t>和浴室的电气设备、除壁挂式空调电源插座外的其他电源插座或插座回路未安装剩余电流动作保护器；</w:t>
            </w:r>
          </w:p>
          <w:p>
            <w:pPr>
              <w:pStyle w:val="12"/>
              <w:keepNext w:val="0"/>
              <w:keepLines w:val="0"/>
              <w:pageBreakBefore w:val="0"/>
              <w:kinsoku/>
              <w:wordWrap/>
              <w:overflowPunct/>
              <w:topLinePunct w:val="0"/>
              <w:autoSpaceDE/>
              <w:autoSpaceDN/>
              <w:bidi w:val="0"/>
              <w:spacing w:line="300" w:lineRule="exact"/>
              <w:ind w:right="84" w:rightChars="40"/>
              <w:jc w:val="left"/>
              <w:rPr>
                <w:rFonts w:hint="eastAsia" w:ascii="仿宋_GB2312" w:hAnsi="仿宋_GB2312" w:eastAsia="仿宋_GB2312" w:cs="仿宋_GB2312"/>
                <w:spacing w:val="0"/>
                <w:sz w:val="20"/>
                <w:szCs w:val="20"/>
                <w:highlight w:val="none"/>
                <w:lang w:eastAsia="zh-CN"/>
              </w:rPr>
            </w:pP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二</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安装在潮湿场所的电气设备未选用额定剩余动作电流</w:t>
            </w:r>
            <w:r>
              <w:rPr>
                <w:rFonts w:hint="eastAsia" w:ascii="仿宋_GB2312" w:hAnsi="仿宋_GB2312" w:eastAsia="仿宋_GB2312" w:cs="仿宋_GB2312"/>
                <w:spacing w:val="0"/>
                <w:sz w:val="20"/>
                <w:szCs w:val="20"/>
                <w:highlight w:val="none"/>
                <w:lang w:val="en-US" w:eastAsia="zh-CN"/>
              </w:rPr>
              <w:t>小于</w:t>
            </w:r>
            <w:r>
              <w:rPr>
                <w:rFonts w:hint="eastAsia" w:ascii="仿宋_GB2312" w:hAnsi="仿宋_GB2312" w:eastAsia="仿宋_GB2312" w:cs="仿宋_GB2312"/>
                <w:spacing w:val="0"/>
                <w:sz w:val="20"/>
                <w:szCs w:val="20"/>
                <w:highlight w:val="none"/>
              </w:rPr>
              <w:t>30mA</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无延时的剩余电流保护装置</w:t>
            </w:r>
            <w:r>
              <w:rPr>
                <w:rFonts w:hint="eastAsia" w:ascii="仿宋_GB2312" w:hAnsi="仿宋_GB2312" w:eastAsia="仿宋_GB2312" w:cs="仿宋_GB2312"/>
                <w:spacing w:val="0"/>
                <w:sz w:val="20"/>
                <w:szCs w:val="20"/>
                <w:highlight w:val="none"/>
                <w:lang w:eastAsia="zh-CN"/>
              </w:rPr>
              <w:t>；</w:t>
            </w:r>
          </w:p>
          <w:p>
            <w:pPr>
              <w:pStyle w:val="12"/>
              <w:keepNext w:val="0"/>
              <w:keepLines w:val="0"/>
              <w:pageBreakBefore w:val="0"/>
              <w:kinsoku/>
              <w:wordWrap/>
              <w:overflowPunct/>
              <w:topLinePunct w:val="0"/>
              <w:autoSpaceDE/>
              <w:autoSpaceDN/>
              <w:bidi w:val="0"/>
              <w:spacing w:line="300" w:lineRule="exact"/>
              <w:ind w:right="84" w:rightChars="40"/>
              <w:jc w:val="left"/>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三</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安装在游泳池、浴室等特定区域的电气设备</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选用额定剩余动作电流为10mA</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无延时的剩余电流保护装置</w:t>
            </w:r>
            <w:r>
              <w:rPr>
                <w:rFonts w:hint="eastAsia" w:ascii="仿宋_GB2312" w:hAnsi="仿宋_GB2312" w:eastAsia="仿宋_GB2312" w:cs="仿宋_GB2312"/>
                <w:spacing w:val="0"/>
                <w:sz w:val="20"/>
                <w:szCs w:val="20"/>
                <w:highlight w:val="none"/>
                <w:lang w:eastAsia="zh-CN"/>
              </w:rPr>
              <w:t>。</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0"/>
                <w:sz w:val="20"/>
                <w:szCs w:val="20"/>
                <w:highlight w:val="none"/>
              </w:rPr>
              <w:t>GB</w:t>
            </w:r>
            <w:r>
              <w:rPr>
                <w:rFonts w:hint="eastAsia" w:ascii="仿宋_GB2312" w:hAnsi="仿宋_GB2312" w:eastAsia="仿宋_GB2312" w:cs="仿宋_GB2312"/>
                <w:color w:val="000000"/>
                <w:spacing w:val="0"/>
                <w:kern w:val="0"/>
                <w:sz w:val="20"/>
                <w:szCs w:val="20"/>
                <w:highlight w:val="none"/>
                <w:lang w:val="en-US" w:eastAsia="zh-CN"/>
              </w:rPr>
              <w:t xml:space="preserve">/T </w:t>
            </w:r>
            <w:r>
              <w:rPr>
                <w:rFonts w:hint="eastAsia" w:ascii="仿宋_GB2312" w:hAnsi="仿宋_GB2312" w:eastAsia="仿宋_GB2312" w:cs="仿宋_GB2312"/>
                <w:color w:val="000000"/>
                <w:spacing w:val="0"/>
                <w:kern w:val="0"/>
                <w:sz w:val="20"/>
                <w:szCs w:val="20"/>
                <w:highlight w:val="none"/>
              </w:rPr>
              <w:t>13955-2017《剩余电流动作保护装置安装和运行》第</w:t>
            </w:r>
            <w:r>
              <w:rPr>
                <w:rFonts w:hint="eastAsia" w:ascii="仿宋_GB2312" w:hAnsi="仿宋_GB2312" w:eastAsia="仿宋_GB2312" w:cs="仿宋_GB2312"/>
                <w:color w:val="000000"/>
                <w:spacing w:val="0"/>
                <w:kern w:val="0"/>
                <w:sz w:val="20"/>
                <w:szCs w:val="20"/>
                <w:highlight w:val="none"/>
                <w:lang w:val="en-US" w:eastAsia="zh-CN"/>
              </w:rPr>
              <w:t>4.4.1、5.8</w:t>
            </w:r>
            <w:r>
              <w:rPr>
                <w:rFonts w:hint="eastAsia" w:ascii="仿宋_GB2312" w:hAnsi="仿宋_GB2312" w:eastAsia="仿宋_GB2312" w:cs="仿宋_GB2312"/>
                <w:color w:val="000000"/>
                <w:spacing w:val="0"/>
                <w:kern w:val="0"/>
                <w:sz w:val="20"/>
                <w:szCs w:val="20"/>
                <w:highlight w:val="none"/>
              </w:rPr>
              <w:t>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b w:val="0"/>
                <w:bCs w:val="0"/>
                <w:color w:val="000000"/>
                <w:spacing w:val="0"/>
                <w:kern w:val="2"/>
                <w:sz w:val="20"/>
                <w:szCs w:val="20"/>
                <w:highlight w:val="none"/>
                <w:lang w:val="en-US" w:eastAsia="zh-CN" w:bidi="mn-Mong-CN"/>
              </w:rPr>
              <w:t>01.2.06.047</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right="84" w:rightChars="40"/>
              <w:jc w:val="lef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剩余电流保护装置投入运行后，未每月按动按钮1次，检查其动作特性是否正常，无检查记录。</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right="84" w:rightChars="40"/>
              <w:jc w:val="left"/>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剩余电流保护装置投入运行后，每月</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按动按钮1次，检查其动作特性是否正常，</w:t>
            </w:r>
            <w:r>
              <w:rPr>
                <w:rFonts w:hint="eastAsia" w:ascii="仿宋_GB2312" w:hAnsi="仿宋_GB2312" w:eastAsia="仿宋_GB2312" w:cs="仿宋_GB2312"/>
                <w:spacing w:val="0"/>
                <w:sz w:val="20"/>
                <w:szCs w:val="20"/>
                <w:highlight w:val="none"/>
                <w:lang w:val="en-US" w:eastAsia="zh-CN"/>
              </w:rPr>
              <w:t>并保存</w:t>
            </w:r>
            <w:r>
              <w:rPr>
                <w:rFonts w:hint="eastAsia" w:ascii="仿宋_GB2312" w:hAnsi="仿宋_GB2312" w:eastAsia="仿宋_GB2312" w:cs="仿宋_GB2312"/>
                <w:spacing w:val="0"/>
                <w:sz w:val="20"/>
                <w:szCs w:val="20"/>
                <w:highlight w:val="none"/>
              </w:rPr>
              <w:t>检查记录。</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jc w:val="lef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0"/>
                <w:sz w:val="20"/>
                <w:szCs w:val="20"/>
                <w:highlight w:val="none"/>
                <w:lang w:val="en-US" w:eastAsia="zh-CN"/>
              </w:rPr>
              <w:t>G</w:t>
            </w:r>
            <w:r>
              <w:rPr>
                <w:rFonts w:hint="eastAsia" w:ascii="仿宋_GB2312" w:hAnsi="仿宋_GB2312" w:eastAsia="仿宋_GB2312" w:cs="仿宋_GB2312"/>
                <w:color w:val="000000"/>
                <w:spacing w:val="0"/>
                <w:kern w:val="0"/>
                <w:sz w:val="20"/>
                <w:szCs w:val="20"/>
                <w:highlight w:val="none"/>
              </w:rPr>
              <w:t>B</w:t>
            </w:r>
            <w:r>
              <w:rPr>
                <w:rFonts w:hint="eastAsia" w:ascii="仿宋_GB2312" w:hAnsi="仿宋_GB2312" w:eastAsia="仿宋_GB2312" w:cs="仿宋_GB2312"/>
                <w:color w:val="000000"/>
                <w:spacing w:val="0"/>
                <w:kern w:val="0"/>
                <w:sz w:val="20"/>
                <w:szCs w:val="20"/>
                <w:highlight w:val="none"/>
                <w:lang w:val="en-US" w:eastAsia="zh-CN"/>
              </w:rPr>
              <w:t xml:space="preserve">/T </w:t>
            </w:r>
            <w:r>
              <w:rPr>
                <w:rFonts w:hint="eastAsia" w:ascii="仿宋_GB2312" w:hAnsi="仿宋_GB2312" w:eastAsia="仿宋_GB2312" w:cs="仿宋_GB2312"/>
                <w:color w:val="000000"/>
                <w:spacing w:val="0"/>
                <w:kern w:val="0"/>
                <w:sz w:val="20"/>
                <w:szCs w:val="20"/>
                <w:highlight w:val="none"/>
              </w:rPr>
              <w:t>13955-2017《剩余电流动作保护装置安装和运行》第</w:t>
            </w:r>
            <w:r>
              <w:rPr>
                <w:rFonts w:hint="eastAsia" w:ascii="仿宋_GB2312" w:hAnsi="仿宋_GB2312" w:eastAsia="仿宋_GB2312" w:cs="仿宋_GB2312"/>
                <w:color w:val="000000"/>
                <w:spacing w:val="0"/>
                <w:kern w:val="0"/>
                <w:sz w:val="20"/>
                <w:szCs w:val="20"/>
                <w:highlight w:val="none"/>
                <w:lang w:val="en-US" w:eastAsia="zh-CN"/>
              </w:rPr>
              <w:t>7</w:t>
            </w:r>
            <w:r>
              <w:rPr>
                <w:rFonts w:hint="eastAsia" w:ascii="仿宋_GB2312" w:hAnsi="仿宋_GB2312" w:eastAsia="仿宋_GB2312" w:cs="仿宋_GB2312"/>
                <w:color w:val="000000"/>
                <w:spacing w:val="0"/>
                <w:kern w:val="0"/>
                <w:sz w:val="20"/>
                <w:szCs w:val="20"/>
                <w:highlight w:val="none"/>
              </w:rPr>
              <w:t>条</w:t>
            </w:r>
            <w:r>
              <w:rPr>
                <w:rFonts w:hint="eastAsia" w:ascii="仿宋_GB2312" w:hAnsi="仿宋_GB2312" w:eastAsia="仿宋_GB2312" w:cs="仿宋_GB2312"/>
                <w:color w:val="000000"/>
                <w:spacing w:val="0"/>
                <w:kern w:val="0"/>
                <w:sz w:val="20"/>
                <w:szCs w:val="20"/>
                <w:highlight w:val="none"/>
                <w:lang w:eastAsia="zh-CN"/>
              </w:rPr>
              <w:t>；</w:t>
            </w:r>
            <w:r>
              <w:rPr>
                <w:rFonts w:hint="eastAsia" w:ascii="仿宋_GB2312" w:hAnsi="仿宋_GB2312" w:eastAsia="仿宋_GB2312" w:cs="仿宋_GB2312"/>
                <w:spacing w:val="0"/>
                <w:sz w:val="20"/>
                <w:szCs w:val="20"/>
                <w:highlight w:val="none"/>
                <w:lang w:eastAsia="zh-CN"/>
              </w:rPr>
              <w:t>GB 55024-2022《建筑电气与智能化通用规范》</w:t>
            </w:r>
            <w:r>
              <w:rPr>
                <w:rFonts w:hint="eastAsia" w:ascii="仿宋_GB2312" w:hAnsi="仿宋_GB2312" w:eastAsia="仿宋_GB2312" w:cs="仿宋_GB2312"/>
                <w:spacing w:val="0"/>
                <w:sz w:val="20"/>
                <w:szCs w:val="20"/>
                <w:highlight w:val="none"/>
                <w:lang w:val="en-US" w:eastAsia="zh-CN"/>
              </w:rPr>
              <w:t>第10.3.1条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6</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48</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在易撞、易碰、浸水场所等易造成绝缘损坏的危险地方敷设临时低压电气线路，未采取保护措施。</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在易撞、易碰、浸水场所等易造成绝缘损坏的危险地方敷设临时低压电气线路，</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采取保护措施。</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GB 26164.1-2010《电业安全工作规程第1部分：热力和机械》第3.5.6条、第</w:t>
            </w:r>
            <w:r>
              <w:rPr>
                <w:rFonts w:hint="eastAsia" w:ascii="仿宋_GB2312" w:hAnsi="仿宋_GB2312" w:eastAsia="仿宋_GB2312" w:cs="仿宋_GB2312"/>
                <w:spacing w:val="0"/>
                <w:sz w:val="20"/>
                <w:szCs w:val="20"/>
                <w:highlight w:val="none"/>
              </w:rPr>
              <w:fldChar w:fldCharType="begin"/>
            </w:r>
            <w:r>
              <w:rPr>
                <w:rFonts w:hint="eastAsia" w:ascii="仿宋_GB2312" w:hAnsi="仿宋_GB2312" w:eastAsia="仿宋_GB2312" w:cs="仿宋_GB2312"/>
                <w:spacing w:val="0"/>
                <w:sz w:val="20"/>
                <w:szCs w:val="20"/>
                <w:highlight w:val="none"/>
              </w:rPr>
              <w:instrText xml:space="preserve"> HYPERLINK "https://3.6.5.4" </w:instrText>
            </w:r>
            <w:r>
              <w:rPr>
                <w:rFonts w:hint="eastAsia" w:ascii="仿宋_GB2312" w:hAnsi="仿宋_GB2312" w:eastAsia="仿宋_GB2312" w:cs="仿宋_GB2312"/>
                <w:spacing w:val="0"/>
                <w:sz w:val="20"/>
                <w:szCs w:val="20"/>
                <w:highlight w:val="none"/>
              </w:rPr>
              <w:fldChar w:fldCharType="separate"/>
            </w:r>
            <w:r>
              <w:rPr>
                <w:rFonts w:hint="eastAsia" w:ascii="仿宋_GB2312" w:hAnsi="仿宋_GB2312" w:eastAsia="仿宋_GB2312" w:cs="仿宋_GB2312"/>
                <w:spacing w:val="0"/>
                <w:sz w:val="20"/>
                <w:szCs w:val="20"/>
                <w:highlight w:val="none"/>
              </w:rPr>
              <w:t>3.6.5.4</w:t>
            </w:r>
            <w:r>
              <w:rPr>
                <w:rFonts w:hint="eastAsia" w:ascii="仿宋_GB2312" w:hAnsi="仿宋_GB2312" w:eastAsia="仿宋_GB2312" w:cs="仿宋_GB2312"/>
                <w:spacing w:val="0"/>
                <w:sz w:val="20"/>
                <w:szCs w:val="20"/>
                <w:highlight w:val="none"/>
              </w:rPr>
              <w:fldChar w:fldCharType="end"/>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GB 50194-2014《建设工程施工现场供用电安全规范》第7.1.1条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6</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49</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潮湿场所未采用防溅型插座。</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在潮湿场所，应采用具有防溅电器附件的插座，安装高度距地不应低于1.5m。</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GB 50055-2011《通用用电设备配电设计规范》第8.0.6条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6</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50</w:t>
            </w:r>
          </w:p>
        </w:tc>
        <w:tc>
          <w:tcPr>
            <w:tcW w:w="275" w:type="pct"/>
            <w:vMerge w:val="continue"/>
            <w:tcBorders>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77" w:type="pct"/>
            <w:vMerge w:val="continue"/>
            <w:tcBorders>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移动式插座串接</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超负荷、放置在可燃物上</w:t>
            </w:r>
            <w:r>
              <w:rPr>
                <w:rFonts w:hint="eastAsia" w:ascii="仿宋_GB2312" w:hAnsi="仿宋_GB2312" w:eastAsia="仿宋_GB2312" w:cs="仿宋_GB2312"/>
                <w:spacing w:val="0"/>
                <w:sz w:val="20"/>
                <w:szCs w:val="20"/>
                <w:highlight w:val="none"/>
              </w:rPr>
              <w:t>使用</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属于非国标插座。</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移动式插座</w:t>
            </w:r>
            <w:r>
              <w:rPr>
                <w:rFonts w:hint="eastAsia" w:ascii="仿宋_GB2312" w:hAnsi="仿宋_GB2312" w:eastAsia="仿宋_GB2312" w:cs="仿宋_GB2312"/>
                <w:spacing w:val="0"/>
                <w:sz w:val="20"/>
                <w:szCs w:val="20"/>
                <w:highlight w:val="none"/>
                <w:lang w:val="en-US" w:eastAsia="zh-CN"/>
              </w:rPr>
              <w:t>不得</w:t>
            </w:r>
            <w:r>
              <w:rPr>
                <w:rFonts w:hint="eastAsia" w:ascii="仿宋_GB2312" w:hAnsi="仿宋_GB2312" w:eastAsia="仿宋_GB2312" w:cs="仿宋_GB2312"/>
                <w:spacing w:val="0"/>
                <w:sz w:val="20"/>
                <w:szCs w:val="20"/>
                <w:highlight w:val="none"/>
              </w:rPr>
              <w:t>串接</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超负荷、放置在可燃物上</w:t>
            </w:r>
            <w:r>
              <w:rPr>
                <w:rFonts w:hint="eastAsia" w:ascii="仿宋_GB2312" w:hAnsi="仿宋_GB2312" w:eastAsia="仿宋_GB2312" w:cs="仿宋_GB2312"/>
                <w:spacing w:val="0"/>
                <w:sz w:val="20"/>
                <w:szCs w:val="20"/>
                <w:highlight w:val="none"/>
              </w:rPr>
              <w:t>使用</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不得使用非国标插座。</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DB11</w:t>
            </w:r>
            <w:r>
              <w:rPr>
                <w:rFonts w:hint="eastAsia" w:ascii="仿宋_GB2312" w:hAnsi="仿宋_GB2312" w:eastAsia="仿宋_GB2312" w:cs="仿宋_GB2312"/>
                <w:spacing w:val="0"/>
                <w:sz w:val="20"/>
                <w:szCs w:val="20"/>
                <w:highlight w:val="none"/>
                <w:lang w:val="en-US" w:eastAsia="zh-CN"/>
              </w:rPr>
              <w:t xml:space="preserve">/T </w:t>
            </w:r>
            <w:r>
              <w:rPr>
                <w:rFonts w:hint="eastAsia" w:ascii="仿宋_GB2312" w:hAnsi="仿宋_GB2312" w:eastAsia="仿宋_GB2312" w:cs="仿宋_GB2312"/>
                <w:spacing w:val="0"/>
                <w:sz w:val="20"/>
                <w:szCs w:val="20"/>
                <w:highlight w:val="none"/>
              </w:rPr>
              <w:t>065-20</w:t>
            </w:r>
            <w:r>
              <w:rPr>
                <w:rFonts w:hint="eastAsia" w:ascii="仿宋_GB2312" w:hAnsi="仿宋_GB2312" w:eastAsia="仿宋_GB2312" w:cs="仿宋_GB2312"/>
                <w:spacing w:val="0"/>
                <w:sz w:val="20"/>
                <w:szCs w:val="20"/>
                <w:highlight w:val="none"/>
                <w:lang w:val="en-US" w:eastAsia="zh-CN"/>
              </w:rPr>
              <w:t>22</w:t>
            </w:r>
            <w:r>
              <w:rPr>
                <w:rFonts w:hint="eastAsia" w:ascii="仿宋_GB2312" w:hAnsi="仿宋_GB2312" w:eastAsia="仿宋_GB2312" w:cs="仿宋_GB2312"/>
                <w:spacing w:val="0"/>
                <w:sz w:val="20"/>
                <w:szCs w:val="20"/>
                <w:highlight w:val="none"/>
              </w:rPr>
              <w:t>《电气防火检测技术规范》</w:t>
            </w:r>
            <w:r>
              <w:rPr>
                <w:rFonts w:hint="eastAsia" w:ascii="仿宋_GB2312" w:hAnsi="仿宋_GB2312" w:eastAsia="仿宋_GB2312" w:cs="仿宋_GB2312"/>
                <w:spacing w:val="0"/>
                <w:sz w:val="20"/>
                <w:szCs w:val="20"/>
                <w:highlight w:val="none"/>
                <w:lang w:val="en-US" w:eastAsia="zh-CN"/>
              </w:rPr>
              <w:t>附录B.2</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1</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51</w:t>
            </w:r>
          </w:p>
        </w:tc>
        <w:tc>
          <w:tcPr>
            <w:tcW w:w="275" w:type="pct"/>
            <w:vMerge w:val="restart"/>
            <w:tcBorders>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人员类</w:t>
            </w:r>
          </w:p>
        </w:tc>
        <w:tc>
          <w:tcPr>
            <w:tcW w:w="277" w:type="pct"/>
            <w:vMerge w:val="restart"/>
            <w:tcBorders>
              <w:top w:val="single" w:color="auto" w:sz="6" w:space="0"/>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资格资质类</w:t>
            </w: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游泳救生员和社会体育指导员（游泳）未持国家职业资格证书上岗。</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游泳救生员和社会体育指导员（游泳）</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持国家职业资格证书上岗。</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《体育场所开放条件与技术要求第1部分：游泳场所》GB 19079.1-2013第</w:t>
            </w:r>
            <w:r>
              <w:rPr>
                <w:rFonts w:hint="eastAsia" w:ascii="仿宋_GB2312" w:hAnsi="仿宋_GB2312" w:eastAsia="仿宋_GB2312" w:cs="仿宋_GB2312"/>
                <w:spacing w:val="0"/>
                <w:sz w:val="20"/>
                <w:szCs w:val="20"/>
                <w:highlight w:val="none"/>
                <w:lang w:val="en-US" w:eastAsia="zh-CN"/>
              </w:rPr>
              <w:t>4</w:t>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《体育场所安全运营管理规范</w:t>
            </w:r>
            <w:r>
              <w:rPr>
                <w:rFonts w:hint="eastAsia" w:ascii="仿宋_GB2312" w:hAnsi="仿宋_GB2312" w:eastAsia="仿宋_GB2312" w:cs="仿宋_GB2312"/>
                <w:spacing w:val="0"/>
                <w:sz w:val="20"/>
                <w:szCs w:val="20"/>
                <w:highlight w:val="none"/>
                <w:lang w:val="en-US" w:eastAsia="zh-CN"/>
              </w:rPr>
              <w:t xml:space="preserve"> </w:t>
            </w:r>
            <w:r>
              <w:rPr>
                <w:rFonts w:hint="eastAsia" w:ascii="仿宋_GB2312" w:hAnsi="仿宋_GB2312" w:eastAsia="仿宋_GB2312" w:cs="仿宋_GB2312"/>
                <w:spacing w:val="0"/>
                <w:sz w:val="20"/>
                <w:szCs w:val="20"/>
                <w:highlight w:val="none"/>
              </w:rPr>
              <w:t>游泳场所》DB11/T 1218-2019第6.1.3条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lang w:val="en-US" w:eastAsia="zh-CN"/>
              </w:rPr>
              <w:t>《体育行业安全生产重大事故隐患判定标准（2025版）》第四条第六款</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宋体" w:hAnsi="宋体" w:eastAsia="宋体" w:cs="宋体"/>
                <w:spacing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1</w:t>
            </w:r>
            <w:r>
              <w:rPr>
                <w:rFonts w:hint="eastAsia" w:ascii="仿宋_GB2312" w:hAnsi="仿宋_GB2312" w:eastAsia="仿宋_GB2312" w:cs="仿宋_GB2312"/>
                <w:spacing w:val="0"/>
                <w:sz w:val="20"/>
                <w:szCs w:val="20"/>
                <w:highlight w:val="none"/>
              </w:rPr>
              <w:t>.05</w:t>
            </w:r>
            <w:r>
              <w:rPr>
                <w:rFonts w:hint="eastAsia" w:ascii="仿宋_GB2312" w:hAnsi="仿宋_GB2312" w:eastAsia="仿宋_GB2312" w:cs="仿宋_GB2312"/>
                <w:spacing w:val="0"/>
                <w:sz w:val="20"/>
                <w:szCs w:val="20"/>
                <w:highlight w:val="none"/>
                <w:lang w:val="en-US" w:eastAsia="zh-CN"/>
              </w:rPr>
              <w:t>2</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特种作业人员未按要求取得特种作业操作资格证书后上岗作业。</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特种作业人员应按照国家有关规定经专门的安全作业培训，取得特种作业操作资格证书，方可上岗作业。</w:t>
            </w:r>
            <w:r>
              <w:rPr>
                <w:rFonts w:hint="eastAsia" w:ascii="仿宋_GB2312" w:hAnsi="仿宋_GB2312" w:eastAsia="仿宋_GB2312" w:cs="仿宋_GB2312"/>
                <w:spacing w:val="0"/>
                <w:sz w:val="20"/>
                <w:szCs w:val="20"/>
                <w:highlight w:val="none"/>
                <w:lang w:val="en-US" w:eastAsia="zh-CN"/>
              </w:rPr>
              <w:t>不得出现</w:t>
            </w:r>
            <w:r>
              <w:rPr>
                <w:rFonts w:hint="eastAsia" w:ascii="仿宋_GB2312" w:hAnsi="仿宋_GB2312" w:eastAsia="仿宋_GB2312" w:cs="仿宋_GB2312"/>
                <w:spacing w:val="0"/>
                <w:sz w:val="20"/>
                <w:szCs w:val="20"/>
                <w:highlight w:val="none"/>
              </w:rPr>
              <w:t>无证、假证、超资质作业等</w:t>
            </w:r>
            <w:r>
              <w:rPr>
                <w:rFonts w:hint="eastAsia" w:ascii="仿宋_GB2312" w:hAnsi="仿宋_GB2312" w:eastAsia="仿宋_GB2312" w:cs="仿宋_GB2312"/>
                <w:spacing w:val="0"/>
                <w:sz w:val="20"/>
                <w:szCs w:val="20"/>
                <w:highlight w:val="none"/>
                <w:lang w:val="en-US" w:eastAsia="zh-CN"/>
              </w:rPr>
              <w:t>现象</w:t>
            </w:r>
            <w:r>
              <w:rPr>
                <w:rFonts w:hint="eastAsia" w:ascii="仿宋_GB2312" w:hAnsi="仿宋_GB2312" w:eastAsia="仿宋_GB2312" w:cs="仿宋_GB2312"/>
                <w:spacing w:val="0"/>
                <w:sz w:val="20"/>
                <w:szCs w:val="20"/>
                <w:highlight w:val="none"/>
              </w:rPr>
              <w:t>。</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w:t>
            </w:r>
            <w:r>
              <w:rPr>
                <w:rFonts w:hint="eastAsia" w:ascii="仿宋_GB2312" w:hAnsi="仿宋_GB2312" w:eastAsia="仿宋_GB2312" w:cs="仿宋_GB2312"/>
                <w:spacing w:val="0"/>
                <w:sz w:val="20"/>
                <w:szCs w:val="20"/>
                <w:highlight w:val="none"/>
                <w:lang w:val="en-US" w:eastAsia="zh-CN"/>
              </w:rPr>
              <w:t>中华人民共和国</w:t>
            </w:r>
            <w:r>
              <w:rPr>
                <w:rFonts w:hint="eastAsia" w:ascii="仿宋_GB2312" w:hAnsi="仿宋_GB2312" w:eastAsia="仿宋_GB2312" w:cs="仿宋_GB2312"/>
                <w:spacing w:val="0"/>
                <w:sz w:val="20"/>
                <w:szCs w:val="20"/>
                <w:highlight w:val="none"/>
              </w:rPr>
              <w:t>安全生产法》第</w:t>
            </w:r>
            <w:r>
              <w:rPr>
                <w:rFonts w:hint="eastAsia" w:ascii="仿宋_GB2312" w:hAnsi="仿宋_GB2312" w:eastAsia="仿宋_GB2312" w:cs="仿宋_GB2312"/>
                <w:spacing w:val="0"/>
                <w:sz w:val="20"/>
                <w:szCs w:val="20"/>
                <w:highlight w:val="none"/>
                <w:lang w:val="en-US" w:eastAsia="zh-CN"/>
              </w:rPr>
              <w:t>三十条；中华人民共和国应急管理部令</w:t>
            </w:r>
            <w:r>
              <w:rPr>
                <w:rFonts w:hint="eastAsia" w:ascii="仿宋_GB2312" w:hAnsi="仿宋_GB2312" w:eastAsia="仿宋_GB2312" w:cs="仿宋_GB2312"/>
                <w:spacing w:val="0"/>
                <w:sz w:val="20"/>
                <w:szCs w:val="20"/>
                <w:highlight w:val="none"/>
              </w:rPr>
              <w:t>第</w:t>
            </w:r>
            <w:r>
              <w:rPr>
                <w:rFonts w:hint="eastAsia" w:ascii="仿宋_GB2312" w:hAnsi="仿宋_GB2312" w:eastAsia="仿宋_GB2312" w:cs="仿宋_GB2312"/>
                <w:spacing w:val="0"/>
                <w:sz w:val="20"/>
                <w:szCs w:val="20"/>
                <w:highlight w:val="none"/>
                <w:lang w:val="en-US" w:eastAsia="zh-CN"/>
              </w:rPr>
              <w:t>19</w:t>
            </w:r>
            <w:r>
              <w:rPr>
                <w:rFonts w:hint="eastAsia" w:ascii="仿宋_GB2312" w:hAnsi="仿宋_GB2312" w:eastAsia="仿宋_GB2312" w:cs="仿宋_GB2312"/>
                <w:spacing w:val="0"/>
                <w:sz w:val="20"/>
                <w:szCs w:val="20"/>
                <w:highlight w:val="none"/>
              </w:rPr>
              <w:t>号《特种作业人员安全技术培训考核管理规定》第</w:t>
            </w:r>
            <w:r>
              <w:rPr>
                <w:rFonts w:hint="eastAsia" w:ascii="仿宋_GB2312" w:hAnsi="仿宋_GB2312" w:eastAsia="仿宋_GB2312" w:cs="仿宋_GB2312"/>
                <w:spacing w:val="0"/>
                <w:sz w:val="20"/>
                <w:szCs w:val="20"/>
                <w:highlight w:val="none"/>
                <w:lang w:val="en-US" w:eastAsia="zh-CN"/>
              </w:rPr>
              <w:t>四</w:t>
            </w:r>
            <w:r>
              <w:rPr>
                <w:rFonts w:hint="eastAsia" w:ascii="仿宋_GB2312" w:hAnsi="仿宋_GB2312" w:eastAsia="仿宋_GB2312" w:cs="仿宋_GB2312"/>
                <w:spacing w:val="0"/>
                <w:sz w:val="20"/>
                <w:szCs w:val="20"/>
                <w:highlight w:val="none"/>
              </w:rPr>
              <w:t>、</w:t>
            </w:r>
            <w:r>
              <w:rPr>
                <w:rFonts w:hint="eastAsia" w:ascii="仿宋_GB2312" w:hAnsi="仿宋_GB2312" w:eastAsia="仿宋_GB2312" w:cs="仿宋_GB2312"/>
                <w:spacing w:val="0"/>
                <w:sz w:val="20"/>
                <w:szCs w:val="20"/>
                <w:highlight w:val="none"/>
                <w:lang w:val="en-US" w:eastAsia="zh-CN"/>
              </w:rPr>
              <w:t>九</w:t>
            </w:r>
            <w:r>
              <w:rPr>
                <w:rFonts w:hint="eastAsia" w:ascii="仿宋_GB2312" w:hAnsi="仿宋_GB2312" w:eastAsia="仿宋_GB2312" w:cs="仿宋_GB2312"/>
                <w:spacing w:val="0"/>
                <w:sz w:val="20"/>
                <w:szCs w:val="20"/>
                <w:highlight w:val="none"/>
              </w:rPr>
              <w:t>、</w:t>
            </w:r>
            <w:r>
              <w:rPr>
                <w:rFonts w:hint="eastAsia" w:ascii="仿宋_GB2312" w:hAnsi="仿宋_GB2312" w:eastAsia="仿宋_GB2312" w:cs="仿宋_GB2312"/>
                <w:spacing w:val="0"/>
                <w:sz w:val="20"/>
                <w:szCs w:val="20"/>
                <w:highlight w:val="none"/>
                <w:lang w:val="en-US" w:eastAsia="zh-CN"/>
              </w:rPr>
              <w:t>三十七</w:t>
            </w:r>
            <w:r>
              <w:rPr>
                <w:rFonts w:hint="eastAsia" w:ascii="仿宋_GB2312" w:hAnsi="仿宋_GB2312" w:eastAsia="仿宋_GB2312" w:cs="仿宋_GB2312"/>
                <w:spacing w:val="0"/>
                <w:sz w:val="20"/>
                <w:szCs w:val="20"/>
                <w:highlight w:val="none"/>
              </w:rPr>
              <w:t>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rPr>
              <w:t>.05</w:t>
            </w:r>
            <w:r>
              <w:rPr>
                <w:rFonts w:hint="eastAsia" w:ascii="仿宋_GB2312" w:hAnsi="仿宋_GB2312" w:eastAsia="仿宋_GB2312" w:cs="仿宋_GB2312"/>
                <w:spacing w:val="0"/>
                <w:sz w:val="20"/>
                <w:szCs w:val="20"/>
                <w:highlight w:val="none"/>
                <w:lang w:val="en-US" w:eastAsia="zh-CN"/>
              </w:rPr>
              <w:t>3</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restart"/>
            <w:tcBorders>
              <w:top w:val="single" w:color="auto" w:sz="6" w:space="0"/>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操作行为类</w:t>
            </w: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游泳池在岗专职水上救生员设置不符合规范要求。</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人工游泳池水面面积在250平方米以下的，在岗专职水上救生员不得少于3名；水面面积超过250平方米的，每增加250平方米，至少增加1名专职水上救生员（增加的面积不足250平方米的，按照增加250平方米计算）。</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《北京市体育运动项目经营单位安全生产规定》第二十六条；《体育场所开放条件与技术要求第1部分：游泳场所》GB 19079.1-2013第7.2条；《体育行业安全生产重大事故隐患判定标准（2025版）》第四条第六款</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宋体" w:hAnsi="宋体" w:eastAsia="宋体" w:cs="宋体"/>
                <w:spacing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54</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开展游泳培训项目的，每名社会体育指导员（游泳）指导的培训对象超过10人</w:t>
            </w:r>
            <w:r>
              <w:rPr>
                <w:rFonts w:hint="eastAsia" w:ascii="仿宋_GB2312" w:hAnsi="仿宋_GB2312" w:eastAsia="仿宋_GB2312" w:cs="仿宋_GB2312"/>
                <w:spacing w:val="0"/>
                <w:sz w:val="20"/>
                <w:szCs w:val="20"/>
                <w:highlight w:val="none"/>
                <w:lang w:eastAsia="zh-CN"/>
              </w:rPr>
              <w:t>。</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开展游泳培训项目的，每名社会体育指导员</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游泳</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指导的培训对象应不超过10人。</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《体育场所安全运营管理规范</w:t>
            </w:r>
            <w:r>
              <w:rPr>
                <w:rFonts w:hint="eastAsia" w:ascii="仿宋_GB2312" w:hAnsi="仿宋_GB2312" w:eastAsia="仿宋_GB2312" w:cs="仿宋_GB2312"/>
                <w:spacing w:val="0"/>
                <w:sz w:val="20"/>
                <w:szCs w:val="20"/>
                <w:highlight w:val="none"/>
                <w:lang w:val="en-US" w:eastAsia="zh-CN"/>
              </w:rPr>
              <w:t xml:space="preserve"> </w:t>
            </w:r>
            <w:r>
              <w:rPr>
                <w:rFonts w:hint="eastAsia" w:ascii="仿宋_GB2312" w:hAnsi="仿宋_GB2312" w:eastAsia="仿宋_GB2312" w:cs="仿宋_GB2312"/>
                <w:spacing w:val="0"/>
                <w:sz w:val="20"/>
                <w:szCs w:val="20"/>
                <w:highlight w:val="none"/>
              </w:rPr>
              <w:t>游泳场所》DB11/T 1218-2019第6.1.2条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55</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救生员在值班期间，不得从事教学、售卖或其他分散注意力的工作。</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游泳救生员和社会体育指导员（游泳）不应在同一时间由同一人兼任。</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《体育场所安全运营管理规范</w:t>
            </w:r>
            <w:r>
              <w:rPr>
                <w:rFonts w:hint="eastAsia" w:ascii="仿宋_GB2312" w:hAnsi="仿宋_GB2312" w:eastAsia="仿宋_GB2312" w:cs="仿宋_GB2312"/>
                <w:spacing w:val="0"/>
                <w:sz w:val="20"/>
                <w:szCs w:val="20"/>
                <w:highlight w:val="none"/>
                <w:lang w:val="en-US" w:eastAsia="zh-CN"/>
              </w:rPr>
              <w:t xml:space="preserve"> </w:t>
            </w:r>
            <w:r>
              <w:rPr>
                <w:rFonts w:hint="eastAsia" w:ascii="仿宋_GB2312" w:hAnsi="仿宋_GB2312" w:eastAsia="仿宋_GB2312" w:cs="仿宋_GB2312"/>
                <w:spacing w:val="0"/>
                <w:sz w:val="20"/>
                <w:szCs w:val="20"/>
                <w:highlight w:val="none"/>
              </w:rPr>
              <w:t>游泳场所》DB11/T 1218-2019第6.1.5条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56</w:t>
            </w:r>
          </w:p>
        </w:tc>
        <w:tc>
          <w:tcPr>
            <w:tcW w:w="275" w:type="pct"/>
            <w:vMerge w:val="continue"/>
            <w:tcBorders>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77" w:type="pct"/>
            <w:vMerge w:val="continue"/>
            <w:tcBorders>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游泳池人均游泳面积小于2.5m</w:t>
            </w:r>
            <w:r>
              <w:rPr>
                <w:rFonts w:hint="eastAsia" w:ascii="仿宋_GB2312" w:hAnsi="仿宋_GB2312" w:eastAsia="仿宋_GB2312" w:cs="仿宋_GB2312"/>
                <w:spacing w:val="0"/>
                <w:sz w:val="20"/>
                <w:szCs w:val="20"/>
                <w:highlight w:val="none"/>
                <w:vertAlign w:val="superscript"/>
                <w:lang w:val="en-US" w:eastAsia="zh-CN"/>
              </w:rPr>
              <w:t>2</w:t>
            </w:r>
            <w:r>
              <w:rPr>
                <w:rFonts w:hint="eastAsia" w:ascii="仿宋_GB2312" w:hAnsi="仿宋_GB2312" w:eastAsia="仿宋_GB2312" w:cs="仿宋_GB2312"/>
                <w:spacing w:val="0"/>
                <w:sz w:val="20"/>
                <w:szCs w:val="20"/>
                <w:highlight w:val="none"/>
              </w:rPr>
              <w:t>。</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游泳池人均游泳面积</w:t>
            </w:r>
            <w:r>
              <w:rPr>
                <w:rFonts w:hint="eastAsia" w:ascii="仿宋_GB2312" w:hAnsi="仿宋_GB2312" w:eastAsia="仿宋_GB2312" w:cs="仿宋_GB2312"/>
                <w:spacing w:val="0"/>
                <w:sz w:val="20"/>
                <w:szCs w:val="20"/>
                <w:highlight w:val="none"/>
                <w:lang w:val="en-US" w:eastAsia="zh-CN"/>
              </w:rPr>
              <w:t>不</w:t>
            </w:r>
            <w:r>
              <w:rPr>
                <w:rFonts w:hint="eastAsia" w:ascii="仿宋_GB2312" w:hAnsi="仿宋_GB2312" w:eastAsia="仿宋_GB2312" w:cs="仿宋_GB2312"/>
                <w:spacing w:val="0"/>
                <w:sz w:val="20"/>
                <w:szCs w:val="20"/>
                <w:highlight w:val="none"/>
              </w:rPr>
              <w:t>小于2.5m</w:t>
            </w:r>
            <w:r>
              <w:rPr>
                <w:rFonts w:hint="eastAsia" w:ascii="仿宋_GB2312" w:hAnsi="仿宋_GB2312" w:eastAsia="仿宋_GB2312" w:cs="仿宋_GB2312"/>
                <w:spacing w:val="0"/>
                <w:sz w:val="20"/>
                <w:szCs w:val="20"/>
                <w:highlight w:val="none"/>
                <w:vertAlign w:val="superscript"/>
                <w:lang w:val="en-US" w:eastAsia="zh-CN"/>
              </w:rPr>
              <w:t>2</w:t>
            </w:r>
            <w:r>
              <w:rPr>
                <w:rFonts w:hint="eastAsia" w:ascii="仿宋_GB2312" w:hAnsi="仿宋_GB2312" w:eastAsia="仿宋_GB2312" w:cs="仿宋_GB2312"/>
                <w:spacing w:val="0"/>
                <w:sz w:val="20"/>
                <w:szCs w:val="20"/>
                <w:highlight w:val="none"/>
              </w:rPr>
              <w:t>，</w:t>
            </w: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对参加游泳的人数进行统计，根据实际情况采取适当的限制措施。</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《体育场所开放条件与技术要求第1部分：游泳场所》GB 19079.1-2013第7.</w:t>
            </w:r>
            <w:r>
              <w:rPr>
                <w:rFonts w:hint="eastAsia" w:ascii="仿宋_GB2312" w:hAnsi="仿宋_GB2312" w:eastAsia="仿宋_GB2312" w:cs="仿宋_GB2312"/>
                <w:spacing w:val="0"/>
                <w:sz w:val="20"/>
                <w:szCs w:val="20"/>
                <w:highlight w:val="none"/>
                <w:lang w:val="en-US" w:eastAsia="zh-CN"/>
              </w:rPr>
              <w:t>3.3</w:t>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《体育场所安全运营管理规范</w:t>
            </w:r>
            <w:r>
              <w:rPr>
                <w:rFonts w:hint="eastAsia" w:ascii="仿宋_GB2312" w:hAnsi="仿宋_GB2312" w:eastAsia="仿宋_GB2312" w:cs="仿宋_GB2312"/>
                <w:spacing w:val="0"/>
                <w:sz w:val="20"/>
                <w:szCs w:val="20"/>
                <w:highlight w:val="none"/>
                <w:lang w:val="en-US" w:eastAsia="zh-CN"/>
              </w:rPr>
              <w:t xml:space="preserve"> </w:t>
            </w:r>
            <w:r>
              <w:rPr>
                <w:rFonts w:hint="eastAsia" w:ascii="仿宋_GB2312" w:hAnsi="仿宋_GB2312" w:eastAsia="仿宋_GB2312" w:cs="仿宋_GB2312"/>
                <w:spacing w:val="0"/>
                <w:sz w:val="20"/>
                <w:szCs w:val="20"/>
                <w:highlight w:val="none"/>
              </w:rPr>
              <w:t>游泳场所》DB11/</w:t>
            </w:r>
            <w:r>
              <w:rPr>
                <w:rFonts w:hint="eastAsia" w:ascii="仿宋_GB2312" w:hAnsi="仿宋_GB2312" w:eastAsia="仿宋_GB2312" w:cs="仿宋_GB2312"/>
                <w:spacing w:val="0"/>
                <w:sz w:val="20"/>
                <w:szCs w:val="20"/>
                <w:highlight w:val="none"/>
                <w:lang w:eastAsia="zh-CN"/>
              </w:rPr>
              <w:t>T 1218</w:t>
            </w:r>
            <w:r>
              <w:rPr>
                <w:rFonts w:hint="eastAsia" w:ascii="仿宋_GB2312" w:hAnsi="仿宋_GB2312" w:eastAsia="仿宋_GB2312" w:cs="仿宋_GB2312"/>
                <w:spacing w:val="0"/>
                <w:sz w:val="20"/>
                <w:szCs w:val="20"/>
                <w:highlight w:val="none"/>
              </w:rPr>
              <w:t>-2019第6.2.2条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《北京市体育运动项目经营单位安全生产规定》第</w:t>
            </w:r>
            <w:r>
              <w:rPr>
                <w:rFonts w:hint="eastAsia" w:ascii="仿宋_GB2312" w:hAnsi="仿宋_GB2312" w:eastAsia="仿宋_GB2312" w:cs="仿宋_GB2312"/>
                <w:spacing w:val="0"/>
                <w:sz w:val="20"/>
                <w:szCs w:val="20"/>
                <w:highlight w:val="none"/>
                <w:lang w:val="en-US" w:eastAsia="zh-CN"/>
              </w:rPr>
              <w:t>二十三</w:t>
            </w:r>
            <w:r>
              <w:rPr>
                <w:rFonts w:hint="eastAsia" w:ascii="仿宋_GB2312" w:hAnsi="仿宋_GB2312" w:eastAsia="仿宋_GB2312" w:cs="仿宋_GB2312"/>
                <w:spacing w:val="0"/>
                <w:sz w:val="20"/>
                <w:szCs w:val="20"/>
                <w:highlight w:val="none"/>
              </w:rPr>
              <w:t>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57</w:t>
            </w:r>
          </w:p>
        </w:tc>
        <w:tc>
          <w:tcPr>
            <w:tcW w:w="275" w:type="pct"/>
            <w:vMerge w:val="continue"/>
            <w:tcBorders>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277" w:type="pct"/>
            <w:vMerge w:val="continue"/>
            <w:tcBorders>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在公共门厅、疏散通道、安全出口、楼梯间等区域停放电动自行车或者为电动自行车充电，禁止携带电动自行车、充电电池进入电梯轿厢</w:t>
            </w:r>
            <w:r>
              <w:rPr>
                <w:rFonts w:hint="eastAsia" w:ascii="仿宋_GB2312" w:hAnsi="仿宋_GB2312" w:eastAsia="仿宋_GB2312" w:cs="仿宋_GB2312"/>
                <w:spacing w:val="0"/>
                <w:sz w:val="20"/>
                <w:szCs w:val="20"/>
                <w:highlight w:val="none"/>
                <w:lang w:eastAsia="zh-CN"/>
              </w:rPr>
              <w:t>。</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0" w:leftChars="0" w:right="0" w:rightChars="0" w:firstLine="0" w:firstLineChars="0"/>
              <w:jc w:val="left"/>
              <w:rPr>
                <w:rFonts w:hint="eastAsia" w:ascii="仿宋_GB2312" w:hAnsi="仿宋_GB2312" w:eastAsia="仿宋_GB2312" w:cs="仿宋_GB2312"/>
                <w:spacing w:val="0"/>
                <w:kern w:val="2"/>
                <w:sz w:val="20"/>
                <w:szCs w:val="20"/>
                <w:highlight w:val="none"/>
                <w:lang w:val="en-US" w:eastAsia="zh-CN" w:bidi="ar-SA"/>
              </w:rPr>
            </w:pPr>
            <w:r>
              <w:rPr>
                <w:rFonts w:hint="eastAsia" w:ascii="仿宋_GB2312" w:hAnsi="仿宋_GB2312" w:eastAsia="仿宋_GB2312" w:cs="仿宋_GB2312"/>
                <w:spacing w:val="0"/>
                <w:sz w:val="20"/>
                <w:szCs w:val="20"/>
                <w:highlight w:val="none"/>
              </w:rPr>
              <w:t>禁止在公共门厅、疏散通道、安全出口、楼梯间等区域停放电动自行车或者为电动自行车充电，禁止携带电动自行车、充电电池进入电梯轿厢</w:t>
            </w:r>
            <w:r>
              <w:rPr>
                <w:rFonts w:hint="eastAsia" w:ascii="仿宋_GB2312" w:hAnsi="仿宋_GB2312" w:eastAsia="仿宋_GB2312" w:cs="仿宋_GB2312"/>
                <w:spacing w:val="0"/>
                <w:sz w:val="20"/>
                <w:szCs w:val="20"/>
                <w:highlight w:val="none"/>
                <w:lang w:eastAsia="zh-CN"/>
              </w:rPr>
              <w:t>。</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napToGrid w:val="0"/>
              <w:spacing w:line="300" w:lineRule="exact"/>
              <w:ind w:left="0" w:leftChars="0" w:right="0" w:rightChars="0" w:firstLine="0" w:firstLineChars="0"/>
              <w:jc w:val="left"/>
              <w:rPr>
                <w:rFonts w:hint="eastAsia" w:ascii="仿宋_GB2312" w:hAnsi="仿宋_GB2312" w:eastAsia="仿宋_GB2312" w:cs="仿宋_GB2312"/>
                <w:spacing w:val="0"/>
                <w:kern w:val="2"/>
                <w:sz w:val="20"/>
                <w:szCs w:val="20"/>
                <w:highlight w:val="none"/>
                <w:lang w:val="en-US" w:eastAsia="zh-CN" w:bidi="ar-SA"/>
              </w:rPr>
            </w:pPr>
            <w:r>
              <w:rPr>
                <w:rFonts w:hint="eastAsia" w:ascii="仿宋_GB2312" w:hAnsi="仿宋_GB2312" w:eastAsia="仿宋_GB2312" w:cs="仿宋_GB2312"/>
                <w:spacing w:val="0"/>
                <w:sz w:val="20"/>
                <w:szCs w:val="20"/>
                <w:highlight w:val="none"/>
                <w:lang w:val="en-US" w:eastAsia="zh-CN"/>
              </w:rPr>
              <w:t>《北京市消防条例》第三十六条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58</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restart"/>
            <w:tcBorders>
              <w:top w:val="single" w:color="auto" w:sz="6" w:space="0"/>
              <w:left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个人防护用品使用类</w:t>
            </w: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未配备救生浮标、救生杆、救生圈、救生板、救生绳和护颈套等救生器材，或者</w:t>
            </w:r>
            <w:r>
              <w:rPr>
                <w:rFonts w:hint="eastAsia" w:ascii="仿宋_GB2312" w:hAnsi="仿宋_GB2312" w:eastAsia="仿宋_GB2312" w:cs="仿宋_GB2312"/>
                <w:spacing w:val="0"/>
                <w:sz w:val="20"/>
                <w:szCs w:val="20"/>
                <w:highlight w:val="none"/>
                <w:lang w:val="en-US" w:eastAsia="zh-CN"/>
              </w:rPr>
              <w:t>救生器材不完好</w:t>
            </w:r>
            <w:r>
              <w:rPr>
                <w:rFonts w:hint="eastAsia" w:ascii="仿宋_GB2312" w:hAnsi="仿宋_GB2312" w:eastAsia="仿宋_GB2312" w:cs="仿宋_GB2312"/>
                <w:spacing w:val="0"/>
                <w:sz w:val="20"/>
                <w:szCs w:val="20"/>
                <w:highlight w:val="none"/>
              </w:rPr>
              <w:t>。</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配备救生浮标、救生杆、救生圈、救生板、救生绳和护颈套等救生器材，</w:t>
            </w:r>
            <w:r>
              <w:rPr>
                <w:rFonts w:hint="eastAsia" w:ascii="仿宋_GB2312" w:hAnsi="仿宋_GB2312" w:eastAsia="仿宋_GB2312" w:cs="仿宋_GB2312"/>
                <w:spacing w:val="0"/>
                <w:sz w:val="20"/>
                <w:szCs w:val="20"/>
                <w:highlight w:val="none"/>
                <w:lang w:val="en-US" w:eastAsia="zh-CN"/>
              </w:rPr>
              <w:t>并确保完好有效</w:t>
            </w:r>
            <w:r>
              <w:rPr>
                <w:rFonts w:hint="eastAsia" w:ascii="仿宋_GB2312" w:hAnsi="仿宋_GB2312" w:eastAsia="仿宋_GB2312" w:cs="仿宋_GB2312"/>
                <w:spacing w:val="0"/>
                <w:sz w:val="20"/>
                <w:szCs w:val="20"/>
                <w:highlight w:val="none"/>
              </w:rPr>
              <w:t>。</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《体育场所开放条件与技术要求第1部分：游泳场所》GB 19079.1-2013第7.1.2条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59</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游泳场所未配备专用急救箱，未在醒目位置设置急救点。</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游泳场所应配备专用急救箱，配有急救药品，并于醒目位置设置急救点。</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《体育场所开放条件与技术要求第1部分：游泳场所》GB 19079.1-2013第7.1.</w:t>
            </w:r>
            <w:r>
              <w:rPr>
                <w:rFonts w:hint="eastAsia" w:ascii="仿宋_GB2312" w:hAnsi="仿宋_GB2312" w:eastAsia="仿宋_GB2312" w:cs="仿宋_GB2312"/>
                <w:spacing w:val="0"/>
                <w:sz w:val="20"/>
                <w:szCs w:val="20"/>
                <w:highlight w:val="none"/>
                <w:lang w:val="en-US" w:eastAsia="zh-CN"/>
              </w:rPr>
              <w:t>3</w:t>
            </w:r>
            <w:r>
              <w:rPr>
                <w:rFonts w:hint="eastAsia" w:ascii="仿宋_GB2312" w:hAnsi="仿宋_GB2312" w:eastAsia="仿宋_GB2312" w:cs="仿宋_GB2312"/>
                <w:spacing w:val="0"/>
                <w:sz w:val="20"/>
                <w:szCs w:val="20"/>
                <w:highlight w:val="none"/>
              </w:rPr>
              <w:t>条</w:t>
            </w:r>
            <w:r>
              <w:rPr>
                <w:rFonts w:hint="eastAsia" w:ascii="仿宋_GB2312" w:hAnsi="仿宋_GB2312" w:eastAsia="仿宋_GB2312" w:cs="仿宋_GB2312"/>
                <w:spacing w:val="0"/>
                <w:sz w:val="20"/>
                <w:szCs w:val="20"/>
                <w:highlight w:val="none"/>
                <w:lang w:eastAsia="zh-CN"/>
              </w:rPr>
              <w:t>；</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w:t>
            </w:r>
            <w:r>
              <w:rPr>
                <w:rFonts w:hint="eastAsia" w:ascii="仿宋_GB2312" w:hAnsi="仿宋_GB2312" w:eastAsia="仿宋_GB2312" w:cs="仿宋_GB2312"/>
                <w:spacing w:val="0"/>
                <w:sz w:val="20"/>
                <w:szCs w:val="20"/>
                <w:highlight w:val="none"/>
                <w:lang w:val="en-US" w:eastAsia="zh-CN"/>
              </w:rPr>
              <w:t>4</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1</w:t>
            </w:r>
            <w:r>
              <w:rPr>
                <w:rFonts w:hint="eastAsia" w:ascii="仿宋_GB2312" w:hAnsi="仿宋_GB2312" w:eastAsia="仿宋_GB2312" w:cs="仿宋_GB2312"/>
                <w:spacing w:val="0"/>
                <w:sz w:val="20"/>
                <w:szCs w:val="20"/>
                <w:highlight w:val="none"/>
              </w:rPr>
              <w:t>.0</w:t>
            </w:r>
            <w:r>
              <w:rPr>
                <w:rFonts w:hint="eastAsia" w:ascii="仿宋_GB2312" w:hAnsi="仿宋_GB2312" w:eastAsia="仿宋_GB2312" w:cs="仿宋_GB2312"/>
                <w:spacing w:val="0"/>
                <w:sz w:val="20"/>
                <w:szCs w:val="20"/>
                <w:highlight w:val="none"/>
                <w:lang w:val="en-US" w:eastAsia="zh-CN"/>
              </w:rPr>
              <w:t>60</w:t>
            </w:r>
          </w:p>
        </w:tc>
        <w:tc>
          <w:tcPr>
            <w:tcW w:w="275" w:type="pct"/>
            <w:vMerge w:val="restart"/>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场所环境类</w:t>
            </w:r>
          </w:p>
        </w:tc>
        <w:tc>
          <w:tcPr>
            <w:tcW w:w="277" w:type="pct"/>
            <w:vMerge w:val="restart"/>
            <w:tcBorders>
              <w:top w:val="single" w:color="auto" w:sz="6" w:space="0"/>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标志及标识类</w:t>
            </w: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widowControl w:val="0"/>
              <w:kinsoku/>
              <w:wordWrap/>
              <w:overflowPunct/>
              <w:topLinePunct w:val="0"/>
              <w:autoSpaceDE/>
              <w:autoSpaceDN/>
              <w:bidi w:val="0"/>
              <w:adjustRightInd/>
              <w:snapToGrid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儿童池未设置醒目标识，或者配置了戏水设备。</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widowControl w:val="0"/>
              <w:kinsoku/>
              <w:wordWrap/>
              <w:overflowPunct/>
              <w:topLinePunct w:val="0"/>
              <w:autoSpaceDE/>
              <w:autoSpaceDN/>
              <w:bidi w:val="0"/>
              <w:adjustRightInd/>
              <w:snapToGrid w:val="0"/>
              <w:spacing w:line="300" w:lineRule="exact"/>
              <w:ind w:left="84" w:leftChars="40" w:right="84" w:rightChars="40"/>
              <w:textAlignment w:val="auto"/>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儿童池应有醒目标识，并不应配置戏水设备。</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《体育场所开放条件与技术要求第1部分：游泳场所》GB 19079.1-2013第5.13条</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《体育场所安全运营管理规范</w:t>
            </w:r>
            <w:r>
              <w:rPr>
                <w:rFonts w:hint="eastAsia" w:ascii="仿宋_GB2312" w:hAnsi="仿宋_GB2312" w:eastAsia="仿宋_GB2312" w:cs="仿宋_GB2312"/>
                <w:spacing w:val="0"/>
                <w:sz w:val="20"/>
                <w:szCs w:val="20"/>
                <w:highlight w:val="none"/>
                <w:lang w:val="en-US" w:eastAsia="zh-CN"/>
              </w:rPr>
              <w:t xml:space="preserve"> </w:t>
            </w:r>
            <w:r>
              <w:rPr>
                <w:rFonts w:hint="eastAsia" w:ascii="仿宋_GB2312" w:hAnsi="仿宋_GB2312" w:eastAsia="仿宋_GB2312" w:cs="仿宋_GB2312"/>
                <w:spacing w:val="0"/>
                <w:sz w:val="20"/>
                <w:szCs w:val="20"/>
                <w:highlight w:val="none"/>
              </w:rPr>
              <w:t>游泳场所》DB11/T 1218-2019第5.1.7条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w:t>
            </w:r>
            <w:r>
              <w:rPr>
                <w:rFonts w:hint="eastAsia" w:ascii="仿宋_GB2312" w:hAnsi="仿宋_GB2312" w:eastAsia="仿宋_GB2312" w:cs="仿宋_GB2312"/>
                <w:spacing w:val="0"/>
                <w:sz w:val="20"/>
                <w:szCs w:val="20"/>
                <w:highlight w:val="none"/>
                <w:lang w:val="en-US" w:eastAsia="zh-CN"/>
              </w:rPr>
              <w:t>4</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1</w:t>
            </w:r>
            <w:r>
              <w:rPr>
                <w:rFonts w:hint="eastAsia" w:ascii="仿宋_GB2312" w:hAnsi="仿宋_GB2312" w:eastAsia="仿宋_GB2312" w:cs="仿宋_GB2312"/>
                <w:spacing w:val="0"/>
                <w:sz w:val="20"/>
                <w:szCs w:val="20"/>
                <w:highlight w:val="none"/>
              </w:rPr>
              <w:t>.06</w:t>
            </w:r>
            <w:r>
              <w:rPr>
                <w:rFonts w:hint="eastAsia" w:ascii="仿宋_GB2312" w:hAnsi="仿宋_GB2312" w:eastAsia="仿宋_GB2312" w:cs="仿宋_GB2312"/>
                <w:spacing w:val="0"/>
                <w:sz w:val="20"/>
                <w:szCs w:val="20"/>
                <w:highlight w:val="none"/>
                <w:lang w:val="en-US" w:eastAsia="zh-CN"/>
              </w:rPr>
              <w:t>1</w:t>
            </w:r>
          </w:p>
        </w:tc>
        <w:tc>
          <w:tcPr>
            <w:tcW w:w="275"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highlight w:val="none"/>
              </w:rPr>
            </w:pPr>
          </w:p>
        </w:tc>
        <w:tc>
          <w:tcPr>
            <w:tcW w:w="277" w:type="pct"/>
            <w:vMerge w:val="continue"/>
            <w:tcBorders>
              <w:left w:val="single" w:color="auto" w:sz="6" w:space="0"/>
              <w:right w:val="single" w:color="auto" w:sz="6" w:space="0"/>
            </w:tcBorders>
            <w:noWrap w:val="0"/>
            <w:tcMar>
              <w:left w:w="0" w:type="dxa"/>
              <w:right w:w="0" w:type="dxa"/>
            </w:tcMar>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widowControl w:val="0"/>
              <w:kinsoku/>
              <w:wordWrap/>
              <w:overflowPunct/>
              <w:topLinePunct w:val="0"/>
              <w:autoSpaceDE/>
              <w:autoSpaceDN/>
              <w:bidi w:val="0"/>
              <w:adjustRightInd/>
              <w:snapToGrid w:val="0"/>
              <w:spacing w:line="300" w:lineRule="exact"/>
              <w:ind w:left="84" w:leftChars="40" w:right="84" w:rightChars="40"/>
              <w:textAlignment w:val="auto"/>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rPr>
              <w:t>未在醒目位置公示游泳救生员和社会体育指导员（游泳）的姓名、照片、职业资格证书编号等信息。</w:t>
            </w:r>
          </w:p>
        </w:tc>
        <w:tc>
          <w:tcPr>
            <w:tcW w:w="137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widowControl w:val="0"/>
              <w:kinsoku/>
              <w:wordWrap/>
              <w:overflowPunct/>
              <w:topLinePunct w:val="0"/>
              <w:autoSpaceDE/>
              <w:autoSpaceDN/>
              <w:bidi w:val="0"/>
              <w:adjustRightInd/>
              <w:snapToGrid w:val="0"/>
              <w:spacing w:line="300" w:lineRule="exact"/>
              <w:ind w:left="84" w:leftChars="40" w:right="84" w:rightChars="40"/>
              <w:textAlignment w:val="auto"/>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应在醒目位置公示游泳救生员和社会体育指导员</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游泳）的姓名、照片、职业资格证书编号等信息。</w:t>
            </w:r>
          </w:p>
        </w:tc>
        <w:tc>
          <w:tcPr>
            <w:tcW w:w="132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《体育场所安全运营管理规范</w:t>
            </w:r>
            <w:r>
              <w:rPr>
                <w:rFonts w:hint="eastAsia" w:ascii="仿宋_GB2312" w:hAnsi="仿宋_GB2312" w:eastAsia="仿宋_GB2312" w:cs="仿宋_GB2312"/>
                <w:spacing w:val="0"/>
                <w:sz w:val="20"/>
                <w:szCs w:val="20"/>
                <w:highlight w:val="none"/>
                <w:lang w:val="en-US" w:eastAsia="zh-CN"/>
              </w:rPr>
              <w:t xml:space="preserve"> </w:t>
            </w:r>
            <w:r>
              <w:rPr>
                <w:rFonts w:hint="eastAsia" w:ascii="仿宋_GB2312" w:hAnsi="仿宋_GB2312" w:eastAsia="仿宋_GB2312" w:cs="仿宋_GB2312"/>
                <w:spacing w:val="0"/>
                <w:sz w:val="20"/>
                <w:szCs w:val="20"/>
                <w:highlight w:val="none"/>
              </w:rPr>
              <w:t>游泳场所》DB11/T 1218-2019第6.1.4条</w:t>
            </w:r>
          </w:p>
        </w:tc>
        <w:tc>
          <w:tcPr>
            <w:tcW w:w="362"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noWrap w:val="0"/>
            <w:vAlign w:val="center"/>
          </w:tcPr>
          <w:p>
            <w:pPr>
              <w:keepNext w:val="0"/>
              <w:keepLines w:val="0"/>
              <w:pageBreakBefore w:val="0"/>
              <w:numPr>
                <w:ilvl w:val="0"/>
                <w:numId w:val="0"/>
              </w:numPr>
              <w:kinsoku/>
              <w:wordWrap/>
              <w:overflowPunct/>
              <w:topLinePunct w:val="0"/>
              <w:autoSpaceDE/>
              <w:autoSpaceDN/>
              <w:bidi w:val="0"/>
              <w:spacing w:line="300" w:lineRule="exact"/>
              <w:ind w:left="425" w:leftChars="0" w:right="84" w:rightChars="40" w:hanging="425" w:firstLine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w:t>
            </w:r>
            <w:r>
              <w:rPr>
                <w:rFonts w:hint="eastAsia" w:ascii="仿宋_GB2312" w:hAnsi="仿宋_GB2312" w:eastAsia="仿宋_GB2312" w:cs="仿宋_GB2312"/>
                <w:spacing w:val="0"/>
                <w:sz w:val="20"/>
                <w:szCs w:val="20"/>
                <w:highlight w:val="none"/>
                <w:lang w:val="en-US" w:eastAsia="zh-CN"/>
              </w:rPr>
              <w:t>4</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1</w:t>
            </w:r>
            <w:r>
              <w:rPr>
                <w:rFonts w:hint="eastAsia" w:ascii="仿宋_GB2312" w:hAnsi="仿宋_GB2312" w:eastAsia="仿宋_GB2312" w:cs="仿宋_GB2312"/>
                <w:spacing w:val="0"/>
                <w:sz w:val="20"/>
                <w:szCs w:val="20"/>
                <w:highlight w:val="none"/>
              </w:rPr>
              <w:t>.06</w:t>
            </w:r>
            <w:r>
              <w:rPr>
                <w:rFonts w:hint="eastAsia" w:ascii="仿宋_GB2312" w:hAnsi="仿宋_GB2312" w:eastAsia="仿宋_GB2312" w:cs="仿宋_GB2312"/>
                <w:spacing w:val="0"/>
                <w:sz w:val="20"/>
                <w:szCs w:val="20"/>
                <w:highlight w:val="none"/>
                <w:lang w:val="en-US" w:eastAsia="zh-CN"/>
              </w:rPr>
              <w:t>2</w:t>
            </w:r>
          </w:p>
        </w:tc>
        <w:tc>
          <w:tcPr>
            <w:tcW w:w="275" w:type="pct"/>
            <w:vMerge w:val="continue"/>
            <w:tcBorders>
              <w:left w:val="single" w:color="auto" w:sz="6" w:space="0"/>
              <w:right w:val="single" w:color="auto" w:sz="6" w:space="0"/>
            </w:tcBorders>
            <w:noWrap w:val="0"/>
            <w:vAlign w:val="top"/>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p>
        </w:tc>
        <w:tc>
          <w:tcPr>
            <w:tcW w:w="277" w:type="pct"/>
            <w:vMerge w:val="continue"/>
            <w:tcBorders>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noWrap w:val="0"/>
            <w:vAlign w:val="center"/>
          </w:tcPr>
          <w:p>
            <w:pPr>
              <w:pStyle w:val="12"/>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textAlignment w:val="auto"/>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rPr>
              <w:t>未在醒目位置设置“游泳人员须知”“严禁跳水”“严禁追跑打闹”“防滑”“佩戴泳帽”等必要的安全要求及警示。</w:t>
            </w:r>
          </w:p>
        </w:tc>
        <w:tc>
          <w:tcPr>
            <w:tcW w:w="1370" w:type="pct"/>
            <w:noWrap w:val="0"/>
            <w:vAlign w:val="center"/>
          </w:tcPr>
          <w:p>
            <w:pPr>
              <w:pStyle w:val="12"/>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textAlignment w:val="auto"/>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应设置醒目的“游泳人员须知</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严禁跳水</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严禁追跑打闹</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防滑</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佩戴泳帽”等必要的安全要求及警示。</w:t>
            </w:r>
          </w:p>
        </w:tc>
        <w:tc>
          <w:tcPr>
            <w:tcW w:w="1325" w:type="pct"/>
            <w:noWrap w:val="0"/>
            <w:vAlign w:val="center"/>
          </w:tcPr>
          <w:p>
            <w:pPr>
              <w:pStyle w:val="12"/>
              <w:rPr>
                <w:rFonts w:hint="default" w:ascii="仿宋_GB2312" w:hAnsi="仿宋_GB2312" w:eastAsia="仿宋_GB2312" w:cs="仿宋_GB2312"/>
                <w:color w:val="000000"/>
                <w:spacing w:val="0"/>
                <w:kern w:val="2"/>
                <w:sz w:val="20"/>
                <w:szCs w:val="20"/>
                <w:highlight w:val="none"/>
                <w:lang w:val="en-US" w:eastAsia="zh-CN" w:bidi="mn-Mong-CN"/>
              </w:rPr>
            </w:pPr>
            <w:r>
              <w:rPr>
                <w:rFonts w:hint="default" w:ascii="仿宋_GB2312" w:hAnsi="仿宋_GB2312" w:eastAsia="仿宋_GB2312" w:cs="仿宋_GB2312"/>
                <w:spacing w:val="0"/>
                <w:sz w:val="20"/>
                <w:szCs w:val="20"/>
                <w:highlight w:val="none"/>
              </w:rPr>
              <w:t>《体育场所开放条件与技术要求第1部分：游泳场所》GB 19079.1-2013第</w:t>
            </w:r>
            <w:r>
              <w:rPr>
                <w:rFonts w:hint="default" w:ascii="仿宋_GB2312" w:hAnsi="仿宋_GB2312" w:eastAsia="仿宋_GB2312" w:cs="仿宋_GB2312"/>
                <w:spacing w:val="0"/>
                <w:sz w:val="20"/>
                <w:szCs w:val="20"/>
                <w:highlight w:val="none"/>
                <w:lang w:val="en-US" w:eastAsia="zh-CN"/>
              </w:rPr>
              <w:t>7.3.2</w:t>
            </w:r>
            <w:r>
              <w:rPr>
                <w:rFonts w:hint="default" w:ascii="仿宋_GB2312" w:hAnsi="仿宋_GB2312" w:eastAsia="仿宋_GB2312" w:cs="仿宋_GB2312"/>
                <w:spacing w:val="0"/>
                <w:sz w:val="20"/>
                <w:szCs w:val="20"/>
                <w:highlight w:val="none"/>
              </w:rPr>
              <w:t>条</w:t>
            </w:r>
            <w:r>
              <w:rPr>
                <w:rFonts w:hint="default" w:ascii="仿宋_GB2312" w:hAnsi="仿宋_GB2312" w:eastAsia="仿宋_GB2312" w:cs="仿宋_GB2312"/>
                <w:spacing w:val="0"/>
                <w:sz w:val="20"/>
                <w:szCs w:val="20"/>
                <w:highlight w:val="none"/>
                <w:lang w:eastAsia="zh-CN"/>
              </w:rPr>
              <w:t>；</w:t>
            </w:r>
            <w:r>
              <w:rPr>
                <w:rFonts w:hint="default" w:ascii="仿宋_GB2312" w:hAnsi="仿宋_GB2312" w:eastAsia="仿宋_GB2312" w:cs="仿宋_GB2312"/>
                <w:spacing w:val="0"/>
                <w:sz w:val="20"/>
                <w:szCs w:val="20"/>
                <w:highlight w:val="none"/>
              </w:rPr>
              <w:t>《体育场所安全运营管理规范</w:t>
            </w:r>
            <w:r>
              <w:rPr>
                <w:rFonts w:hint="eastAsia" w:ascii="仿宋_GB2312" w:hAnsi="仿宋_GB2312" w:eastAsia="仿宋_GB2312" w:cs="仿宋_GB2312"/>
                <w:spacing w:val="0"/>
                <w:sz w:val="20"/>
                <w:szCs w:val="20"/>
                <w:highlight w:val="none"/>
                <w:lang w:val="en-US" w:eastAsia="zh-CN"/>
              </w:rPr>
              <w:t xml:space="preserve"> </w:t>
            </w:r>
            <w:r>
              <w:rPr>
                <w:rFonts w:hint="default" w:ascii="仿宋_GB2312" w:hAnsi="仿宋_GB2312" w:eastAsia="仿宋_GB2312" w:cs="仿宋_GB2312"/>
                <w:spacing w:val="0"/>
                <w:sz w:val="20"/>
                <w:szCs w:val="20"/>
                <w:highlight w:val="none"/>
              </w:rPr>
              <w:t>游泳场所》DB11/T</w:t>
            </w:r>
            <w:r>
              <w:rPr>
                <w:rFonts w:hint="default" w:ascii="仿宋_GB2312" w:hAnsi="仿宋_GB2312" w:eastAsia="仿宋_GB2312" w:cs="仿宋_GB2312"/>
                <w:spacing w:val="0"/>
                <w:sz w:val="20"/>
                <w:szCs w:val="20"/>
                <w:highlight w:val="none"/>
                <w:lang w:val="en-US" w:eastAsia="zh-CN"/>
              </w:rPr>
              <w:t xml:space="preserve"> </w:t>
            </w:r>
            <w:r>
              <w:rPr>
                <w:rFonts w:hint="default" w:ascii="仿宋_GB2312" w:hAnsi="仿宋_GB2312" w:eastAsia="仿宋_GB2312" w:cs="仿宋_GB2312"/>
                <w:spacing w:val="0"/>
                <w:sz w:val="20"/>
                <w:szCs w:val="20"/>
                <w:highlight w:val="none"/>
              </w:rPr>
              <w:t>1218-2019第6.2.2条</w:t>
            </w:r>
          </w:p>
        </w:tc>
        <w:tc>
          <w:tcPr>
            <w:tcW w:w="362" w:type="pct"/>
            <w:noWrap w:val="0"/>
            <w:vAlign w:val="top"/>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noWrap w:val="0"/>
            <w:vAlign w:val="center"/>
          </w:tcPr>
          <w:p>
            <w:pPr>
              <w:keepNext w:val="0"/>
              <w:keepLines w:val="0"/>
              <w:pageBreakBefore w:val="0"/>
              <w:numPr>
                <w:ilvl w:val="0"/>
                <w:numId w:val="0"/>
              </w:numPr>
              <w:kinsoku/>
              <w:wordWrap/>
              <w:overflowPunct/>
              <w:topLinePunct w:val="0"/>
              <w:autoSpaceDE/>
              <w:autoSpaceDN/>
              <w:bidi w:val="0"/>
              <w:spacing w:line="300" w:lineRule="exact"/>
              <w:ind w:left="425" w:leftChars="0" w:right="84" w:rightChars="40" w:hanging="425" w:firstLineChars="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eastAsia="zh-CN"/>
              </w:rPr>
              <w:t>01.</w:t>
            </w:r>
            <w:r>
              <w:rPr>
                <w:rFonts w:hint="eastAsia" w:ascii="仿宋_GB2312" w:hAnsi="仿宋_GB2312" w:eastAsia="仿宋_GB2312" w:cs="仿宋_GB2312"/>
                <w:spacing w:val="0"/>
                <w:sz w:val="20"/>
                <w:szCs w:val="20"/>
                <w:highlight w:val="none"/>
                <w:lang w:val="en-US" w:eastAsia="zh-CN"/>
              </w:rPr>
              <w:t>4</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1</w:t>
            </w:r>
            <w:r>
              <w:rPr>
                <w:rFonts w:hint="eastAsia" w:ascii="仿宋_GB2312" w:hAnsi="仿宋_GB2312" w:eastAsia="仿宋_GB2312" w:cs="仿宋_GB2312"/>
                <w:spacing w:val="0"/>
                <w:sz w:val="20"/>
                <w:szCs w:val="20"/>
                <w:highlight w:val="none"/>
              </w:rPr>
              <w:t>.06</w:t>
            </w:r>
            <w:r>
              <w:rPr>
                <w:rFonts w:hint="eastAsia" w:ascii="仿宋_GB2312" w:hAnsi="仿宋_GB2312" w:eastAsia="仿宋_GB2312" w:cs="仿宋_GB2312"/>
                <w:spacing w:val="0"/>
                <w:sz w:val="20"/>
                <w:szCs w:val="20"/>
                <w:highlight w:val="none"/>
                <w:lang w:val="en-US" w:eastAsia="zh-CN"/>
              </w:rPr>
              <w:t>3</w:t>
            </w:r>
          </w:p>
        </w:tc>
        <w:tc>
          <w:tcPr>
            <w:tcW w:w="275" w:type="pct"/>
            <w:vMerge w:val="continue"/>
            <w:tcBorders>
              <w:left w:val="single" w:color="auto" w:sz="6" w:space="0"/>
              <w:right w:val="single" w:color="auto" w:sz="6" w:space="0"/>
            </w:tcBorders>
            <w:noWrap w:val="0"/>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p>
        </w:tc>
        <w:tc>
          <w:tcPr>
            <w:tcW w:w="277" w:type="pct"/>
            <w:vMerge w:val="continue"/>
            <w:tcBorders>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highlight w:val="none"/>
                <w:lang w:val="en-US" w:eastAsia="zh-CN" w:bidi="mn-Mong-CN"/>
              </w:rPr>
            </w:pPr>
          </w:p>
        </w:tc>
        <w:tc>
          <w:tcPr>
            <w:tcW w:w="909" w:type="pct"/>
            <w:noWrap w:val="0"/>
            <w:vAlign w:val="center"/>
          </w:tcPr>
          <w:p>
            <w:pPr>
              <w:pStyle w:val="12"/>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textAlignment w:val="auto"/>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rPr>
              <w:t>未在游泳池周边醒目位置悬挂</w:t>
            </w:r>
            <w:r>
              <w:rPr>
                <w:rFonts w:hint="eastAsia" w:ascii="仿宋_GB2312" w:hAnsi="仿宋_GB2312" w:eastAsia="仿宋_GB2312" w:cs="仿宋_GB2312"/>
                <w:spacing w:val="0"/>
                <w:sz w:val="20"/>
                <w:szCs w:val="20"/>
                <w:highlight w:val="none"/>
                <w:lang w:val="en-US" w:eastAsia="zh-CN"/>
              </w:rPr>
              <w:t>安全制度</w:t>
            </w:r>
            <w:r>
              <w:rPr>
                <w:rFonts w:hint="eastAsia" w:ascii="仿宋_GB2312" w:hAnsi="仿宋_GB2312" w:eastAsia="仿宋_GB2312" w:cs="仿宋_GB2312"/>
                <w:spacing w:val="0"/>
                <w:sz w:val="20"/>
                <w:szCs w:val="20"/>
                <w:highlight w:val="none"/>
              </w:rPr>
              <w:t>。</w:t>
            </w:r>
          </w:p>
        </w:tc>
        <w:tc>
          <w:tcPr>
            <w:tcW w:w="1370" w:type="pct"/>
            <w:noWrap w:val="0"/>
            <w:vAlign w:val="center"/>
          </w:tcPr>
          <w:p>
            <w:pPr>
              <w:pStyle w:val="12"/>
              <w:keepNext w:val="0"/>
              <w:keepLines w:val="0"/>
              <w:pageBreakBefore w:val="0"/>
              <w:widowControl w:val="0"/>
              <w:kinsoku/>
              <w:wordWrap/>
              <w:overflowPunct/>
              <w:topLinePunct w:val="0"/>
              <w:autoSpaceDE/>
              <w:autoSpaceDN/>
              <w:bidi w:val="0"/>
              <w:adjustRightInd/>
              <w:snapToGrid w:val="0"/>
              <w:spacing w:before="60" w:after="60" w:line="300" w:lineRule="exact"/>
              <w:ind w:left="0" w:leftChars="0" w:right="0" w:rightChars="0"/>
              <w:textAlignment w:val="auto"/>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lang w:val="en-US" w:eastAsia="zh-CN"/>
              </w:rPr>
              <w:t>应</w:t>
            </w:r>
            <w:r>
              <w:rPr>
                <w:rFonts w:hint="eastAsia" w:ascii="仿宋_GB2312" w:hAnsi="仿宋_GB2312" w:eastAsia="仿宋_GB2312" w:cs="仿宋_GB2312"/>
                <w:spacing w:val="0"/>
                <w:sz w:val="20"/>
                <w:szCs w:val="20"/>
                <w:highlight w:val="none"/>
              </w:rPr>
              <w:t>在游泳池周边醒目位置悬挂安全生产责任制，溺水抢救操作规程，溺水事故处理制度，游泳设施、设备、器材安全检查制度，游泳救生员定期培训制度。</w:t>
            </w:r>
          </w:p>
        </w:tc>
        <w:tc>
          <w:tcPr>
            <w:tcW w:w="1325" w:type="pct"/>
            <w:noWrap w:val="0"/>
            <w:vAlign w:val="center"/>
          </w:tcPr>
          <w:p>
            <w:pPr>
              <w:pStyle w:val="12"/>
              <w:rPr>
                <w:rFonts w:hint="default" w:ascii="仿宋_GB2312" w:hAnsi="仿宋_GB2312" w:eastAsia="仿宋_GB2312" w:cs="仿宋_GB2312"/>
                <w:color w:val="000000"/>
                <w:spacing w:val="0"/>
                <w:kern w:val="2"/>
                <w:sz w:val="20"/>
                <w:szCs w:val="20"/>
                <w:highlight w:val="none"/>
                <w:lang w:val="en-US" w:eastAsia="zh-CN" w:bidi="mn-Mong-CN"/>
              </w:rPr>
            </w:pPr>
            <w:r>
              <w:rPr>
                <w:rFonts w:hint="default" w:ascii="仿宋_GB2312" w:hAnsi="仿宋_GB2312" w:eastAsia="仿宋_GB2312" w:cs="仿宋_GB2312"/>
                <w:spacing w:val="0"/>
                <w:sz w:val="20"/>
                <w:szCs w:val="20"/>
                <w:highlight w:val="none"/>
              </w:rPr>
              <w:t>《体育场所开放条件与技术要求第1部分：游泳场所》GB 19079.1-2013第</w:t>
            </w:r>
            <w:r>
              <w:rPr>
                <w:rFonts w:hint="default" w:ascii="仿宋_GB2312" w:hAnsi="仿宋_GB2312" w:eastAsia="仿宋_GB2312" w:cs="仿宋_GB2312"/>
                <w:spacing w:val="0"/>
                <w:sz w:val="20"/>
                <w:szCs w:val="20"/>
                <w:highlight w:val="none"/>
                <w:lang w:val="en-US" w:eastAsia="zh-CN"/>
              </w:rPr>
              <w:t>7.3.1</w:t>
            </w:r>
            <w:r>
              <w:rPr>
                <w:rFonts w:hint="default" w:ascii="仿宋_GB2312" w:hAnsi="仿宋_GB2312" w:eastAsia="仿宋_GB2312" w:cs="仿宋_GB2312"/>
                <w:spacing w:val="0"/>
                <w:sz w:val="20"/>
                <w:szCs w:val="20"/>
                <w:highlight w:val="none"/>
              </w:rPr>
              <w:t>条</w:t>
            </w:r>
            <w:r>
              <w:rPr>
                <w:rFonts w:hint="default" w:ascii="仿宋_GB2312" w:hAnsi="仿宋_GB2312" w:eastAsia="仿宋_GB2312" w:cs="仿宋_GB2312"/>
                <w:spacing w:val="0"/>
                <w:sz w:val="20"/>
                <w:szCs w:val="20"/>
                <w:highlight w:val="none"/>
                <w:lang w:eastAsia="zh-CN"/>
              </w:rPr>
              <w:t>；</w:t>
            </w:r>
            <w:r>
              <w:rPr>
                <w:rFonts w:hint="default" w:ascii="仿宋_GB2312" w:hAnsi="仿宋_GB2312" w:eastAsia="仿宋_GB2312" w:cs="仿宋_GB2312"/>
                <w:spacing w:val="0"/>
                <w:sz w:val="20"/>
                <w:szCs w:val="20"/>
                <w:highlight w:val="none"/>
              </w:rPr>
              <w:t>《体育场所安全运营管理规范</w:t>
            </w:r>
            <w:r>
              <w:rPr>
                <w:rFonts w:hint="eastAsia" w:ascii="仿宋_GB2312" w:hAnsi="仿宋_GB2312" w:eastAsia="仿宋_GB2312" w:cs="仿宋_GB2312"/>
                <w:spacing w:val="0"/>
                <w:sz w:val="20"/>
                <w:szCs w:val="20"/>
                <w:highlight w:val="none"/>
                <w:lang w:val="en-US" w:eastAsia="zh-CN"/>
              </w:rPr>
              <w:t xml:space="preserve"> </w:t>
            </w:r>
            <w:r>
              <w:rPr>
                <w:rFonts w:hint="default" w:ascii="仿宋_GB2312" w:hAnsi="仿宋_GB2312" w:eastAsia="仿宋_GB2312" w:cs="仿宋_GB2312"/>
                <w:spacing w:val="0"/>
                <w:sz w:val="20"/>
                <w:szCs w:val="20"/>
                <w:highlight w:val="none"/>
              </w:rPr>
              <w:t>游泳场所》DB11/T</w:t>
            </w:r>
            <w:r>
              <w:rPr>
                <w:rFonts w:hint="default" w:ascii="仿宋_GB2312" w:hAnsi="仿宋_GB2312" w:eastAsia="仿宋_GB2312" w:cs="仿宋_GB2312"/>
                <w:spacing w:val="0"/>
                <w:sz w:val="20"/>
                <w:szCs w:val="20"/>
                <w:highlight w:val="none"/>
                <w:lang w:val="en-US" w:eastAsia="zh-CN"/>
              </w:rPr>
              <w:t xml:space="preserve"> </w:t>
            </w:r>
            <w:r>
              <w:rPr>
                <w:rFonts w:hint="default" w:ascii="仿宋_GB2312" w:hAnsi="仿宋_GB2312" w:eastAsia="仿宋_GB2312" w:cs="仿宋_GB2312"/>
                <w:spacing w:val="0"/>
                <w:sz w:val="20"/>
                <w:szCs w:val="20"/>
                <w:highlight w:val="none"/>
              </w:rPr>
              <w:t>1218-2019第</w:t>
            </w:r>
            <w:r>
              <w:rPr>
                <w:rFonts w:hint="default" w:ascii="仿宋_GB2312" w:hAnsi="仿宋_GB2312" w:eastAsia="仿宋_GB2312" w:cs="仿宋_GB2312"/>
                <w:spacing w:val="0"/>
                <w:sz w:val="20"/>
                <w:szCs w:val="20"/>
                <w:highlight w:val="none"/>
                <w:lang w:val="en-US" w:eastAsia="zh-CN"/>
              </w:rPr>
              <w:t>4.1</w:t>
            </w:r>
            <w:r>
              <w:rPr>
                <w:rFonts w:hint="default" w:ascii="仿宋_GB2312" w:hAnsi="仿宋_GB2312" w:eastAsia="仿宋_GB2312" w:cs="仿宋_GB2312"/>
                <w:spacing w:val="0"/>
                <w:sz w:val="20"/>
                <w:szCs w:val="20"/>
                <w:highlight w:val="none"/>
              </w:rPr>
              <w:t>条</w:t>
            </w:r>
          </w:p>
        </w:tc>
        <w:tc>
          <w:tcPr>
            <w:tcW w:w="362" w:type="pct"/>
            <w:noWrap w:val="0"/>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7" w:type="pct"/>
            <w:noWrap w:val="0"/>
            <w:vAlign w:val="center"/>
          </w:tcPr>
          <w:p>
            <w:pPr>
              <w:pStyle w:val="12"/>
              <w:keepNext w:val="0"/>
              <w:keepLines w:val="0"/>
              <w:pageBreakBefore w:val="0"/>
              <w:numPr>
                <w:ilvl w:val="0"/>
                <w:numId w:val="0"/>
              </w:numPr>
              <w:kinsoku/>
              <w:wordWrap/>
              <w:overflowPunct/>
              <w:topLinePunct w:val="0"/>
              <w:autoSpaceDE/>
              <w:autoSpaceDN/>
              <w:bidi w:val="0"/>
              <w:spacing w:line="300" w:lineRule="exact"/>
              <w:ind w:leftChars="0" w:right="84" w:rightChars="40"/>
              <w:jc w:val="center"/>
              <w:rPr>
                <w:rFonts w:hint="eastAsia" w:ascii="仿宋_GB2312" w:hAnsi="仿宋_GB2312" w:eastAsia="仿宋_GB2312" w:cs="仿宋_GB2312"/>
                <w:spacing w:val="0"/>
                <w:sz w:val="20"/>
                <w:szCs w:val="20"/>
                <w:highlight w:val="none"/>
                <w:lang w:eastAsia="zh-CN"/>
              </w:rPr>
            </w:pPr>
            <w:r>
              <w:rPr>
                <w:rFonts w:hint="eastAsia" w:ascii="仿宋_GB2312" w:hAnsi="仿宋_GB2312" w:eastAsia="仿宋_GB2312" w:cs="仿宋_GB2312"/>
                <w:spacing w:val="0"/>
                <w:sz w:val="20"/>
                <w:szCs w:val="20"/>
                <w:highlight w:val="none"/>
                <w:lang w:eastAsia="zh-CN"/>
              </w:rPr>
              <w:t>01.</w:t>
            </w:r>
            <w:r>
              <w:rPr>
                <w:rFonts w:hint="eastAsia" w:ascii="仿宋_GB2312" w:hAnsi="仿宋_GB2312" w:eastAsia="仿宋_GB2312" w:cs="仿宋_GB2312"/>
                <w:spacing w:val="0"/>
                <w:sz w:val="20"/>
                <w:szCs w:val="20"/>
                <w:highlight w:val="none"/>
                <w:lang w:val="en-US" w:eastAsia="zh-CN"/>
              </w:rPr>
              <w:t>4</w:t>
            </w:r>
            <w:r>
              <w:rPr>
                <w:rFonts w:hint="eastAsia" w:ascii="仿宋_GB2312" w:hAnsi="仿宋_GB2312" w:eastAsia="仿宋_GB2312" w:cs="仿宋_GB2312"/>
                <w:spacing w:val="0"/>
                <w:sz w:val="20"/>
                <w:szCs w:val="20"/>
                <w:highlight w:val="none"/>
                <w:lang w:eastAsia="zh-CN"/>
              </w:rPr>
              <w:t>.0</w:t>
            </w:r>
            <w:r>
              <w:rPr>
                <w:rFonts w:hint="eastAsia" w:ascii="仿宋_GB2312" w:hAnsi="仿宋_GB2312" w:eastAsia="仿宋_GB2312" w:cs="仿宋_GB2312"/>
                <w:spacing w:val="0"/>
                <w:sz w:val="20"/>
                <w:szCs w:val="20"/>
                <w:highlight w:val="none"/>
                <w:lang w:val="en-US" w:eastAsia="zh-CN"/>
              </w:rPr>
              <w:t>2</w:t>
            </w:r>
            <w:r>
              <w:rPr>
                <w:rFonts w:hint="eastAsia" w:ascii="仿宋_GB2312" w:hAnsi="仿宋_GB2312" w:eastAsia="仿宋_GB2312" w:cs="仿宋_GB2312"/>
                <w:spacing w:val="0"/>
                <w:sz w:val="20"/>
                <w:szCs w:val="20"/>
                <w:highlight w:val="none"/>
              </w:rPr>
              <w:t>.06</w:t>
            </w:r>
            <w:r>
              <w:rPr>
                <w:rFonts w:hint="eastAsia" w:ascii="仿宋_GB2312" w:hAnsi="仿宋_GB2312" w:eastAsia="仿宋_GB2312" w:cs="仿宋_GB2312"/>
                <w:spacing w:val="0"/>
                <w:sz w:val="20"/>
                <w:szCs w:val="20"/>
                <w:highlight w:val="none"/>
                <w:lang w:val="en-US" w:eastAsia="zh-CN"/>
              </w:rPr>
              <w:t>4</w:t>
            </w:r>
          </w:p>
        </w:tc>
        <w:tc>
          <w:tcPr>
            <w:tcW w:w="275" w:type="pct"/>
            <w:vMerge w:val="continue"/>
            <w:tcBorders>
              <w:left w:val="single" w:color="auto" w:sz="6" w:space="0"/>
              <w:right w:val="single" w:color="auto" w:sz="6" w:space="0"/>
            </w:tcBorders>
            <w:noWrap w:val="0"/>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p>
        </w:tc>
        <w:tc>
          <w:tcPr>
            <w:tcW w:w="277" w:type="pct"/>
            <w:noWrap w:val="0"/>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安全疏散类</w:t>
            </w:r>
          </w:p>
        </w:tc>
        <w:tc>
          <w:tcPr>
            <w:tcW w:w="909" w:type="pct"/>
            <w:noWrap w:val="0"/>
            <w:vAlign w:val="center"/>
          </w:tcPr>
          <w:p>
            <w:pPr>
              <w:pStyle w:val="12"/>
              <w:adjustRightInd/>
              <w:snapToGrid w:val="0"/>
              <w:ind w:left="0" w:leftChars="0" w:right="0" w:rightChars="0"/>
              <w:rPr>
                <w:rFonts w:hint="default" w:ascii="仿宋_GB2312" w:hAnsi="仿宋_GB2312" w:eastAsia="仿宋_GB2312" w:cs="仿宋_GB2312"/>
                <w:color w:val="000000"/>
                <w:spacing w:val="0"/>
                <w:kern w:val="2"/>
                <w:sz w:val="20"/>
                <w:szCs w:val="20"/>
                <w:highlight w:val="none"/>
                <w:lang w:val="en-US" w:eastAsia="zh-CN" w:bidi="mn-Mong-CN"/>
              </w:rPr>
            </w:pPr>
            <w:r>
              <w:rPr>
                <w:rFonts w:hint="default" w:ascii="仿宋_GB2312" w:hAnsi="仿宋_GB2312" w:eastAsia="仿宋_GB2312" w:cs="仿宋_GB2312"/>
                <w:spacing w:val="0"/>
                <w:sz w:val="20"/>
                <w:szCs w:val="20"/>
                <w:highlight w:val="none"/>
              </w:rPr>
              <w:t>占用、堵塞、封闭疏散通道</w:t>
            </w:r>
            <w:r>
              <w:rPr>
                <w:rFonts w:hint="default" w:ascii="仿宋_GB2312" w:hAnsi="仿宋_GB2312" w:eastAsia="仿宋_GB2312" w:cs="仿宋_GB2312"/>
                <w:spacing w:val="0"/>
                <w:sz w:val="20"/>
                <w:szCs w:val="20"/>
                <w:highlight w:val="none"/>
                <w:lang w:eastAsia="zh-CN"/>
              </w:rPr>
              <w:t>。</w:t>
            </w:r>
          </w:p>
        </w:tc>
        <w:tc>
          <w:tcPr>
            <w:tcW w:w="1370" w:type="pct"/>
            <w:noWrap w:val="0"/>
            <w:vAlign w:val="center"/>
          </w:tcPr>
          <w:p>
            <w:pPr>
              <w:pStyle w:val="12"/>
              <w:adjustRightInd/>
              <w:snapToGrid w:val="0"/>
              <w:ind w:left="0" w:leftChars="0" w:right="0" w:rightChars="0"/>
              <w:rPr>
                <w:rFonts w:hint="default" w:ascii="仿宋_GB2312" w:hAnsi="仿宋_GB2312" w:eastAsia="仿宋_GB2312" w:cs="仿宋_GB2312"/>
                <w:color w:val="000000"/>
                <w:spacing w:val="0"/>
                <w:kern w:val="2"/>
                <w:sz w:val="20"/>
                <w:szCs w:val="20"/>
                <w:highlight w:val="none"/>
                <w:lang w:val="en-US" w:eastAsia="zh-CN" w:bidi="mn-Mong-CN"/>
              </w:rPr>
            </w:pPr>
            <w:r>
              <w:rPr>
                <w:rFonts w:hint="default" w:ascii="仿宋_GB2312" w:hAnsi="仿宋_GB2312" w:eastAsia="仿宋_GB2312" w:cs="仿宋_GB2312"/>
                <w:spacing w:val="0"/>
                <w:sz w:val="20"/>
                <w:szCs w:val="20"/>
                <w:highlight w:val="none"/>
              </w:rPr>
              <w:t>安全出口、疏散通道畅通，</w:t>
            </w:r>
            <w:r>
              <w:rPr>
                <w:rFonts w:hint="default" w:ascii="仿宋_GB2312" w:hAnsi="仿宋_GB2312" w:eastAsia="仿宋_GB2312" w:cs="仿宋_GB2312"/>
                <w:spacing w:val="0"/>
                <w:sz w:val="20"/>
                <w:szCs w:val="20"/>
                <w:highlight w:val="none"/>
                <w:lang w:val="en-US" w:eastAsia="zh-CN"/>
              </w:rPr>
              <w:t>无</w:t>
            </w:r>
            <w:r>
              <w:rPr>
                <w:rFonts w:hint="default" w:ascii="仿宋_GB2312" w:hAnsi="仿宋_GB2312" w:eastAsia="仿宋_GB2312" w:cs="仿宋_GB2312"/>
                <w:spacing w:val="0"/>
                <w:sz w:val="20"/>
                <w:szCs w:val="20"/>
                <w:highlight w:val="none"/>
              </w:rPr>
              <w:t>占用、堵塞、封闭安全出口和疏散</w:t>
            </w:r>
            <w:r>
              <w:rPr>
                <w:rFonts w:hint="default" w:ascii="仿宋_GB2312" w:hAnsi="仿宋_GB2312" w:eastAsia="仿宋_GB2312" w:cs="仿宋_GB2312"/>
                <w:spacing w:val="0"/>
                <w:sz w:val="20"/>
                <w:szCs w:val="20"/>
                <w:highlight w:val="none"/>
                <w:lang w:eastAsia="zh-CN"/>
              </w:rPr>
              <w:t>通道</w:t>
            </w:r>
            <w:r>
              <w:rPr>
                <w:rFonts w:hint="default" w:ascii="仿宋_GB2312" w:hAnsi="仿宋_GB2312" w:eastAsia="仿宋_GB2312" w:cs="仿宋_GB2312"/>
                <w:spacing w:val="0"/>
                <w:sz w:val="20"/>
                <w:szCs w:val="20"/>
                <w:highlight w:val="none"/>
              </w:rPr>
              <w:t>或者有其他妨碍安全疏散的行为</w:t>
            </w:r>
            <w:r>
              <w:rPr>
                <w:rFonts w:hint="default" w:ascii="仿宋_GB2312" w:hAnsi="仿宋_GB2312" w:eastAsia="仿宋_GB2312" w:cs="仿宋_GB2312"/>
                <w:spacing w:val="0"/>
                <w:sz w:val="20"/>
                <w:szCs w:val="20"/>
                <w:highlight w:val="none"/>
                <w:lang w:eastAsia="zh-CN"/>
              </w:rPr>
              <w:t>。</w:t>
            </w:r>
          </w:p>
        </w:tc>
        <w:tc>
          <w:tcPr>
            <w:tcW w:w="1325" w:type="pct"/>
            <w:noWrap w:val="0"/>
            <w:vAlign w:val="center"/>
          </w:tcPr>
          <w:p>
            <w:pPr>
              <w:pStyle w:val="12"/>
              <w:rPr>
                <w:rFonts w:hint="default" w:ascii="仿宋_GB2312" w:hAnsi="仿宋_GB2312" w:eastAsia="仿宋_GB2312" w:cs="仿宋_GB2312"/>
                <w:color w:val="000000"/>
                <w:spacing w:val="0"/>
                <w:kern w:val="2"/>
                <w:sz w:val="20"/>
                <w:szCs w:val="20"/>
                <w:highlight w:val="none"/>
                <w:lang w:val="en-US" w:eastAsia="zh-CN" w:bidi="mn-Mong-CN"/>
              </w:rPr>
            </w:pPr>
            <w:r>
              <w:rPr>
                <w:rFonts w:hint="default" w:ascii="仿宋_GB2312" w:hAnsi="仿宋_GB2312" w:eastAsia="仿宋_GB2312" w:cs="仿宋_GB2312"/>
                <w:color w:val="000000"/>
                <w:spacing w:val="0"/>
                <w:kern w:val="2"/>
                <w:sz w:val="20"/>
                <w:szCs w:val="20"/>
                <w:highlight w:val="none"/>
                <w:lang w:val="en-US" w:eastAsia="zh-CN" w:bidi="mn-Mong-CN"/>
              </w:rPr>
              <w:t>《中华人民共和国消防法》第十六条</w:t>
            </w:r>
          </w:p>
        </w:tc>
        <w:tc>
          <w:tcPr>
            <w:tcW w:w="362" w:type="pct"/>
            <w:noWrap w:val="0"/>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5000" w:type="pct"/>
            <w:gridSpan w:val="7"/>
            <w:noWrap w:val="0"/>
            <w:vAlign w:val="center"/>
          </w:tcPr>
          <w:p>
            <w:pPr>
              <w:pStyle w:val="12"/>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shd w:val="clear" w:color="auto" w:fill="auto"/>
              </w:rPr>
              <w:t>注：备注中标识“★”的，属于本行业的重大隐患。</w:t>
            </w:r>
          </w:p>
        </w:tc>
      </w:tr>
    </w:tbl>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书宋简体">
    <w:altName w:val="方正书宋_GBK"/>
    <w:panose1 w:val="00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ODE3ZDJjYTFlNWYxZWJiNGJjZmVkN2ViZjk5YzgifQ=="/>
  </w:docVars>
  <w:rsids>
    <w:rsidRoot w:val="2AF207B7"/>
    <w:rsid w:val="00A641FB"/>
    <w:rsid w:val="011A1937"/>
    <w:rsid w:val="01CE72AC"/>
    <w:rsid w:val="01D77E69"/>
    <w:rsid w:val="023B0215"/>
    <w:rsid w:val="026C6D7F"/>
    <w:rsid w:val="02BC3862"/>
    <w:rsid w:val="03092A98"/>
    <w:rsid w:val="032901FD"/>
    <w:rsid w:val="033F3AD3"/>
    <w:rsid w:val="036363D4"/>
    <w:rsid w:val="03C31DCA"/>
    <w:rsid w:val="03CE7CF1"/>
    <w:rsid w:val="03FD7D8C"/>
    <w:rsid w:val="04206237"/>
    <w:rsid w:val="046645BB"/>
    <w:rsid w:val="0478689E"/>
    <w:rsid w:val="04A647CA"/>
    <w:rsid w:val="056159F6"/>
    <w:rsid w:val="057A6C73"/>
    <w:rsid w:val="058700BA"/>
    <w:rsid w:val="05C26A0B"/>
    <w:rsid w:val="05F15F19"/>
    <w:rsid w:val="05F67F28"/>
    <w:rsid w:val="062F6A41"/>
    <w:rsid w:val="069468A4"/>
    <w:rsid w:val="06F105E8"/>
    <w:rsid w:val="0724647E"/>
    <w:rsid w:val="075077D4"/>
    <w:rsid w:val="0764271A"/>
    <w:rsid w:val="07AB7594"/>
    <w:rsid w:val="07D911AC"/>
    <w:rsid w:val="07F7533D"/>
    <w:rsid w:val="083D71F3"/>
    <w:rsid w:val="085C20B1"/>
    <w:rsid w:val="08CE42EF"/>
    <w:rsid w:val="092E1232"/>
    <w:rsid w:val="094A2C12"/>
    <w:rsid w:val="098A290C"/>
    <w:rsid w:val="0A535350"/>
    <w:rsid w:val="0B574A70"/>
    <w:rsid w:val="0B5A7BE7"/>
    <w:rsid w:val="0B754EF6"/>
    <w:rsid w:val="0BAC37A5"/>
    <w:rsid w:val="0BDB744F"/>
    <w:rsid w:val="0C2435D0"/>
    <w:rsid w:val="0C6531BD"/>
    <w:rsid w:val="0CF90E74"/>
    <w:rsid w:val="0D0E34A6"/>
    <w:rsid w:val="0D211A66"/>
    <w:rsid w:val="0DD74EA9"/>
    <w:rsid w:val="0DF81AB7"/>
    <w:rsid w:val="0E3F254F"/>
    <w:rsid w:val="0EA224A6"/>
    <w:rsid w:val="0EA71909"/>
    <w:rsid w:val="0EDE00E9"/>
    <w:rsid w:val="0EE92BE4"/>
    <w:rsid w:val="0EEE56EB"/>
    <w:rsid w:val="0EEF6D6E"/>
    <w:rsid w:val="0F452E31"/>
    <w:rsid w:val="0F7B6853"/>
    <w:rsid w:val="0F7D7472"/>
    <w:rsid w:val="0F985657"/>
    <w:rsid w:val="0FA36690"/>
    <w:rsid w:val="10263F10"/>
    <w:rsid w:val="107C5A41"/>
    <w:rsid w:val="10A5627E"/>
    <w:rsid w:val="10B07A61"/>
    <w:rsid w:val="117417AC"/>
    <w:rsid w:val="119F5E84"/>
    <w:rsid w:val="11A6405B"/>
    <w:rsid w:val="11EC4BE0"/>
    <w:rsid w:val="12260B7B"/>
    <w:rsid w:val="12260CF8"/>
    <w:rsid w:val="12DD1CFF"/>
    <w:rsid w:val="13630FA7"/>
    <w:rsid w:val="13741F37"/>
    <w:rsid w:val="137F7918"/>
    <w:rsid w:val="13806B2E"/>
    <w:rsid w:val="13C47570"/>
    <w:rsid w:val="13DB383B"/>
    <w:rsid w:val="13F13F47"/>
    <w:rsid w:val="14447B5C"/>
    <w:rsid w:val="14BA1BCC"/>
    <w:rsid w:val="14F43330"/>
    <w:rsid w:val="1585042C"/>
    <w:rsid w:val="15B14D7D"/>
    <w:rsid w:val="15FF1F8C"/>
    <w:rsid w:val="16F77107"/>
    <w:rsid w:val="172517DC"/>
    <w:rsid w:val="17A80401"/>
    <w:rsid w:val="17AE706B"/>
    <w:rsid w:val="17E07B9B"/>
    <w:rsid w:val="187D53EA"/>
    <w:rsid w:val="18803212"/>
    <w:rsid w:val="18A3708E"/>
    <w:rsid w:val="18B708FC"/>
    <w:rsid w:val="18F55FDC"/>
    <w:rsid w:val="1921309B"/>
    <w:rsid w:val="19297FBA"/>
    <w:rsid w:val="19DC4FFB"/>
    <w:rsid w:val="19F81098"/>
    <w:rsid w:val="1A1C129C"/>
    <w:rsid w:val="1A1F2A96"/>
    <w:rsid w:val="1A2F4651"/>
    <w:rsid w:val="1A324E27"/>
    <w:rsid w:val="1A417308"/>
    <w:rsid w:val="1A862C7C"/>
    <w:rsid w:val="1B397CEE"/>
    <w:rsid w:val="1B8076CB"/>
    <w:rsid w:val="1CDF0421"/>
    <w:rsid w:val="1D3648B1"/>
    <w:rsid w:val="1E116D00"/>
    <w:rsid w:val="1E5113B6"/>
    <w:rsid w:val="1E673561"/>
    <w:rsid w:val="1E8A38F9"/>
    <w:rsid w:val="1E8E485C"/>
    <w:rsid w:val="1EA90CE7"/>
    <w:rsid w:val="1EBC4DB7"/>
    <w:rsid w:val="1F0873E3"/>
    <w:rsid w:val="1F2061B6"/>
    <w:rsid w:val="1F8D0609"/>
    <w:rsid w:val="1FA92F69"/>
    <w:rsid w:val="201F1C02"/>
    <w:rsid w:val="20691332"/>
    <w:rsid w:val="207E61A3"/>
    <w:rsid w:val="2098432B"/>
    <w:rsid w:val="20BE1A3F"/>
    <w:rsid w:val="20CA3197"/>
    <w:rsid w:val="20EC3555"/>
    <w:rsid w:val="215F7D83"/>
    <w:rsid w:val="21BB03AA"/>
    <w:rsid w:val="21FC1A76"/>
    <w:rsid w:val="222114EB"/>
    <w:rsid w:val="223E208E"/>
    <w:rsid w:val="22760B5E"/>
    <w:rsid w:val="22A937DB"/>
    <w:rsid w:val="22DC0519"/>
    <w:rsid w:val="236553F8"/>
    <w:rsid w:val="23CD191B"/>
    <w:rsid w:val="23D52B45"/>
    <w:rsid w:val="23F5078E"/>
    <w:rsid w:val="241412F8"/>
    <w:rsid w:val="24247062"/>
    <w:rsid w:val="2444279F"/>
    <w:rsid w:val="24CE7345"/>
    <w:rsid w:val="24DB0068"/>
    <w:rsid w:val="25CC7D1A"/>
    <w:rsid w:val="264659B5"/>
    <w:rsid w:val="267A740D"/>
    <w:rsid w:val="26C64CD5"/>
    <w:rsid w:val="275C1AD4"/>
    <w:rsid w:val="27897907"/>
    <w:rsid w:val="278A18D2"/>
    <w:rsid w:val="27C76682"/>
    <w:rsid w:val="27C900F4"/>
    <w:rsid w:val="27D66CC5"/>
    <w:rsid w:val="27F84A8D"/>
    <w:rsid w:val="29015BC3"/>
    <w:rsid w:val="291122AA"/>
    <w:rsid w:val="296A3EE2"/>
    <w:rsid w:val="297B5976"/>
    <w:rsid w:val="299608EE"/>
    <w:rsid w:val="29EB1F0F"/>
    <w:rsid w:val="2A2F0865"/>
    <w:rsid w:val="2A6F6DBF"/>
    <w:rsid w:val="2AF207B7"/>
    <w:rsid w:val="2B7B7EAF"/>
    <w:rsid w:val="2BF612E4"/>
    <w:rsid w:val="2C041C52"/>
    <w:rsid w:val="2C22688D"/>
    <w:rsid w:val="2CA151A5"/>
    <w:rsid w:val="2CC44FA1"/>
    <w:rsid w:val="2CFC5E23"/>
    <w:rsid w:val="2D1A7F31"/>
    <w:rsid w:val="2D954C22"/>
    <w:rsid w:val="2DA706BF"/>
    <w:rsid w:val="2DA94B79"/>
    <w:rsid w:val="2E8A1F61"/>
    <w:rsid w:val="2F3C203B"/>
    <w:rsid w:val="2F5B4CE0"/>
    <w:rsid w:val="2F6740E2"/>
    <w:rsid w:val="2F77098D"/>
    <w:rsid w:val="2FA6164C"/>
    <w:rsid w:val="30C95219"/>
    <w:rsid w:val="30CC56F5"/>
    <w:rsid w:val="30E97669"/>
    <w:rsid w:val="3139239E"/>
    <w:rsid w:val="31684A32"/>
    <w:rsid w:val="316E43A3"/>
    <w:rsid w:val="320229AC"/>
    <w:rsid w:val="320D7387"/>
    <w:rsid w:val="323B3EF4"/>
    <w:rsid w:val="326C2300"/>
    <w:rsid w:val="327546C5"/>
    <w:rsid w:val="337E42F4"/>
    <w:rsid w:val="33CB74FA"/>
    <w:rsid w:val="33EA1978"/>
    <w:rsid w:val="33ED7C29"/>
    <w:rsid w:val="34000D04"/>
    <w:rsid w:val="3400642D"/>
    <w:rsid w:val="34721DC0"/>
    <w:rsid w:val="34A22009"/>
    <w:rsid w:val="34A46103"/>
    <w:rsid w:val="34A51AF9"/>
    <w:rsid w:val="350E6B8A"/>
    <w:rsid w:val="3648465C"/>
    <w:rsid w:val="365732C7"/>
    <w:rsid w:val="368C4D1E"/>
    <w:rsid w:val="36C34C85"/>
    <w:rsid w:val="36DC26F3"/>
    <w:rsid w:val="374B6987"/>
    <w:rsid w:val="378325C5"/>
    <w:rsid w:val="379320DC"/>
    <w:rsid w:val="37A442EA"/>
    <w:rsid w:val="37B36957"/>
    <w:rsid w:val="37B54749"/>
    <w:rsid w:val="37BD36D2"/>
    <w:rsid w:val="38190834"/>
    <w:rsid w:val="38525F74"/>
    <w:rsid w:val="389D76B7"/>
    <w:rsid w:val="394E47ED"/>
    <w:rsid w:val="39616104"/>
    <w:rsid w:val="396B35F2"/>
    <w:rsid w:val="396F14C1"/>
    <w:rsid w:val="397E17C8"/>
    <w:rsid w:val="39B747A8"/>
    <w:rsid w:val="39ED2F0C"/>
    <w:rsid w:val="3A0E0140"/>
    <w:rsid w:val="3A5A5133"/>
    <w:rsid w:val="3A8E63E2"/>
    <w:rsid w:val="3AF31810"/>
    <w:rsid w:val="3B1654FE"/>
    <w:rsid w:val="3B2A2D58"/>
    <w:rsid w:val="3B8406BA"/>
    <w:rsid w:val="3C157564"/>
    <w:rsid w:val="3CD967E3"/>
    <w:rsid w:val="3D033860"/>
    <w:rsid w:val="3D1C11CB"/>
    <w:rsid w:val="3D6C3AFB"/>
    <w:rsid w:val="3D915AF2"/>
    <w:rsid w:val="3DD12B04"/>
    <w:rsid w:val="3DFD3A5F"/>
    <w:rsid w:val="3E4E063F"/>
    <w:rsid w:val="3E5A1BA6"/>
    <w:rsid w:val="3E7346C6"/>
    <w:rsid w:val="3E8409D1"/>
    <w:rsid w:val="3E971969"/>
    <w:rsid w:val="3EB734C6"/>
    <w:rsid w:val="3EB92D70"/>
    <w:rsid w:val="3EE6343A"/>
    <w:rsid w:val="3F6F342F"/>
    <w:rsid w:val="3F8B5C08"/>
    <w:rsid w:val="40284967"/>
    <w:rsid w:val="403A3A3D"/>
    <w:rsid w:val="404722ED"/>
    <w:rsid w:val="406E0A06"/>
    <w:rsid w:val="407F58F4"/>
    <w:rsid w:val="40842F0A"/>
    <w:rsid w:val="40963817"/>
    <w:rsid w:val="40A43A44"/>
    <w:rsid w:val="40C96B6F"/>
    <w:rsid w:val="40FC5196"/>
    <w:rsid w:val="410A1661"/>
    <w:rsid w:val="412D35A2"/>
    <w:rsid w:val="413D1A37"/>
    <w:rsid w:val="41B33AA7"/>
    <w:rsid w:val="42622515"/>
    <w:rsid w:val="42B011E1"/>
    <w:rsid w:val="43043A6B"/>
    <w:rsid w:val="433330F0"/>
    <w:rsid w:val="43543068"/>
    <w:rsid w:val="435C03FF"/>
    <w:rsid w:val="44095C00"/>
    <w:rsid w:val="44953938"/>
    <w:rsid w:val="45396B58"/>
    <w:rsid w:val="453E0AA9"/>
    <w:rsid w:val="45C52038"/>
    <w:rsid w:val="45EF52CA"/>
    <w:rsid w:val="46470C62"/>
    <w:rsid w:val="465E008D"/>
    <w:rsid w:val="46641385"/>
    <w:rsid w:val="4669507C"/>
    <w:rsid w:val="469C7BA1"/>
    <w:rsid w:val="46ED1809"/>
    <w:rsid w:val="471B43FC"/>
    <w:rsid w:val="472109DA"/>
    <w:rsid w:val="477E401C"/>
    <w:rsid w:val="47BE4F54"/>
    <w:rsid w:val="47D277C1"/>
    <w:rsid w:val="47E758BF"/>
    <w:rsid w:val="47F84B3F"/>
    <w:rsid w:val="480F57AF"/>
    <w:rsid w:val="48697AB7"/>
    <w:rsid w:val="49C76E6D"/>
    <w:rsid w:val="4A4756D4"/>
    <w:rsid w:val="4A506FD4"/>
    <w:rsid w:val="4A6B1BCF"/>
    <w:rsid w:val="4A772E29"/>
    <w:rsid w:val="4A804A80"/>
    <w:rsid w:val="4AE90539"/>
    <w:rsid w:val="4B385596"/>
    <w:rsid w:val="4B6723EE"/>
    <w:rsid w:val="4B7F0E9E"/>
    <w:rsid w:val="4B8E165E"/>
    <w:rsid w:val="4BA83F51"/>
    <w:rsid w:val="4BAB1187"/>
    <w:rsid w:val="4C014FCB"/>
    <w:rsid w:val="4C0373D9"/>
    <w:rsid w:val="4C20442F"/>
    <w:rsid w:val="4C435E69"/>
    <w:rsid w:val="4C9D5EA3"/>
    <w:rsid w:val="4CC21042"/>
    <w:rsid w:val="4CD34CD7"/>
    <w:rsid w:val="4CD83D2D"/>
    <w:rsid w:val="4CFF4044"/>
    <w:rsid w:val="4DA93FB0"/>
    <w:rsid w:val="4DE8474D"/>
    <w:rsid w:val="4E772300"/>
    <w:rsid w:val="4F560168"/>
    <w:rsid w:val="4F563CC4"/>
    <w:rsid w:val="4F950C90"/>
    <w:rsid w:val="4FD25A40"/>
    <w:rsid w:val="503A5393"/>
    <w:rsid w:val="50666188"/>
    <w:rsid w:val="506765BF"/>
    <w:rsid w:val="50EE4AFC"/>
    <w:rsid w:val="51042DF4"/>
    <w:rsid w:val="51B80C66"/>
    <w:rsid w:val="51EC377C"/>
    <w:rsid w:val="51ED4637"/>
    <w:rsid w:val="51F0092F"/>
    <w:rsid w:val="52337BDD"/>
    <w:rsid w:val="527F7A65"/>
    <w:rsid w:val="52E361B6"/>
    <w:rsid w:val="52F641FD"/>
    <w:rsid w:val="538D0E34"/>
    <w:rsid w:val="53A63C46"/>
    <w:rsid w:val="53D4712F"/>
    <w:rsid w:val="541941EE"/>
    <w:rsid w:val="54A51975"/>
    <w:rsid w:val="54D12B53"/>
    <w:rsid w:val="551B39E5"/>
    <w:rsid w:val="558E2409"/>
    <w:rsid w:val="55DA65F4"/>
    <w:rsid w:val="56343E9A"/>
    <w:rsid w:val="56A874FB"/>
    <w:rsid w:val="56B91708"/>
    <w:rsid w:val="56C731E6"/>
    <w:rsid w:val="56D35134"/>
    <w:rsid w:val="573615CD"/>
    <w:rsid w:val="578441F7"/>
    <w:rsid w:val="57892A6D"/>
    <w:rsid w:val="579655A5"/>
    <w:rsid w:val="57A852D8"/>
    <w:rsid w:val="57CA16F3"/>
    <w:rsid w:val="57CC4F2E"/>
    <w:rsid w:val="57DB56AE"/>
    <w:rsid w:val="57F624E8"/>
    <w:rsid w:val="582726A1"/>
    <w:rsid w:val="585A65D3"/>
    <w:rsid w:val="585F008D"/>
    <w:rsid w:val="59055EA1"/>
    <w:rsid w:val="590B3C23"/>
    <w:rsid w:val="59205A6E"/>
    <w:rsid w:val="59981AA8"/>
    <w:rsid w:val="5A3F1F24"/>
    <w:rsid w:val="5A556CD1"/>
    <w:rsid w:val="5AE232B7"/>
    <w:rsid w:val="5B512B2C"/>
    <w:rsid w:val="5BA80B36"/>
    <w:rsid w:val="5C1D44E7"/>
    <w:rsid w:val="5C3A0466"/>
    <w:rsid w:val="5CE13766"/>
    <w:rsid w:val="5D465377"/>
    <w:rsid w:val="5DA0717E"/>
    <w:rsid w:val="5DE96C20"/>
    <w:rsid w:val="5E4F7943"/>
    <w:rsid w:val="5E697B64"/>
    <w:rsid w:val="5E742832"/>
    <w:rsid w:val="5E9D36BD"/>
    <w:rsid w:val="5F553F98"/>
    <w:rsid w:val="60A056BD"/>
    <w:rsid w:val="617160D3"/>
    <w:rsid w:val="61730648"/>
    <w:rsid w:val="6196551D"/>
    <w:rsid w:val="62233ED9"/>
    <w:rsid w:val="62371A21"/>
    <w:rsid w:val="624D6A2A"/>
    <w:rsid w:val="62BA6CA6"/>
    <w:rsid w:val="62FF18B4"/>
    <w:rsid w:val="631D70E0"/>
    <w:rsid w:val="6330515E"/>
    <w:rsid w:val="639A5E58"/>
    <w:rsid w:val="64017FB9"/>
    <w:rsid w:val="6410048D"/>
    <w:rsid w:val="64915A72"/>
    <w:rsid w:val="649B069F"/>
    <w:rsid w:val="64AA098E"/>
    <w:rsid w:val="65E816C2"/>
    <w:rsid w:val="65F521F8"/>
    <w:rsid w:val="665F379E"/>
    <w:rsid w:val="668108E0"/>
    <w:rsid w:val="669C24AC"/>
    <w:rsid w:val="67090C80"/>
    <w:rsid w:val="68394457"/>
    <w:rsid w:val="68466B73"/>
    <w:rsid w:val="68686AEA"/>
    <w:rsid w:val="6949401F"/>
    <w:rsid w:val="69587641"/>
    <w:rsid w:val="699E7743"/>
    <w:rsid w:val="69B31AF3"/>
    <w:rsid w:val="6A0B64F1"/>
    <w:rsid w:val="6A22716C"/>
    <w:rsid w:val="6AA66D0E"/>
    <w:rsid w:val="6AC65D4A"/>
    <w:rsid w:val="6B264A3A"/>
    <w:rsid w:val="6BBC4E93"/>
    <w:rsid w:val="6BE0108D"/>
    <w:rsid w:val="6C42223F"/>
    <w:rsid w:val="6C5975D6"/>
    <w:rsid w:val="6CBD4F2A"/>
    <w:rsid w:val="6CC4275D"/>
    <w:rsid w:val="6CDE3082"/>
    <w:rsid w:val="6D57537F"/>
    <w:rsid w:val="6D6D6950"/>
    <w:rsid w:val="6D7970A3"/>
    <w:rsid w:val="6E0D44E3"/>
    <w:rsid w:val="6E2E60E0"/>
    <w:rsid w:val="6E6079FA"/>
    <w:rsid w:val="6E7B6E4B"/>
    <w:rsid w:val="6EA61D4E"/>
    <w:rsid w:val="6ED8429D"/>
    <w:rsid w:val="6F1057E5"/>
    <w:rsid w:val="6F2E3EBD"/>
    <w:rsid w:val="6FF375E1"/>
    <w:rsid w:val="70182BA3"/>
    <w:rsid w:val="70D50A94"/>
    <w:rsid w:val="710C7BE6"/>
    <w:rsid w:val="7113780F"/>
    <w:rsid w:val="715E1726"/>
    <w:rsid w:val="72444124"/>
    <w:rsid w:val="729C65B0"/>
    <w:rsid w:val="72B312A9"/>
    <w:rsid w:val="72C62D8B"/>
    <w:rsid w:val="72F21DD2"/>
    <w:rsid w:val="730E028E"/>
    <w:rsid w:val="732B2E1C"/>
    <w:rsid w:val="737547B1"/>
    <w:rsid w:val="73E80A44"/>
    <w:rsid w:val="73F17840"/>
    <w:rsid w:val="74D36F1D"/>
    <w:rsid w:val="74DD260E"/>
    <w:rsid w:val="74EB4D2A"/>
    <w:rsid w:val="74EC7840"/>
    <w:rsid w:val="759A04FF"/>
    <w:rsid w:val="75D03F20"/>
    <w:rsid w:val="75EA6029"/>
    <w:rsid w:val="76796ACA"/>
    <w:rsid w:val="76EF03D6"/>
    <w:rsid w:val="771A36A5"/>
    <w:rsid w:val="78857244"/>
    <w:rsid w:val="789008F3"/>
    <w:rsid w:val="78BD26D1"/>
    <w:rsid w:val="792720A9"/>
    <w:rsid w:val="793F73F3"/>
    <w:rsid w:val="7A2C5541"/>
    <w:rsid w:val="7A527ED6"/>
    <w:rsid w:val="7A8C2B0C"/>
    <w:rsid w:val="7BC938EC"/>
    <w:rsid w:val="7C501917"/>
    <w:rsid w:val="7C507B69"/>
    <w:rsid w:val="7D5D1ED1"/>
    <w:rsid w:val="7D6054A7"/>
    <w:rsid w:val="7D6E335D"/>
    <w:rsid w:val="7D8950E1"/>
    <w:rsid w:val="7D97102F"/>
    <w:rsid w:val="7DFF1847"/>
    <w:rsid w:val="7E5B6186"/>
    <w:rsid w:val="7E623564"/>
    <w:rsid w:val="7E987F4A"/>
    <w:rsid w:val="7EB76335"/>
    <w:rsid w:val="7ED1785B"/>
    <w:rsid w:val="7FDB5498"/>
    <w:rsid w:val="7FFAE24D"/>
    <w:rsid w:val="9C7D87AA"/>
    <w:rsid w:val="D28DE5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eastAsia="宋体"/>
      <w:kern w:val="0"/>
    </w:rPr>
  </w:style>
  <w:style w:type="paragraph" w:styleId="3">
    <w:name w:val="footer"/>
    <w:basedOn w:val="1"/>
    <w:unhideWhenUsed/>
    <w:qFormat/>
    <w:uiPriority w:val="99"/>
    <w:pPr>
      <w:tabs>
        <w:tab w:val="center" w:pos="4153"/>
        <w:tab w:val="right" w:pos="8306"/>
      </w:tabs>
      <w:snapToGrid w:val="0"/>
      <w:jc w:val="left"/>
    </w:pPr>
    <w:rPr>
      <w:kern w:val="0"/>
      <w:sz w:val="18"/>
      <w:szCs w:val="18"/>
      <w:lang w:val="zh-CN"/>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0"/>
  </w:style>
  <w:style w:type="character" w:styleId="8">
    <w:name w:val="Hyperlink"/>
    <w:basedOn w:val="6"/>
    <w:unhideWhenUsed/>
    <w:qFormat/>
    <w:uiPriority w:val="99"/>
    <w:rPr>
      <w:color w:val="0000FF"/>
      <w:u w:val="single"/>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列表段落1"/>
    <w:basedOn w:val="1"/>
    <w:qFormat/>
    <w:uiPriority w:val="34"/>
    <w:pPr>
      <w:ind w:firstLine="420" w:firstLineChars="200"/>
    </w:pPr>
  </w:style>
  <w:style w:type="paragraph" w:customStyle="1" w:styleId="11">
    <w:name w:val="Other|1"/>
    <w:basedOn w:val="1"/>
    <w:qFormat/>
    <w:uiPriority w:val="99"/>
    <w:pPr>
      <w:jc w:val="left"/>
    </w:pPr>
    <w:rPr>
      <w:rFonts w:ascii="宋体" w:hAnsi="宋体" w:cs="宋体"/>
      <w:sz w:val="19"/>
      <w:szCs w:val="19"/>
      <w:lang w:val="zh-TW" w:eastAsia="zh-TW" w:bidi="zh-TW"/>
    </w:rPr>
  </w:style>
  <w:style w:type="paragraph" w:customStyle="1" w:styleId="12">
    <w:name w:val="风险隐患表格标准格式"/>
    <w:basedOn w:val="1"/>
    <w:qFormat/>
    <w:uiPriority w:val="0"/>
    <w:pPr>
      <w:snapToGrid w:val="0"/>
      <w:ind w:left="84" w:leftChars="40" w:right="84" w:rightChars="40"/>
      <w:jc w:val="left"/>
    </w:pPr>
    <w:rPr>
      <w:rFonts w:ascii="宋体" w:hAnsi="宋体"/>
      <w:color w:val="000000"/>
      <w:sz w:val="18"/>
      <w:szCs w:val="20"/>
      <w:lang w:bidi="mn-Mong-CN"/>
    </w:rPr>
  </w:style>
  <w:style w:type="table" w:customStyle="1" w:styleId="13">
    <w:name w:val="Table Normal2"/>
    <w:basedOn w:val="5"/>
    <w:qFormat/>
    <w:uiPriority w:val="0"/>
    <w:rPr>
      <w:rFonts w:eastAsia="Times New Roman"/>
    </w:rPr>
    <w:tblPr>
      <w:tblCellMar>
        <w:left w:w="0" w:type="dxa"/>
        <w:right w:w="0" w:type="dxa"/>
      </w:tblCellMar>
    </w:tblPr>
  </w:style>
  <w:style w:type="paragraph" w:customStyle="1" w:styleId="14">
    <w:name w:val="表内文字居中"/>
    <w:basedOn w:val="1"/>
    <w:qFormat/>
    <w:uiPriority w:val="0"/>
    <w:pPr>
      <w:snapToGrid w:val="0"/>
      <w:spacing w:line="280" w:lineRule="exact"/>
      <w:jc w:val="center"/>
    </w:pPr>
    <w:rPr>
      <w:rFonts w:ascii="Times New Roman" w:hAnsi="Times New Roman" w:eastAsia="方正书宋简体"/>
      <w:spacing w:val="4"/>
      <w:sz w:val="18"/>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9675</Words>
  <Characters>11075</Characters>
  <Lines>0</Lines>
  <Paragraphs>0</Paragraphs>
  <TotalTime>6</TotalTime>
  <ScaleCrop>false</ScaleCrop>
  <LinksUpToDate>false</LinksUpToDate>
  <CharactersWithSpaces>11126</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2023-04-30T03:50:00Z</dcterms:created>
  <dc:creator>admin</dc:creator>
  <cp:lastModifiedBy>tyj</cp:lastModifiedBy>
  <dcterms:modified xsi:type="dcterms:W3CDTF">2026-05-13T11:31:21Z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27F24C61D56A4861BAA7E4172403BE95_13</vt:lpwstr>
  </property>
  <property fmtid="{D5CDD505-2E9C-101B-9397-08002B2CF9AE}" pid="4" name="KSOTemplateDocerSaveRecord">
    <vt:lpwstr>eyJoZGlkIjoiZTNiNTA2MzkxMDczZjY5OTYzNmM0NDNlNzAyNjM0OGEiLCJ1c2VySWQiOiIxMjA0OTMyMzAzIn0=</vt:lpwstr>
  </property>
</Properties>
</file>