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B47DA">
      <w:pPr>
        <w:bidi w:val="0"/>
        <w:rPr>
          <w:rFonts w:hint="eastAsia" w:ascii="方正黑体_GBK" w:hAnsi="方正黑体_GBK" w:eastAsia="方正黑体_GBK" w:cs="方正黑体_GBK"/>
          <w:sz w:val="32"/>
          <w:szCs w:val="32"/>
          <w:lang w:val="en-US" w:eastAsia="zh-CN"/>
        </w:rPr>
      </w:pPr>
      <w:bookmarkStart w:id="0" w:name="_Toc14725"/>
      <w:bookmarkStart w:id="1" w:name="_Toc12022"/>
      <w:bookmarkStart w:id="2" w:name="_Toc124704061"/>
      <w:bookmarkStart w:id="3" w:name="_Toc132387255"/>
      <w:r>
        <w:rPr>
          <w:rFonts w:hint="eastAsia" w:ascii="方正黑体_GBK" w:hAnsi="方正黑体_GBK" w:eastAsia="方正黑体_GBK" w:cs="方正黑体_GBK"/>
          <w:sz w:val="32"/>
          <w:szCs w:val="32"/>
          <w:lang w:val="en-US" w:eastAsia="zh-CN"/>
        </w:rPr>
        <w:t>附件2</w:t>
      </w:r>
    </w:p>
    <w:p w14:paraId="14E6220A">
      <w:pPr>
        <w:spacing w:line="540" w:lineRule="exact"/>
        <w:jc w:val="center"/>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bidi="ar"/>
        </w:rPr>
        <w:t>10.2</w:t>
      </w:r>
      <w:r>
        <w:rPr>
          <w:rFonts w:hint="eastAsia" w:ascii="方正小标宋简体" w:hAnsi="方正小标宋简体" w:eastAsia="方正小标宋简体" w:cs="方正小标宋简体"/>
          <w:color w:val="000000"/>
          <w:sz w:val="44"/>
          <w:szCs w:val="44"/>
          <w:lang w:bidi="ar"/>
        </w:rPr>
        <w:t>北京市</w:t>
      </w:r>
      <w:r>
        <w:rPr>
          <w:rFonts w:hint="eastAsia" w:ascii="方正小标宋简体" w:hAnsi="方正小标宋简体" w:eastAsia="方正小标宋简体" w:cs="方正小标宋简体"/>
          <w:color w:val="000000"/>
          <w:sz w:val="44"/>
          <w:szCs w:val="44"/>
          <w:lang w:val="en-US" w:eastAsia="zh-CN" w:bidi="ar"/>
        </w:rPr>
        <w:t>滑雪场所</w:t>
      </w:r>
      <w:bookmarkEnd w:id="0"/>
      <w:bookmarkEnd w:id="1"/>
      <w:bookmarkEnd w:id="2"/>
      <w:bookmarkEnd w:id="3"/>
      <w:r>
        <w:rPr>
          <w:rFonts w:hint="eastAsia" w:ascii="方正小标宋简体" w:hAnsi="方正小标宋简体" w:eastAsia="方正小标宋简体" w:cs="方正小标宋简体"/>
          <w:color w:val="000000"/>
          <w:sz w:val="44"/>
          <w:szCs w:val="44"/>
          <w:lang w:val="en-US" w:eastAsia="zh-CN" w:bidi="ar"/>
        </w:rPr>
        <w:t>隐患自查清单</w:t>
      </w:r>
      <w:r>
        <w:rPr>
          <w:rFonts w:hint="eastAsia" w:ascii="方正小标宋简体" w:hAnsi="方正小标宋简体" w:eastAsia="方正小标宋简体" w:cs="方正小标宋简体"/>
          <w:color w:val="000000"/>
          <w:sz w:val="44"/>
          <w:szCs w:val="44"/>
          <w:lang w:bidi="ar"/>
        </w:rPr>
        <w:t>（202</w:t>
      </w:r>
      <w:r>
        <w:rPr>
          <w:rFonts w:hint="eastAsia" w:ascii="方正小标宋简体" w:hAnsi="方正小标宋简体" w:eastAsia="方正小标宋简体" w:cs="方正小标宋简体"/>
          <w:color w:val="000000"/>
          <w:sz w:val="44"/>
          <w:szCs w:val="44"/>
          <w:lang w:val="en-US" w:eastAsia="zh-CN" w:bidi="ar"/>
        </w:rPr>
        <w:t>6</w:t>
      </w:r>
      <w:r>
        <w:rPr>
          <w:rFonts w:hint="eastAsia" w:ascii="方正小标宋简体" w:hAnsi="方正小标宋简体" w:eastAsia="方正小标宋简体" w:cs="方正小标宋简体"/>
          <w:color w:val="000000"/>
          <w:sz w:val="44"/>
          <w:szCs w:val="44"/>
          <w:lang w:bidi="ar"/>
        </w:rPr>
        <w:t>年度</w:t>
      </w:r>
      <w:r>
        <w:rPr>
          <w:rFonts w:hint="eastAsia" w:ascii="方正小标宋简体" w:hAnsi="方正小标宋简体" w:eastAsia="方正小标宋简体" w:cs="方正小标宋简体"/>
          <w:color w:val="000000"/>
          <w:sz w:val="44"/>
          <w:szCs w:val="44"/>
          <w:lang w:val="en-US" w:eastAsia="zh-CN" w:bidi="ar"/>
        </w:rPr>
        <w:t>版</w:t>
      </w:r>
      <w:r>
        <w:rPr>
          <w:rFonts w:hint="eastAsia" w:ascii="方正小标宋简体" w:hAnsi="方正小标宋简体" w:eastAsia="方正小标宋简体" w:cs="方正小标宋简体"/>
          <w:color w:val="000000"/>
          <w:sz w:val="44"/>
          <w:szCs w:val="44"/>
          <w:lang w:bidi="ar"/>
        </w:rPr>
        <w:t>）</w:t>
      </w:r>
    </w:p>
    <w:tbl>
      <w:tblPr>
        <w:tblStyle w:val="7"/>
        <w:tblW w:w="536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5"/>
        <w:gridCol w:w="771"/>
        <w:gridCol w:w="918"/>
        <w:gridCol w:w="2658"/>
        <w:gridCol w:w="3709"/>
        <w:gridCol w:w="4480"/>
        <w:gridCol w:w="814"/>
      </w:tblGrid>
      <w:tr w14:paraId="2E23AD50">
        <w:trPr>
          <w:tblHeader/>
          <w:jc w:val="center"/>
        </w:trPr>
        <w:tc>
          <w:tcPr>
            <w:tcW w:w="1642" w:type="dxa"/>
            <w:vMerge w:val="restart"/>
            <w:tcBorders>
              <w:top w:val="single" w:color="auto" w:sz="12" w:space="0"/>
              <w:left w:val="single" w:color="auto" w:sz="12" w:space="0"/>
              <w:bottom w:val="single" w:color="auto" w:sz="6" w:space="0"/>
              <w:right w:val="single" w:color="auto" w:sz="6" w:space="0"/>
            </w:tcBorders>
            <w:shd w:val="clear" w:color="auto" w:fill="B8CCE4"/>
            <w:noWrap w:val="0"/>
            <w:tcMar>
              <w:left w:w="0" w:type="dxa"/>
              <w:right w:w="0" w:type="dxa"/>
            </w:tcMar>
            <w:vAlign w:val="center"/>
          </w:tcPr>
          <w:p w14:paraId="3FDD0EF0">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bidi="ar"/>
              </w:rPr>
              <w:t>编号</w:t>
            </w:r>
          </w:p>
        </w:tc>
        <w:tc>
          <w:tcPr>
            <w:tcW w:w="1685" w:type="dxa"/>
            <w:gridSpan w:val="2"/>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742EC10B">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bidi="ar"/>
              </w:rPr>
              <w:t>隐患分类</w:t>
            </w:r>
          </w:p>
        </w:tc>
        <w:tc>
          <w:tcPr>
            <w:tcW w:w="2653" w:type="dxa"/>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3C6961E6">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val="en-US" w:eastAsia="zh-CN" w:bidi="ar"/>
              </w:rPr>
              <w:t>自查</w:t>
            </w:r>
            <w:r>
              <w:rPr>
                <w:rFonts w:hint="eastAsia" w:ascii="仿宋_GB2312" w:hAnsi="仿宋_GB2312" w:eastAsia="仿宋_GB2312" w:cs="仿宋_GB2312"/>
                <w:b/>
                <w:bCs/>
                <w:color w:val="000000"/>
                <w:spacing w:val="0"/>
                <w:sz w:val="20"/>
                <w:szCs w:val="20"/>
                <w:highlight w:val="none"/>
                <w:lang w:bidi="ar"/>
              </w:rPr>
              <w:t>内容</w:t>
            </w:r>
          </w:p>
        </w:tc>
        <w:tc>
          <w:tcPr>
            <w:tcW w:w="3701" w:type="dxa"/>
            <w:vMerge w:val="restart"/>
            <w:tcBorders>
              <w:top w:val="single" w:color="auto" w:sz="12" w:space="0"/>
              <w:left w:val="single" w:color="auto" w:sz="6" w:space="0"/>
              <w:right w:val="single" w:color="auto" w:sz="6" w:space="0"/>
            </w:tcBorders>
            <w:shd w:val="clear" w:color="auto" w:fill="B8CCE4"/>
            <w:noWrap w:val="0"/>
            <w:tcMar>
              <w:left w:w="0" w:type="dxa"/>
              <w:right w:w="0" w:type="dxa"/>
            </w:tcMar>
            <w:vAlign w:val="center"/>
          </w:tcPr>
          <w:p w14:paraId="145D0B32">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lang w:val="en-US" w:eastAsia="zh-CN" w:bidi="ar"/>
              </w:rPr>
            </w:pPr>
            <w:r>
              <w:rPr>
                <w:rFonts w:hint="eastAsia" w:ascii="仿宋_GB2312" w:hAnsi="仿宋_GB2312" w:eastAsia="仿宋_GB2312" w:cs="仿宋_GB2312"/>
                <w:b/>
                <w:bCs/>
                <w:color w:val="000000"/>
                <w:spacing w:val="0"/>
                <w:sz w:val="20"/>
                <w:szCs w:val="20"/>
                <w:highlight w:val="none"/>
                <w:lang w:val="en-US" w:eastAsia="zh-CN" w:bidi="ar"/>
              </w:rPr>
              <w:t>自查标准</w:t>
            </w:r>
          </w:p>
        </w:tc>
        <w:tc>
          <w:tcPr>
            <w:tcW w:w="4471" w:type="dxa"/>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7CE41646">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val="en-US" w:eastAsia="zh-CN" w:bidi="ar"/>
              </w:rPr>
              <w:t>设置</w:t>
            </w:r>
            <w:r>
              <w:rPr>
                <w:rFonts w:hint="eastAsia" w:ascii="仿宋_GB2312" w:hAnsi="仿宋_GB2312" w:eastAsia="仿宋_GB2312" w:cs="仿宋_GB2312"/>
                <w:b/>
                <w:bCs/>
                <w:color w:val="000000"/>
                <w:spacing w:val="0"/>
                <w:sz w:val="20"/>
                <w:szCs w:val="20"/>
                <w:highlight w:val="none"/>
                <w:lang w:bidi="ar"/>
              </w:rPr>
              <w:t>依据</w:t>
            </w:r>
          </w:p>
        </w:tc>
        <w:tc>
          <w:tcPr>
            <w:tcW w:w="812" w:type="dxa"/>
            <w:vMerge w:val="restart"/>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14:paraId="1F553851">
            <w:pPr>
              <w:keepNext w:val="0"/>
              <w:keepLines w:val="0"/>
              <w:pageBreakBefore w:val="0"/>
              <w:kinsoku/>
              <w:wordWrap/>
              <w:overflowPunct/>
              <w:topLinePunct w:val="0"/>
              <w:autoSpaceDE/>
              <w:autoSpaceDN/>
              <w:bidi w:val="0"/>
              <w:snapToGrid w:val="0"/>
              <w:spacing w:line="280" w:lineRule="exact"/>
              <w:ind w:left="0" w:leftChars="0" w:right="0" w:rightChars="0"/>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bidi="ar"/>
              </w:rPr>
              <w:t>备注</w:t>
            </w:r>
          </w:p>
        </w:tc>
      </w:tr>
      <w:tr w14:paraId="754ECD99">
        <w:trPr>
          <w:tblHeader/>
          <w:jc w:val="center"/>
        </w:trPr>
        <w:tc>
          <w:tcPr>
            <w:tcW w:w="1642" w:type="dxa"/>
            <w:vMerge w:val="continue"/>
            <w:tcBorders>
              <w:top w:val="single" w:color="auto" w:sz="12" w:space="0"/>
              <w:left w:val="single" w:color="auto" w:sz="12" w:space="0"/>
              <w:bottom w:val="single" w:color="auto" w:sz="6" w:space="0"/>
              <w:right w:val="single" w:color="auto" w:sz="6" w:space="0"/>
            </w:tcBorders>
            <w:shd w:val="clear" w:color="auto" w:fill="auto"/>
            <w:noWrap w:val="0"/>
            <w:tcMar>
              <w:left w:w="0" w:type="dxa"/>
              <w:right w:w="0" w:type="dxa"/>
            </w:tcMar>
            <w:vAlign w:val="center"/>
          </w:tcPr>
          <w:p w14:paraId="562DF664">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769" w:type="dxa"/>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1EFE58D9">
            <w:pPr>
              <w:pageBreakBefore w:val="0"/>
              <w:widowControl/>
              <w:kinsoku/>
              <w:wordWrap/>
              <w:overflowPunct/>
              <w:topLinePunct w:val="0"/>
              <w:autoSpaceDE/>
              <w:autoSpaceDN/>
              <w:bidi w:val="0"/>
              <w:adjustRightInd w:val="0"/>
              <w:snapToGrid w:val="0"/>
              <w:spacing w:after="0" w:line="240" w:lineRule="auto"/>
              <w:ind w:left="0" w:leftChars="0" w:right="0" w:rightChars="0"/>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“一类”隐患</w:t>
            </w:r>
          </w:p>
        </w:tc>
        <w:tc>
          <w:tcPr>
            <w:tcW w:w="916" w:type="dxa"/>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7A1E526A">
            <w:pPr>
              <w:pageBreakBefore w:val="0"/>
              <w:widowControl/>
              <w:kinsoku/>
              <w:wordWrap/>
              <w:overflowPunct/>
              <w:topLinePunct w:val="0"/>
              <w:autoSpaceDE/>
              <w:autoSpaceDN/>
              <w:bidi w:val="0"/>
              <w:adjustRightInd w:val="0"/>
              <w:snapToGrid w:val="0"/>
              <w:spacing w:after="0" w:line="240" w:lineRule="auto"/>
              <w:ind w:left="0" w:leftChars="0" w:right="0" w:rightChars="0"/>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“二类”隐患</w:t>
            </w:r>
          </w:p>
        </w:tc>
        <w:tc>
          <w:tcPr>
            <w:tcW w:w="2653" w:type="dxa"/>
            <w:vMerge w:val="continue"/>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14:paraId="24B37275">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3701"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0B3C135F">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4471" w:type="dxa"/>
            <w:vMerge w:val="continue"/>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14:paraId="08F37FCE">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812" w:type="dxa"/>
            <w:vMerge w:val="continue"/>
            <w:tcBorders>
              <w:top w:val="single" w:color="auto" w:sz="12" w:space="0"/>
              <w:left w:val="single" w:color="auto" w:sz="6" w:space="0"/>
              <w:bottom w:val="single" w:color="auto" w:sz="6" w:space="0"/>
              <w:right w:val="single" w:color="auto" w:sz="12" w:space="0"/>
            </w:tcBorders>
            <w:noWrap w:val="0"/>
            <w:tcMar>
              <w:left w:w="0" w:type="dxa"/>
              <w:right w:w="0" w:type="dxa"/>
            </w:tcMar>
            <w:vAlign w:val="center"/>
          </w:tcPr>
          <w:p w14:paraId="22E472F1">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04DC9C3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A521D9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val="en-US" w:eastAsia="zh-CN"/>
              </w:rPr>
              <w:t>02.1.01.</w:t>
            </w:r>
            <w:r>
              <w:rPr>
                <w:rFonts w:hint="eastAsia" w:ascii="仿宋_GB2312" w:hAnsi="仿宋_GB2312" w:eastAsia="仿宋_GB2312" w:cs="仿宋_GB2312"/>
                <w:spacing w:val="-1"/>
                <w:sz w:val="20"/>
                <w:szCs w:val="20"/>
                <w:highlight w:val="none"/>
              </w:rPr>
              <w:t>001</w:t>
            </w:r>
          </w:p>
        </w:tc>
        <w:tc>
          <w:tcPr>
            <w:tcW w:w="769" w:type="dxa"/>
            <w:vMerge w:val="restart"/>
            <w:tcBorders>
              <w:top w:val="single" w:color="auto" w:sz="6" w:space="0"/>
              <w:left w:val="single" w:color="auto" w:sz="6" w:space="0"/>
              <w:right w:val="single" w:color="auto" w:sz="6" w:space="0"/>
            </w:tcBorders>
            <w:noWrap w:val="0"/>
            <w:tcMar>
              <w:left w:w="0" w:type="dxa"/>
              <w:right w:w="0" w:type="dxa"/>
            </w:tcMar>
            <w:vAlign w:val="center"/>
          </w:tcPr>
          <w:p w14:paraId="77964F2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基础资料类</w:t>
            </w: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87B3494">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资质证照类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01F697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未取得有效的《经营高危险性体育项目（</w:t>
            </w:r>
            <w:r>
              <w:rPr>
                <w:rFonts w:hint="eastAsia" w:ascii="仿宋_GB2312" w:hAnsi="仿宋_GB2312" w:eastAsia="仿宋_GB2312" w:cs="仿宋_GB2312"/>
                <w:spacing w:val="0"/>
                <w:sz w:val="20"/>
                <w:szCs w:val="20"/>
                <w:highlight w:val="none"/>
                <w:lang w:val="en-US" w:eastAsia="zh-CN"/>
              </w:rPr>
              <w:t>滑雪</w:t>
            </w:r>
            <w:r>
              <w:rPr>
                <w:rFonts w:hint="eastAsia" w:ascii="仿宋_GB2312" w:hAnsi="仿宋_GB2312" w:eastAsia="仿宋_GB2312" w:cs="仿宋_GB2312"/>
                <w:spacing w:val="0"/>
                <w:sz w:val="20"/>
                <w:szCs w:val="20"/>
                <w:highlight w:val="none"/>
              </w:rPr>
              <w:t>）经营许可证》或超范围经营。</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4A8FB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企业、个体工商户经营高危险性体育项目的，应当在</w:t>
            </w:r>
            <w:r>
              <w:rPr>
                <w:rFonts w:hint="eastAsia" w:ascii="仿宋_GB2312" w:hAnsi="仿宋_GB2312" w:eastAsia="仿宋_GB2312" w:cs="仿宋_GB2312"/>
                <w:spacing w:val="0"/>
                <w:sz w:val="20"/>
                <w:szCs w:val="20"/>
                <w:highlight w:val="none"/>
                <w:shd w:val="clear" w:color="auto" w:fill="auto"/>
                <w:lang w:eastAsia="zh-CN"/>
              </w:rPr>
              <w:t>市场监督管理部门</w:t>
            </w:r>
            <w:r>
              <w:rPr>
                <w:rFonts w:hint="eastAsia" w:ascii="仿宋_GB2312" w:hAnsi="仿宋_GB2312" w:eastAsia="仿宋_GB2312" w:cs="仿宋_GB2312"/>
                <w:spacing w:val="0"/>
                <w:sz w:val="20"/>
                <w:szCs w:val="20"/>
                <w:highlight w:val="none"/>
                <w:shd w:val="clear" w:color="auto" w:fill="auto"/>
              </w:rPr>
              <w:t>依法办理相关登记手续后，向县级以上地方人民政府体育主管部门申请行政许可</w:t>
            </w:r>
            <w:r>
              <w:rPr>
                <w:rFonts w:hint="eastAsia" w:ascii="仿宋_GB2312" w:hAnsi="仿宋_GB2312" w:eastAsia="仿宋_GB2312" w:cs="仿宋_GB2312"/>
                <w:spacing w:val="0"/>
                <w:sz w:val="20"/>
                <w:szCs w:val="20"/>
                <w:highlight w:val="none"/>
                <w:shd w:val="clear" w:color="auto" w:fill="auto"/>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81535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《经营高危险性体育项目许可管理办法》</w:t>
            </w:r>
            <w:r>
              <w:rPr>
                <w:rFonts w:hint="eastAsia" w:ascii="仿宋_GB2312" w:hAnsi="仿宋_GB2312" w:eastAsia="仿宋_GB2312" w:cs="仿宋_GB2312"/>
                <w:spacing w:val="0"/>
                <w:sz w:val="20"/>
                <w:szCs w:val="20"/>
                <w:highlight w:val="none"/>
                <w:lang w:val="en-US" w:eastAsia="zh-CN"/>
              </w:rPr>
              <w:t>第七条；</w:t>
            </w:r>
            <w:r>
              <w:rPr>
                <w:rFonts w:hint="eastAsia" w:ascii="仿宋_GB2312" w:hAnsi="仿宋_GB2312" w:eastAsia="仿宋_GB2312" w:cs="仿宋_GB2312"/>
                <w:spacing w:val="0"/>
                <w:sz w:val="20"/>
                <w:szCs w:val="20"/>
                <w:highlight w:val="none"/>
                <w:lang w:eastAsia="zh-CN"/>
              </w:rPr>
              <w:t>《体育行业安全生产重大事故隐患判定标准（2025版）》第四条第一款</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A0FB0B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p>
        </w:tc>
      </w:tr>
      <w:tr w14:paraId="3DE99C40">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AE9C9BF">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2</w:t>
            </w:r>
            <w:r>
              <w:rPr>
                <w:rFonts w:hint="eastAsia" w:ascii="仿宋_GB2312" w:hAnsi="仿宋_GB2312" w:eastAsia="仿宋_GB2312" w:cs="仿宋_GB2312"/>
                <w:spacing w:val="-1"/>
                <w:sz w:val="20"/>
                <w:szCs w:val="20"/>
                <w:highlight w:val="none"/>
              </w:rPr>
              <w:t>.002</w:t>
            </w:r>
          </w:p>
        </w:tc>
        <w:tc>
          <w:tcPr>
            <w:tcW w:w="769" w:type="dxa"/>
            <w:vMerge w:val="continue"/>
            <w:tcBorders>
              <w:left w:val="single" w:color="auto" w:sz="6" w:space="0"/>
              <w:right w:val="single" w:color="auto" w:sz="6" w:space="0"/>
            </w:tcBorders>
            <w:noWrap w:val="0"/>
            <w:tcMar>
              <w:left w:w="0" w:type="dxa"/>
              <w:right w:w="0" w:type="dxa"/>
            </w:tcMar>
            <w:vAlign w:val="center"/>
          </w:tcPr>
          <w:p w14:paraId="3517FF32">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A60C2BF">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机构及人员配备类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E64815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未设置安全生产管理机构或配备安全生产管理人员。</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283A1C">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（一）从业人员总数超过300人的，应当设置安全生产管理机构，按照不少于从业人员总数0.5%的比例配备专职安全生产管理人员，且最低不得少于3人；</w:t>
            </w:r>
          </w:p>
          <w:p w14:paraId="783F2BE4">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（二）从业人员总数超过100人且在300人以下的，应当配备不少于2人的专职安全生产管理人员；</w:t>
            </w:r>
          </w:p>
          <w:p w14:paraId="4F550A79">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0"/>
                <w:sz w:val="20"/>
                <w:szCs w:val="20"/>
                <w:highlight w:val="none"/>
                <w:shd w:val="clear" w:color="auto" w:fill="auto"/>
              </w:rPr>
              <w:t>（三）从业人员总数在100人以下的，应当配备专职或者兼职安全生产管理人员，或者委托依法设立的安全生产技术、管理服务机构提供安全生产管理服务。</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51BA44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w:t>
            </w:r>
            <w:r>
              <w:rPr>
                <w:rFonts w:hint="eastAsia" w:ascii="仿宋_GB2312" w:hAnsi="仿宋_GB2312" w:eastAsia="仿宋_GB2312" w:cs="仿宋_GB2312"/>
                <w:spacing w:val="0"/>
                <w:sz w:val="20"/>
                <w:szCs w:val="20"/>
                <w:highlight w:val="none"/>
                <w:lang w:val="en-US" w:eastAsia="zh-CN"/>
              </w:rPr>
              <w:t>第二十四条；</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二十条；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A02476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248D18E">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F33FB3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3</w:t>
            </w:r>
            <w:r>
              <w:rPr>
                <w:rFonts w:hint="eastAsia" w:ascii="仿宋_GB2312" w:hAnsi="仿宋_GB2312" w:eastAsia="仿宋_GB2312" w:cs="仿宋_GB2312"/>
                <w:spacing w:val="-1"/>
                <w:sz w:val="20"/>
                <w:szCs w:val="20"/>
                <w:highlight w:val="none"/>
              </w:rPr>
              <w:t>.003</w:t>
            </w:r>
          </w:p>
        </w:tc>
        <w:tc>
          <w:tcPr>
            <w:tcW w:w="769" w:type="dxa"/>
            <w:vMerge w:val="continue"/>
            <w:tcBorders>
              <w:left w:val="single" w:color="auto" w:sz="6" w:space="0"/>
              <w:right w:val="single" w:color="auto" w:sz="6" w:space="0"/>
            </w:tcBorders>
            <w:noWrap w:val="0"/>
            <w:tcMar>
              <w:left w:w="0" w:type="dxa"/>
              <w:right w:w="0" w:type="dxa"/>
            </w:tcMar>
            <w:vAlign w:val="center"/>
          </w:tcPr>
          <w:p w14:paraId="4A3C327B">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0E1EB90B">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责任制类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F09875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w:t>
            </w:r>
            <w:r>
              <w:rPr>
                <w:rFonts w:hint="eastAsia" w:ascii="仿宋_GB2312" w:hAnsi="仿宋_GB2312" w:eastAsia="仿宋_GB2312" w:cs="仿宋_GB2312"/>
                <w:spacing w:val="0"/>
                <w:sz w:val="20"/>
                <w:szCs w:val="20"/>
                <w:highlight w:val="none"/>
                <w:lang w:val="en-US" w:eastAsia="zh-CN"/>
              </w:rPr>
              <w:t>安全生产责任制</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6D9B2E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生产经营单位必须遵守安全生产法和其他有关安全生产的法律、法规，加强安全生产管理，建立健全全员安全生产责任制和安全生产规章制度。</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47B3A7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《中华人民共和国安全生产法》第四条、五条、二十一条；《北京市安全生产条例》第四条、十四条；《北京市生产经营单位安全生产主体责任规定》第三条、四条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8C6AD0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FA88EA2">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AD4990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1"/>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3</w:t>
            </w:r>
            <w:r>
              <w:rPr>
                <w:rFonts w:hint="eastAsia" w:ascii="仿宋_GB2312" w:hAnsi="仿宋_GB2312" w:eastAsia="仿宋_GB2312" w:cs="仿宋_GB2312"/>
                <w:spacing w:val="-1"/>
                <w:sz w:val="20"/>
                <w:szCs w:val="20"/>
                <w:highlight w:val="none"/>
              </w:rPr>
              <w:t>.00</w:t>
            </w:r>
            <w:r>
              <w:rPr>
                <w:rFonts w:hint="eastAsia" w:ascii="仿宋_GB2312" w:hAnsi="仿宋_GB2312" w:eastAsia="仿宋_GB2312" w:cs="仿宋_GB2312"/>
                <w:spacing w:val="-1"/>
                <w:sz w:val="20"/>
                <w:szCs w:val="20"/>
                <w:highlight w:val="none"/>
                <w:lang w:val="en-US" w:eastAsia="zh-CN"/>
              </w:rPr>
              <w:t>4</w:t>
            </w:r>
          </w:p>
        </w:tc>
        <w:tc>
          <w:tcPr>
            <w:tcW w:w="769" w:type="dxa"/>
            <w:vMerge w:val="continue"/>
            <w:tcBorders>
              <w:left w:val="single" w:color="auto" w:sz="6" w:space="0"/>
              <w:right w:val="single" w:color="auto" w:sz="6" w:space="0"/>
            </w:tcBorders>
            <w:noWrap w:val="0"/>
            <w:tcMar>
              <w:left w:w="0" w:type="dxa"/>
              <w:right w:w="0" w:type="dxa"/>
            </w:tcMar>
            <w:vAlign w:val="center"/>
          </w:tcPr>
          <w:p w14:paraId="6936088B">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7D0D48C7">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8B1200">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安全生产责任制内容不全、不符合实际</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FECF2EC">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生产经营单位的安全生产责任制应当明确主要负责人、其他负责人、各职能部门负责人、车间和班组负责人、其他从业人员等全体人员的安全生产责任范围和考核标准等内容。</w:t>
            </w:r>
          </w:p>
          <w:p w14:paraId="3133DBE3">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生产经营单位应当每年对安全生产责任制落实情况进行考核，考核结果作为安全生产奖励和惩罚的依据</w:t>
            </w:r>
            <w:r>
              <w:rPr>
                <w:rFonts w:hint="eastAsia" w:ascii="仿宋_GB2312" w:hAnsi="仿宋_GB2312" w:eastAsia="仿宋_GB2312" w:cs="仿宋_GB2312"/>
                <w:spacing w:val="0"/>
                <w:sz w:val="20"/>
                <w:szCs w:val="20"/>
                <w:highlight w:val="none"/>
                <w:shd w:val="clear" w:color="auto" w:fill="auto"/>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59F2B8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w:t>
            </w:r>
            <w:r>
              <w:rPr>
                <w:rFonts w:hint="eastAsia" w:ascii="仿宋_GB2312" w:hAnsi="仿宋_GB2312" w:eastAsia="仿宋_GB2312" w:cs="仿宋_GB2312"/>
                <w:spacing w:val="0"/>
                <w:sz w:val="20"/>
                <w:szCs w:val="20"/>
                <w:highlight w:val="none"/>
                <w:lang w:val="en-US" w:eastAsia="zh-CN"/>
              </w:rPr>
              <w:t>条、五条、</w:t>
            </w:r>
            <w:r>
              <w:rPr>
                <w:rFonts w:hint="eastAsia" w:ascii="仿宋_GB2312" w:hAnsi="仿宋_GB2312" w:eastAsia="仿宋_GB2312" w:cs="仿宋_GB2312"/>
                <w:spacing w:val="0"/>
                <w:sz w:val="20"/>
                <w:szCs w:val="20"/>
                <w:highlight w:val="none"/>
              </w:rPr>
              <w:t>二十</w:t>
            </w:r>
            <w:r>
              <w:rPr>
                <w:rFonts w:hint="eastAsia" w:ascii="仿宋_GB2312" w:hAnsi="仿宋_GB2312" w:eastAsia="仿宋_GB2312" w:cs="仿宋_GB2312"/>
                <w:spacing w:val="0"/>
                <w:sz w:val="20"/>
                <w:szCs w:val="20"/>
                <w:highlight w:val="none"/>
                <w:lang w:val="en-US" w:eastAsia="zh-CN"/>
              </w:rPr>
              <w:t>一条、二十二条、二十五</w:t>
            </w:r>
            <w:r>
              <w:rPr>
                <w:rFonts w:hint="eastAsia" w:ascii="仿宋_GB2312" w:hAnsi="仿宋_GB2312" w:eastAsia="仿宋_GB2312" w:cs="仿宋_GB2312"/>
                <w:spacing w:val="0"/>
                <w:sz w:val="20"/>
                <w:szCs w:val="20"/>
                <w:highlight w:val="none"/>
              </w:rPr>
              <w:t>条；《北京市安全生产条例》</w:t>
            </w:r>
            <w:r>
              <w:rPr>
                <w:rFonts w:hint="eastAsia" w:ascii="仿宋_GB2312" w:hAnsi="仿宋_GB2312" w:eastAsia="仿宋_GB2312" w:cs="仿宋_GB2312"/>
                <w:spacing w:val="0"/>
                <w:sz w:val="20"/>
                <w:szCs w:val="20"/>
                <w:highlight w:val="none"/>
                <w:lang w:eastAsia="zh-CN"/>
              </w:rPr>
              <w:t>第四条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十三条、十四条、</w:t>
            </w:r>
            <w:r>
              <w:rPr>
                <w:rFonts w:hint="eastAsia" w:ascii="仿宋_GB2312" w:hAnsi="仿宋_GB2312" w:eastAsia="仿宋_GB2312" w:cs="仿宋_GB2312"/>
                <w:spacing w:val="0"/>
                <w:sz w:val="20"/>
                <w:szCs w:val="20"/>
                <w:highlight w:val="none"/>
              </w:rPr>
              <w:t>十六</w:t>
            </w:r>
            <w:r>
              <w:rPr>
                <w:rFonts w:hint="eastAsia" w:ascii="仿宋_GB2312" w:hAnsi="仿宋_GB2312" w:eastAsia="仿宋_GB2312" w:cs="仿宋_GB2312"/>
                <w:spacing w:val="0"/>
                <w:sz w:val="20"/>
                <w:szCs w:val="20"/>
                <w:highlight w:val="none"/>
                <w:lang w:val="en-US" w:eastAsia="zh-CN"/>
              </w:rPr>
              <w:t>条</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第三条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eastAsia="zh-CN"/>
              </w:rPr>
              <w:t>四条</w:t>
            </w:r>
            <w:r>
              <w:rPr>
                <w:rFonts w:hint="eastAsia" w:ascii="仿宋_GB2312" w:hAnsi="仿宋_GB2312" w:eastAsia="仿宋_GB2312" w:cs="仿宋_GB2312"/>
                <w:spacing w:val="0"/>
                <w:sz w:val="20"/>
                <w:szCs w:val="20"/>
                <w:highlight w:val="none"/>
                <w:lang w:val="en-US" w:eastAsia="zh-CN"/>
              </w:rPr>
              <w:t>、五条、六条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E5D44AB">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16C6A15">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3ED519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4</w:t>
            </w:r>
            <w:r>
              <w:rPr>
                <w:rFonts w:hint="eastAsia" w:ascii="仿宋_GB2312" w:hAnsi="仿宋_GB2312" w:eastAsia="仿宋_GB2312" w:cs="仿宋_GB2312"/>
                <w:spacing w:val="-1"/>
                <w:sz w:val="20"/>
                <w:szCs w:val="20"/>
                <w:highlight w:val="none"/>
              </w:rPr>
              <w:t>.00</w:t>
            </w:r>
            <w:r>
              <w:rPr>
                <w:rFonts w:hint="eastAsia" w:ascii="仿宋_GB2312" w:hAnsi="仿宋_GB2312" w:eastAsia="仿宋_GB2312" w:cs="仿宋_GB2312"/>
                <w:spacing w:val="-1"/>
                <w:sz w:val="20"/>
                <w:szCs w:val="20"/>
                <w:highlight w:val="none"/>
                <w:lang w:val="en-US" w:eastAsia="zh-CN"/>
              </w:rPr>
              <w:t>5</w:t>
            </w:r>
          </w:p>
        </w:tc>
        <w:tc>
          <w:tcPr>
            <w:tcW w:w="769" w:type="dxa"/>
            <w:vMerge w:val="continue"/>
            <w:tcBorders>
              <w:left w:val="single" w:color="auto" w:sz="6" w:space="0"/>
              <w:right w:val="single" w:color="auto" w:sz="6" w:space="0"/>
            </w:tcBorders>
            <w:noWrap w:val="0"/>
            <w:tcMar>
              <w:left w:w="0" w:type="dxa"/>
              <w:right w:w="0" w:type="dxa"/>
            </w:tcMar>
            <w:vAlign w:val="center"/>
          </w:tcPr>
          <w:p w14:paraId="1494C924">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646AEC0">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制度类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8A1339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未制定相关安全生产规章制度。</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15FF8C">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应当组织制定下列安全生产规章制度：</w:t>
            </w:r>
          </w:p>
          <w:p w14:paraId="367CB361">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（一）安全生产教育和培训制度；</w:t>
            </w:r>
          </w:p>
          <w:p w14:paraId="7F85FFE5">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（二）安全生产检查制度；</w:t>
            </w:r>
          </w:p>
          <w:p w14:paraId="7583EBF1">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（三）生产安全事故隐患排查和治理制度；</w:t>
            </w:r>
          </w:p>
          <w:p w14:paraId="546B3DF5">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（四）具有较大危险因素的生产经营场所、设备和设施的安全管理制度；</w:t>
            </w:r>
          </w:p>
          <w:p w14:paraId="007DC970">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（五）安全生产资金投入或者安全生产费用提取、使用和管理制度；</w:t>
            </w:r>
          </w:p>
          <w:p w14:paraId="5CC8E366">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（六）危险作业管理制度；</w:t>
            </w:r>
          </w:p>
          <w:p w14:paraId="3D83A4EC">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（七）特种作业人员管理制度；</w:t>
            </w:r>
          </w:p>
          <w:p w14:paraId="1174A308">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（八）劳动防护用品配备和使用制度；</w:t>
            </w:r>
          </w:p>
          <w:p w14:paraId="18BDE8A4">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（九）安全生产奖励和惩罚制度；</w:t>
            </w:r>
          </w:p>
          <w:p w14:paraId="7F490543">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（十）生产安全事故报告和调查处理制度；</w:t>
            </w:r>
          </w:p>
          <w:p w14:paraId="7BCF652E">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（十一）法律、法规、规章规定的其他安全生产制度。</w:t>
            </w:r>
          </w:p>
          <w:p w14:paraId="4E4D90E7">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小型、微型企业等规模较小的生产经营单位，根据本单位实际，可以制定综合性的安全生产规章制度。</w:t>
            </w:r>
          </w:p>
          <w:p w14:paraId="4B065577">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从事危险作业或者生产经营场所、设备和设施存在较大危险因素的，生产经营单位还应当制定专项管理制度。</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0A2355C">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《中华人民共和国安全生产法》第四条；《北京市安全生产条例》第十五条；《北京市生产经营单位安全生产主体责任规定》第七条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0FCDB0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507423A6">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9742FC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5</w:t>
            </w:r>
            <w:r>
              <w:rPr>
                <w:rFonts w:hint="eastAsia" w:ascii="仿宋_GB2312" w:hAnsi="仿宋_GB2312" w:eastAsia="仿宋_GB2312" w:cs="仿宋_GB2312"/>
                <w:spacing w:val="-1"/>
                <w:sz w:val="20"/>
                <w:szCs w:val="20"/>
                <w:highlight w:val="none"/>
              </w:rPr>
              <w:t>.00</w:t>
            </w:r>
            <w:r>
              <w:rPr>
                <w:rFonts w:hint="eastAsia" w:ascii="仿宋_GB2312" w:hAnsi="仿宋_GB2312" w:eastAsia="仿宋_GB2312" w:cs="仿宋_GB2312"/>
                <w:spacing w:val="-1"/>
                <w:sz w:val="20"/>
                <w:szCs w:val="20"/>
                <w:highlight w:val="none"/>
                <w:lang w:val="en-US" w:eastAsia="zh-CN"/>
              </w:rPr>
              <w:t>6</w:t>
            </w:r>
          </w:p>
        </w:tc>
        <w:tc>
          <w:tcPr>
            <w:tcW w:w="769" w:type="dxa"/>
            <w:vMerge w:val="continue"/>
            <w:tcBorders>
              <w:left w:val="single" w:color="auto" w:sz="6" w:space="0"/>
              <w:right w:val="single" w:color="auto" w:sz="6" w:space="0"/>
            </w:tcBorders>
            <w:noWrap w:val="0"/>
            <w:tcMar>
              <w:left w:w="0" w:type="dxa"/>
              <w:right w:w="0" w:type="dxa"/>
            </w:tcMar>
            <w:vAlign w:val="center"/>
          </w:tcPr>
          <w:p w14:paraId="24E65659">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8EC2BAB">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sz w:val="20"/>
                <w:szCs w:val="20"/>
                <w:highlight w:val="none"/>
              </w:rPr>
            </w:pPr>
            <w:r>
              <w:rPr>
                <w:rFonts w:hint="eastAsia" w:ascii="仿宋_GB2312" w:hAnsi="仿宋_GB2312" w:eastAsia="仿宋_GB2312" w:cs="仿宋_GB2312"/>
                <w:spacing w:val="0"/>
                <w:sz w:val="20"/>
                <w:szCs w:val="20"/>
                <w:highlight w:val="none"/>
              </w:rPr>
              <w:t>操作规程类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899C701">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未依照法律、法规、规章和国家标准、行业标准，结合工艺流程、技术设备特点等情况制定安全操作规程。</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8C58904">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应当依照法律、法规、规章和国家标准、行业标准，结合工艺流程、技术设备特点以及原辅料危险性等情况，制定安全操作规程。</w:t>
            </w:r>
          </w:p>
          <w:p w14:paraId="341CAC30">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安全操作规程应当覆盖本单位生产经营活动的全过程。</w:t>
            </w:r>
          </w:p>
          <w:p w14:paraId="2347CE5A">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安全操作规程应当明确安全操作要求、作业环境要求、作业防护要求、禁止事项、紧急情况现场处置措施等内容。</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0D2CC50">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《中华人民共和国安全生产法》第二十一条；《北京市生产经营单位安全生产主体责任规定》第八条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34C26C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3E19576">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F16146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6</w:t>
            </w:r>
            <w:r>
              <w:rPr>
                <w:rFonts w:hint="eastAsia" w:ascii="仿宋_GB2312" w:hAnsi="仿宋_GB2312" w:eastAsia="仿宋_GB2312" w:cs="仿宋_GB2312"/>
                <w:spacing w:val="-1"/>
                <w:sz w:val="20"/>
                <w:szCs w:val="20"/>
                <w:highlight w:val="none"/>
              </w:rPr>
              <w:t>.00</w:t>
            </w:r>
            <w:r>
              <w:rPr>
                <w:rFonts w:hint="eastAsia" w:ascii="仿宋_GB2312" w:hAnsi="仿宋_GB2312" w:eastAsia="仿宋_GB2312" w:cs="仿宋_GB2312"/>
                <w:spacing w:val="-1"/>
                <w:sz w:val="20"/>
                <w:szCs w:val="20"/>
                <w:highlight w:val="none"/>
                <w:lang w:val="en-US" w:eastAsia="zh-CN"/>
              </w:rPr>
              <w:t>7</w:t>
            </w:r>
          </w:p>
        </w:tc>
        <w:tc>
          <w:tcPr>
            <w:tcW w:w="769" w:type="dxa"/>
            <w:vMerge w:val="continue"/>
            <w:tcBorders>
              <w:left w:val="single" w:color="auto" w:sz="6" w:space="0"/>
              <w:right w:val="single" w:color="auto" w:sz="6" w:space="0"/>
            </w:tcBorders>
            <w:noWrap w:val="0"/>
            <w:tcMar>
              <w:left w:w="0" w:type="dxa"/>
              <w:right w:w="0" w:type="dxa"/>
            </w:tcMar>
            <w:vAlign w:val="center"/>
          </w:tcPr>
          <w:p w14:paraId="1A0FBF8A">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3C5C9D7">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风险辨识类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FE4201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未开展安全风险分级管控工作，对安全风险进行有效管控。</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64CDE04">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应按照下列规定开展安全风险分级管控：</w:t>
            </w:r>
          </w:p>
          <w:p w14:paraId="23AA78CB">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（一）根据本单位生产经营活动的特点，制定安全风险辨识程序和方法，全面开展安全风险辨识和评估；</w:t>
            </w:r>
          </w:p>
          <w:p w14:paraId="62082ECD">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（二）对辨识出的安全风险进行分类梳理，确定安全风险等级；</w:t>
            </w:r>
          </w:p>
          <w:p w14:paraId="1C805120">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（三）从制度、技术、应急等方面，对安全风险进行有效管控；</w:t>
            </w:r>
          </w:p>
          <w:p w14:paraId="7099E214">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（四）建立安全风险公告制度，告知从业人员安全风险基本情况和防范措施。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3D8617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《生产安全事故应急预案管理办法》第十条；《北京市安全生产条例》第二十七条；《北京市生产经营单位安全生产主体责任规定》第二十九条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6C0413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4677722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FF02C6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pacing w:val="-1"/>
                <w:sz w:val="20"/>
                <w:szCs w:val="20"/>
                <w:highlight w:val="none"/>
                <w:lang w:eastAsia="zh-CN"/>
              </w:rPr>
              <w:t>02.1.0</w:t>
            </w:r>
            <w:r>
              <w:rPr>
                <w:rFonts w:hint="eastAsia" w:ascii="仿宋_GB2312" w:hAnsi="仿宋_GB2312" w:eastAsia="仿宋_GB2312" w:cs="仿宋_GB2312"/>
                <w:spacing w:val="-1"/>
                <w:sz w:val="20"/>
                <w:szCs w:val="20"/>
                <w:highlight w:val="none"/>
                <w:lang w:val="en-US" w:eastAsia="zh-CN"/>
              </w:rPr>
              <w:t>7</w:t>
            </w:r>
            <w:r>
              <w:rPr>
                <w:rFonts w:hint="eastAsia" w:ascii="仿宋_GB2312" w:hAnsi="仿宋_GB2312" w:eastAsia="仿宋_GB2312" w:cs="仿宋_GB2312"/>
                <w:spacing w:val="-1"/>
                <w:sz w:val="20"/>
                <w:szCs w:val="20"/>
                <w:highlight w:val="none"/>
              </w:rPr>
              <w:t>.00</w:t>
            </w:r>
            <w:r>
              <w:rPr>
                <w:rFonts w:hint="eastAsia" w:ascii="仿宋_GB2312" w:hAnsi="仿宋_GB2312" w:eastAsia="仿宋_GB2312" w:cs="仿宋_GB2312"/>
                <w:spacing w:val="-1"/>
                <w:sz w:val="20"/>
                <w:szCs w:val="20"/>
                <w:highlight w:val="none"/>
                <w:lang w:val="en-US" w:eastAsia="zh-CN"/>
              </w:rPr>
              <w:t>8</w:t>
            </w:r>
          </w:p>
        </w:tc>
        <w:tc>
          <w:tcPr>
            <w:tcW w:w="769" w:type="dxa"/>
            <w:vMerge w:val="continue"/>
            <w:tcBorders>
              <w:left w:val="single" w:color="auto" w:sz="6" w:space="0"/>
              <w:right w:val="single" w:color="auto" w:sz="6" w:space="0"/>
            </w:tcBorders>
            <w:noWrap w:val="0"/>
            <w:tcMar>
              <w:left w:w="0" w:type="dxa"/>
              <w:right w:w="0" w:type="dxa"/>
            </w:tcMar>
            <w:vAlign w:val="center"/>
          </w:tcPr>
          <w:p w14:paraId="5B255D48">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42B6CF3">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隐患排查类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74B6E9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kern w:val="0"/>
                <w:sz w:val="20"/>
                <w:szCs w:val="20"/>
                <w:highlight w:val="none"/>
                <w:lang w:bidi="ar"/>
              </w:rPr>
              <w:t>未开展生产安全事故隐患排查治理工作，及时发现并消除事故隐患，并如实记录。</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F6C8E2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按照国家和本市有关规定开展生产安全事故隐患排查治理</w:t>
            </w:r>
            <w:r>
              <w:rPr>
                <w:rFonts w:hint="eastAsia" w:ascii="仿宋_GB2312" w:hAnsi="仿宋_GB2312" w:eastAsia="仿宋_GB2312" w:cs="仿宋_GB2312"/>
                <w:spacing w:val="0"/>
                <w:sz w:val="20"/>
                <w:szCs w:val="20"/>
                <w:highlight w:val="none"/>
                <w:shd w:val="clear" w:color="auto" w:fill="auto"/>
                <w:lang w:eastAsia="zh-CN"/>
              </w:rPr>
              <w:t>，制定并落实防范和应急措施</w:t>
            </w:r>
            <w:r>
              <w:rPr>
                <w:rFonts w:hint="eastAsia" w:ascii="仿宋_GB2312" w:hAnsi="仿宋_GB2312" w:eastAsia="仿宋_GB2312" w:cs="仿宋_GB2312"/>
                <w:spacing w:val="0"/>
                <w:sz w:val="20"/>
                <w:szCs w:val="20"/>
                <w:highlight w:val="none"/>
                <w:shd w:val="clear" w:color="auto" w:fill="auto"/>
              </w:rPr>
              <w:t>。</w:t>
            </w:r>
          </w:p>
          <w:p w14:paraId="0D3A4C58">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应在每日营业开始前和结束后，对营业区域进行全面安全检查；营业期间每2小时至少进行1次安全巡查。检查和巡查应当做好记录。</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295F81">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《中华人民共和国安全生产法》第四十一条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《北京市生产经营单位安全生产主体责任规定》第二十九条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w:t>
            </w:r>
            <w:r>
              <w:rPr>
                <w:rFonts w:hint="eastAsia" w:ascii="仿宋_GB2312" w:hAnsi="仿宋_GB2312" w:eastAsia="仿宋_GB2312" w:cs="仿宋_GB2312"/>
                <w:color w:val="000000"/>
                <w:spacing w:val="0"/>
                <w:kern w:val="0"/>
                <w:sz w:val="20"/>
                <w:szCs w:val="20"/>
                <w:highlight w:val="none"/>
                <w:lang w:val="en-US" w:eastAsia="zh-CN" w:bidi="ar"/>
              </w:rPr>
              <w:t>第十一条、十二条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F5A189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754CF29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F61401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02.1.0</w:t>
            </w: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.00</w:t>
            </w:r>
            <w:r>
              <w:rPr>
                <w:rFonts w:hint="eastAsia" w:ascii="仿宋_GB2312" w:hAnsi="仿宋_GB2312" w:eastAsia="仿宋_GB2312" w:cs="仿宋_GB2312"/>
                <w:sz w:val="20"/>
                <w:szCs w:val="20"/>
                <w:highlight w:val="none"/>
                <w:lang w:val="en-US" w:eastAsia="zh-CN"/>
              </w:rPr>
              <w:t>9</w:t>
            </w:r>
          </w:p>
        </w:tc>
        <w:tc>
          <w:tcPr>
            <w:tcW w:w="769" w:type="dxa"/>
            <w:vMerge w:val="continue"/>
            <w:tcBorders>
              <w:left w:val="single" w:color="auto" w:sz="6" w:space="0"/>
              <w:right w:val="single" w:color="auto" w:sz="6" w:space="0"/>
            </w:tcBorders>
            <w:noWrap w:val="0"/>
            <w:tcMar>
              <w:left w:w="0" w:type="dxa"/>
              <w:right w:w="0" w:type="dxa"/>
            </w:tcMar>
            <w:vAlign w:val="center"/>
          </w:tcPr>
          <w:p w14:paraId="5284EB4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1244F188">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应急救援类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A1DE35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未按要求编制应急救援预案。</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8AE028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应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52E42F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八十一</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《生产安全事故应急条例》第七条；《生产安全事故应急预案管理办法》第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五十五</w:t>
            </w:r>
            <w:r>
              <w:rPr>
                <w:rFonts w:hint="eastAsia" w:ascii="仿宋_GB2312" w:hAnsi="仿宋_GB2312" w:eastAsia="仿宋_GB2312" w:cs="仿宋_GB2312"/>
                <w:spacing w:val="0"/>
                <w:sz w:val="20"/>
                <w:szCs w:val="20"/>
                <w:highlight w:val="none"/>
              </w:rPr>
              <w:t>条；《北京市生产经营单位安全生产主体责任规定》第三十条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622A1A6">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ADBF9C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5B5E32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02.1.0</w:t>
            </w: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10</w:t>
            </w:r>
          </w:p>
        </w:tc>
        <w:tc>
          <w:tcPr>
            <w:tcW w:w="769" w:type="dxa"/>
            <w:vMerge w:val="continue"/>
            <w:tcBorders>
              <w:left w:val="single" w:color="auto" w:sz="6" w:space="0"/>
              <w:right w:val="single" w:color="auto" w:sz="6" w:space="0"/>
            </w:tcBorders>
            <w:noWrap w:val="0"/>
            <w:tcMar>
              <w:left w:w="0" w:type="dxa"/>
              <w:right w:w="0" w:type="dxa"/>
            </w:tcMar>
            <w:vAlign w:val="center"/>
          </w:tcPr>
          <w:p w14:paraId="6B74415A">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7228B55D">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C356BD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编制应急预案前，未进行事故风险评估和应急资源调查。</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2408B2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编制应急预案前，编制单位应当进行事故风险辨识、评估和应急资源调查。</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A7E23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《生产安全事故应急预案管理办法》第十条第一款</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61614D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F705AB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A285B1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02.1.0</w:t>
            </w: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11</w:t>
            </w:r>
          </w:p>
        </w:tc>
        <w:tc>
          <w:tcPr>
            <w:tcW w:w="769" w:type="dxa"/>
            <w:vMerge w:val="continue"/>
            <w:tcBorders>
              <w:left w:val="single" w:color="auto" w:sz="6" w:space="0"/>
              <w:right w:val="single" w:color="auto" w:sz="6" w:space="0"/>
            </w:tcBorders>
            <w:noWrap w:val="0"/>
            <w:tcMar>
              <w:left w:w="0" w:type="dxa"/>
              <w:right w:w="0" w:type="dxa"/>
            </w:tcMar>
            <w:vAlign w:val="center"/>
          </w:tcPr>
          <w:p w14:paraId="2E55FAFA">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3AA95B85">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82A6BC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未按规定组织应急演练。</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878F948">
            <w:pPr>
              <w:pStyle w:val="15"/>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lang w:eastAsia="zh-CN"/>
              </w:rPr>
              <w:t>体育运动项目经营单位应当制定本单位的应急预案演练计划，应急救援预案应当每半年至少演练1次，并做好记录。</w:t>
            </w:r>
          </w:p>
          <w:p w14:paraId="28C50A55">
            <w:pPr>
              <w:pStyle w:val="15"/>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9E63F4">
            <w:pPr>
              <w:keepNext w:val="0"/>
              <w:keepLines w:val="0"/>
              <w:pageBreakBefore w:val="0"/>
              <w:widowControl/>
              <w:kinsoku/>
              <w:wordWrap/>
              <w:overflowPunct/>
              <w:topLinePunct w:val="0"/>
              <w:autoSpaceDE/>
              <w:autoSpaceDN/>
              <w:bidi w:val="0"/>
              <w:adjustRightInd/>
              <w:snapToGrid w:val="0"/>
              <w:spacing w:line="28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；《北京市体育运动项目经营单位安全生产规定》第</w:t>
            </w:r>
            <w:r>
              <w:rPr>
                <w:rFonts w:hint="eastAsia" w:ascii="仿宋_GB2312" w:hAnsi="仿宋_GB2312" w:eastAsia="仿宋_GB2312" w:cs="仿宋_GB2312"/>
                <w:color w:val="000000"/>
                <w:spacing w:val="0"/>
                <w:kern w:val="0"/>
                <w:sz w:val="20"/>
                <w:szCs w:val="20"/>
                <w:highlight w:val="none"/>
                <w:lang w:val="en-US" w:eastAsia="zh-CN" w:bidi="ar"/>
              </w:rPr>
              <w:t>二十九</w:t>
            </w:r>
            <w:r>
              <w:rPr>
                <w:rFonts w:hint="eastAsia" w:ascii="仿宋_GB2312" w:hAnsi="仿宋_GB2312" w:eastAsia="仿宋_GB2312" w:cs="仿宋_GB2312"/>
                <w:color w:val="000000"/>
                <w:spacing w:val="0"/>
                <w:kern w:val="0"/>
                <w:sz w:val="20"/>
                <w:szCs w:val="20"/>
                <w:highlight w:val="none"/>
                <w:lang w:eastAsia="zh-CN" w:bidi="ar"/>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086EC2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55FE590">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4F6CB8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09</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12</w:t>
            </w:r>
          </w:p>
        </w:tc>
        <w:tc>
          <w:tcPr>
            <w:tcW w:w="769" w:type="dxa"/>
            <w:vMerge w:val="continue"/>
            <w:tcBorders>
              <w:left w:val="single" w:color="auto" w:sz="6" w:space="0"/>
              <w:right w:val="single" w:color="auto" w:sz="6" w:space="0"/>
            </w:tcBorders>
            <w:noWrap w:val="0"/>
            <w:tcMar>
              <w:left w:w="0" w:type="dxa"/>
              <w:right w:w="0" w:type="dxa"/>
            </w:tcMar>
            <w:vAlign w:val="center"/>
          </w:tcPr>
          <w:p w14:paraId="40F2E980">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643CD0B1">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教育培训类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A673D96">
            <w:pPr>
              <w:keepNext w:val="0"/>
              <w:keepLines w:val="0"/>
              <w:pageBreakBefore w:val="0"/>
              <w:widowControl/>
              <w:kinsoku/>
              <w:wordWrap/>
              <w:overflowPunct/>
              <w:topLinePunct w:val="0"/>
              <w:autoSpaceDE/>
              <w:autoSpaceDN/>
              <w:bidi w:val="0"/>
              <w:adjustRightInd/>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未开展安全生产教育培训。</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DDC222">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安全教育培训应符合下列要求：</w:t>
            </w:r>
          </w:p>
          <w:p w14:paraId="3AAC668E">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一）应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14:paraId="64757335">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（二）对新招用、换岗、离岗6个月以上的人员，以及采用新工艺、新技术、新材料或者使用新设备的人员，进行安全生产教育和培训；</w:t>
            </w:r>
          </w:p>
          <w:p w14:paraId="3516760F">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（三）未经安全生产教育和培训合格的人员，不得安排上岗作业。</w:t>
            </w:r>
          </w:p>
          <w:p w14:paraId="3421A0C5">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单位的主要负责人和安全生产管理人员初次安全培训时间不应少于32学时，每年再培训时间不应少于12学时；</w:t>
            </w:r>
          </w:p>
          <w:p w14:paraId="3F72F304">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新上岗的从业人员应进行“单位（厂）、部门（车间）、基层（班组）”三级安全培训教育，岗前安全培训时间不应少于24学时，每年再培训时间不应少于8学时。</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C59CBDA">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《中华人民共和国安全生产法》第二十八条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w:t>
            </w:r>
            <w:r>
              <w:rPr>
                <w:rFonts w:hint="eastAsia" w:ascii="仿宋_GB2312" w:hAnsi="仿宋_GB2312" w:eastAsia="仿宋_GB2312" w:cs="仿宋_GB2312"/>
                <w:color w:val="000000"/>
                <w:spacing w:val="0"/>
                <w:kern w:val="0"/>
                <w:sz w:val="20"/>
                <w:szCs w:val="20"/>
                <w:highlight w:val="none"/>
                <w:lang w:eastAsia="zh-CN" w:bidi="ar"/>
              </w:rPr>
              <w:t>；《生产经营单位安全培训规定》</w:t>
            </w:r>
            <w:r>
              <w:rPr>
                <w:rFonts w:hint="eastAsia" w:ascii="仿宋_GB2312" w:hAnsi="仿宋_GB2312" w:eastAsia="仿宋_GB2312" w:cs="仿宋_GB2312"/>
                <w:color w:val="000000"/>
                <w:spacing w:val="0"/>
                <w:kern w:val="0"/>
                <w:sz w:val="20"/>
                <w:szCs w:val="20"/>
                <w:highlight w:val="none"/>
                <w:lang w:val="en-US" w:eastAsia="zh-CN" w:bidi="ar"/>
              </w:rPr>
              <w:t>第九条、十二条、十三条、</w:t>
            </w:r>
            <w:r>
              <w:rPr>
                <w:rFonts w:hint="eastAsia" w:ascii="仿宋_GB2312" w:hAnsi="仿宋_GB2312" w:eastAsia="仿宋_GB2312" w:cs="仿宋_GB2312"/>
                <w:color w:val="000000"/>
                <w:spacing w:val="0"/>
                <w:kern w:val="0"/>
                <w:sz w:val="20"/>
                <w:szCs w:val="20"/>
                <w:highlight w:val="none"/>
                <w:lang w:eastAsia="zh-CN" w:bidi="ar"/>
              </w:rPr>
              <w:t>二十一条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1D6E8B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7DD5E468">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422F10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09</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13</w:t>
            </w:r>
          </w:p>
        </w:tc>
        <w:tc>
          <w:tcPr>
            <w:tcW w:w="769" w:type="dxa"/>
            <w:vMerge w:val="continue"/>
            <w:tcBorders>
              <w:left w:val="single" w:color="auto" w:sz="6" w:space="0"/>
              <w:right w:val="single" w:color="auto" w:sz="6" w:space="0"/>
            </w:tcBorders>
            <w:noWrap w:val="0"/>
            <w:tcMar>
              <w:left w:w="0" w:type="dxa"/>
              <w:right w:w="0" w:type="dxa"/>
            </w:tcMar>
            <w:vAlign w:val="center"/>
          </w:tcPr>
          <w:p w14:paraId="59A18C70">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1055B07C">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06AE2F5">
            <w:pPr>
              <w:keepNext w:val="0"/>
              <w:keepLines w:val="0"/>
              <w:pageBreakBefore w:val="0"/>
              <w:widowControl/>
              <w:kinsoku/>
              <w:wordWrap/>
              <w:overflowPunct/>
              <w:topLinePunct w:val="0"/>
              <w:autoSpaceDE/>
              <w:autoSpaceDN/>
              <w:bidi w:val="0"/>
              <w:adjustRightInd/>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未建立安全生产教育和培训档案</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color w:val="000000"/>
                <w:spacing w:val="0"/>
                <w:kern w:val="0"/>
                <w:sz w:val="20"/>
                <w:szCs w:val="20"/>
                <w:highlight w:val="none"/>
                <w:lang w:val="en-US" w:eastAsia="zh-CN"/>
              </w:rPr>
              <w:t>或记录档案等不符合要求</w:t>
            </w:r>
            <w:r>
              <w:rPr>
                <w:rFonts w:hint="eastAsia" w:ascii="仿宋_GB2312" w:hAnsi="仿宋_GB2312" w:eastAsia="仿宋_GB2312" w:cs="仿宋_GB2312"/>
                <w:color w:val="000000"/>
                <w:spacing w:val="0"/>
                <w:kern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83B42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生产经营单位应当建立健全从业人员安全生产教育和培训档案，由生产经营单位的安全生产管理机构以及安全生产管理人员详细、准确记录培训的时间、内容、参加人员以及考核结果等</w:t>
            </w:r>
            <w:r>
              <w:rPr>
                <w:rFonts w:hint="eastAsia" w:ascii="仿宋_GB2312" w:hAnsi="仿宋_GB2312" w:eastAsia="仿宋_GB2312" w:cs="仿宋_GB2312"/>
                <w:spacing w:val="0"/>
                <w:sz w:val="20"/>
                <w:szCs w:val="20"/>
                <w:highlight w:val="none"/>
                <w:shd w:val="clear" w:color="auto" w:fill="auto"/>
                <w:lang w:eastAsia="zh-CN"/>
              </w:rPr>
              <w:t>情况。</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B199CC">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w:t>
            </w:r>
            <w:r>
              <w:rPr>
                <w:rFonts w:hint="eastAsia" w:ascii="仿宋_GB2312" w:hAnsi="仿宋_GB2312" w:eastAsia="仿宋_GB2312" w:cs="仿宋_GB2312"/>
                <w:color w:val="000000"/>
                <w:spacing w:val="0"/>
                <w:kern w:val="0"/>
                <w:sz w:val="20"/>
                <w:szCs w:val="20"/>
                <w:highlight w:val="none"/>
                <w:lang w:eastAsia="zh-CN" w:bidi="ar"/>
              </w:rPr>
              <w:t>第二十八条；</w:t>
            </w:r>
            <w:r>
              <w:rPr>
                <w:rFonts w:hint="eastAsia" w:ascii="仿宋_GB2312" w:hAnsi="仿宋_GB2312" w:eastAsia="仿宋_GB2312" w:cs="仿宋_GB2312"/>
                <w:color w:val="000000"/>
                <w:spacing w:val="0"/>
                <w:kern w:val="0"/>
                <w:sz w:val="20"/>
                <w:szCs w:val="20"/>
                <w:highlight w:val="none"/>
                <w:lang w:bidi="ar"/>
              </w:rPr>
              <w:t>《生产经营单位安全培训规定》</w:t>
            </w:r>
            <w:r>
              <w:rPr>
                <w:rFonts w:hint="eastAsia" w:ascii="仿宋_GB2312" w:hAnsi="仿宋_GB2312" w:eastAsia="仿宋_GB2312" w:cs="仿宋_GB2312"/>
                <w:color w:val="000000"/>
                <w:spacing w:val="0"/>
                <w:kern w:val="0"/>
                <w:sz w:val="20"/>
                <w:szCs w:val="20"/>
                <w:highlight w:val="none"/>
                <w:lang w:eastAsia="zh-CN" w:bidi="ar"/>
              </w:rPr>
              <w:t>第二十二条；</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《北京市生产经营单位安全生产主体责任规定》第十七条、十八条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6A1325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4A09B9E">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59E1D9B">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14</w:t>
            </w:r>
          </w:p>
        </w:tc>
        <w:tc>
          <w:tcPr>
            <w:tcW w:w="769" w:type="dxa"/>
            <w:vMerge w:val="continue"/>
            <w:tcBorders>
              <w:left w:val="single" w:color="auto" w:sz="6" w:space="0"/>
              <w:right w:val="single" w:color="auto" w:sz="6" w:space="0"/>
            </w:tcBorders>
            <w:noWrap w:val="0"/>
            <w:tcMar>
              <w:left w:w="0" w:type="dxa"/>
              <w:right w:w="0" w:type="dxa"/>
            </w:tcMar>
            <w:vAlign w:val="center"/>
          </w:tcPr>
          <w:p w14:paraId="561C9450">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102594BB">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有限空间作业类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CE9A887">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未对有限空间进行辨识、建立安全管理台账，并且未设置明显的安全警示标志的。</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00D6E97">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可能存在有限空间的单位应对本单位管理区域内的有限空间进行辨识，建立有限空间管理台账，并及时更新，有限空间管理台账应包括有限空间名称、位置和主要危险因素等。</w:t>
            </w:r>
          </w:p>
          <w:p w14:paraId="50DAB8EA">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有限空间出入口等周边醒目位置应设置明显的安全警示标志，多个有限空间集中布置场所，应在场所显著位置设置有限空间作业安全风险告知牌。</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8208053">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《有限空间作业安全技术规范》GB46768—2025第4.1条、4.2条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6DAAD2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99E45D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0FA19D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15</w:t>
            </w:r>
          </w:p>
        </w:tc>
        <w:tc>
          <w:tcPr>
            <w:tcW w:w="769" w:type="dxa"/>
            <w:vMerge w:val="continue"/>
            <w:tcBorders>
              <w:left w:val="single" w:color="auto" w:sz="6" w:space="0"/>
              <w:right w:val="single" w:color="auto" w:sz="6" w:space="0"/>
            </w:tcBorders>
            <w:noWrap w:val="0"/>
            <w:tcMar>
              <w:left w:w="0" w:type="dxa"/>
              <w:right w:w="0" w:type="dxa"/>
            </w:tcMar>
            <w:vAlign w:val="center"/>
          </w:tcPr>
          <w:p w14:paraId="087CA94C">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105EECF4">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49BDB22">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未落实有限空间作业审批，或者未执行“先通风、再检测、后作业”要求，或者作业现场未设置监护人员的。</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5884BC">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有限空间作业应实行作业审批制度，未经审批不得作业，有限空间内盛装或残留的物料可能对作业存在危害时，应采取清空、清洗或置换等措施。作业人员应在有限空间外上风侧开启出入口及其他与外界大气环境相连通的设施，进行自然通风。</w:t>
            </w:r>
          </w:p>
          <w:p w14:paraId="3819C271">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若开启时可能受到内部涌出气流或喷溅液体冲击，应佩戴相应的呼吸防护用品、防护眼镜等个体防护装备；</w:t>
            </w:r>
          </w:p>
          <w:p w14:paraId="190C2976">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应根据有限空间内可能存在的危害气体进行针对性检测，应至少检测氧气、可燃气、硫化氢和一氧化碳，气体检测结果应如实记录，内容应包括检测位置、检测时间、气体种类和浓度等信息。检测记录应经检测人员签字确认并归档保存；</w:t>
            </w:r>
          </w:p>
          <w:p w14:paraId="3A4E0DDD">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有限空间作业应实行监护制，监护人员应全程进行监护，与作业人员进行实时联络，不得离开作业现场或者进入有限空间参与作业。</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FA6FE2B">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 46768—2025第5.2条、5.6条、5.7条、5.8条、6.3条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391953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54A016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D5755C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16</w:t>
            </w:r>
          </w:p>
        </w:tc>
        <w:tc>
          <w:tcPr>
            <w:tcW w:w="769" w:type="dxa"/>
            <w:vMerge w:val="continue"/>
            <w:tcBorders>
              <w:left w:val="single" w:color="auto" w:sz="6" w:space="0"/>
              <w:right w:val="single" w:color="auto" w:sz="6" w:space="0"/>
            </w:tcBorders>
            <w:noWrap w:val="0"/>
            <w:tcMar>
              <w:left w:w="0" w:type="dxa"/>
              <w:right w:w="0" w:type="dxa"/>
            </w:tcMar>
            <w:vAlign w:val="center"/>
          </w:tcPr>
          <w:p w14:paraId="7A0E13F7">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31365FC8">
            <w:pPr>
              <w:pStyle w:val="15"/>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相关方管理类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3D8660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选用未取得相应资质的承包（承租）单位的。</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A66E1E6">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不得将生产经营项目、场所、设备发包或者出租给不具备安全生产条件或者相应资质的单位或者个人。对供应单位选用和续用等过程进行管理，对承包（承租）单位选择、服务前准备、作业过程监督、续用等过程进行管理</w:t>
            </w:r>
            <w:r>
              <w:rPr>
                <w:rFonts w:hint="eastAsia" w:ascii="仿宋_GB2312" w:hAnsi="仿宋_GB2312" w:eastAsia="仿宋_GB2312" w:cs="仿宋_GB2312"/>
                <w:spacing w:val="0"/>
                <w:sz w:val="20"/>
                <w:szCs w:val="20"/>
                <w:highlight w:val="none"/>
                <w:shd w:val="clear" w:color="auto" w:fill="auto"/>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3FDC60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2644E9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D7796D2">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EAA527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17</w:t>
            </w:r>
          </w:p>
        </w:tc>
        <w:tc>
          <w:tcPr>
            <w:tcW w:w="769" w:type="dxa"/>
            <w:vMerge w:val="continue"/>
            <w:tcBorders>
              <w:left w:val="single" w:color="auto" w:sz="6" w:space="0"/>
              <w:right w:val="single" w:color="auto" w:sz="6" w:space="0"/>
            </w:tcBorders>
            <w:noWrap w:val="0"/>
            <w:tcMar>
              <w:left w:w="0" w:type="dxa"/>
              <w:right w:w="0" w:type="dxa"/>
            </w:tcMar>
            <w:vAlign w:val="center"/>
          </w:tcPr>
          <w:p w14:paraId="2BA07A8D">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30B69A19">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3CFD8A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未与承包、承租单位签订专门的安全生产管理协议或在承包、</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合同中明确各自的安全生产管理职责。</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E314F0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应与承包、承租单位签订专门的安全生产管理协议，或者在承包合同、</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合同中约定各自的安全生产管理职责</w:t>
            </w:r>
            <w:r>
              <w:rPr>
                <w:rFonts w:hint="eastAsia" w:ascii="仿宋_GB2312" w:hAnsi="仿宋_GB2312" w:eastAsia="仿宋_GB2312" w:cs="仿宋_GB2312"/>
                <w:spacing w:val="0"/>
                <w:sz w:val="20"/>
                <w:szCs w:val="20"/>
                <w:highlight w:val="none"/>
                <w:lang w:eastAsia="zh-CN"/>
              </w:rPr>
              <w:t>，不得在安全生产管理协议中要求安全生产责任全部由承包、承租单位承担。</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B704CB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第二十六条</w:t>
            </w:r>
            <w:r>
              <w:rPr>
                <w:rFonts w:hint="eastAsia" w:ascii="仿宋_GB2312" w:hAnsi="仿宋_GB2312" w:eastAsia="仿宋_GB2312" w:cs="仿宋_GB2312"/>
                <w:spacing w:val="0"/>
                <w:sz w:val="20"/>
                <w:szCs w:val="20"/>
                <w:highlight w:val="none"/>
                <w:lang w:val="en-US" w:eastAsia="zh-CN"/>
              </w:rPr>
              <w:t>、第二十七条；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4EC652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E6EA7F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7A70E1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18</w:t>
            </w:r>
          </w:p>
        </w:tc>
        <w:tc>
          <w:tcPr>
            <w:tcW w:w="769" w:type="dxa"/>
            <w:vMerge w:val="continue"/>
            <w:tcBorders>
              <w:left w:val="single" w:color="auto" w:sz="6" w:space="0"/>
              <w:right w:val="single" w:color="auto" w:sz="6" w:space="0"/>
            </w:tcBorders>
            <w:noWrap w:val="0"/>
            <w:tcMar>
              <w:left w:w="0" w:type="dxa"/>
              <w:right w:w="0" w:type="dxa"/>
            </w:tcMar>
            <w:vAlign w:val="center"/>
          </w:tcPr>
          <w:p w14:paraId="602927B3">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5F20C387">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2D2C73">
            <w:pPr>
              <w:pStyle w:val="15"/>
              <w:keepNext w:val="0"/>
              <w:keepLines w:val="0"/>
              <w:pageBreakBefore w:val="0"/>
              <w:tabs>
                <w:tab w:val="left" w:pos="898"/>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安全管理协议内容不符合要求。</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00E1F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eastAsia="zh-CN"/>
              </w:rPr>
              <w:t>安全生产管理协议</w:t>
            </w:r>
            <w:r>
              <w:rPr>
                <w:rFonts w:hint="eastAsia" w:ascii="仿宋_GB2312" w:hAnsi="仿宋_GB2312" w:eastAsia="仿宋_GB2312" w:cs="仿宋_GB2312"/>
                <w:spacing w:val="0"/>
                <w:sz w:val="20"/>
                <w:szCs w:val="20"/>
                <w:highlight w:val="none"/>
                <w:lang w:val="en-US" w:eastAsia="zh-CN"/>
              </w:rPr>
              <w:t>内容应包括：双方安全生产职责、各自管理的区域范围；作业场所和人员、设备设施的安全生产管理责任；双方有关安全生产的权利和义务；生产安全事故报告和应急救援责任等主要内容。</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A0B9C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第二十七条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7CE9E3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543A67F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75195E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19</w:t>
            </w:r>
          </w:p>
        </w:tc>
        <w:tc>
          <w:tcPr>
            <w:tcW w:w="769" w:type="dxa"/>
            <w:vMerge w:val="continue"/>
            <w:tcBorders>
              <w:left w:val="single" w:color="auto" w:sz="6" w:space="0"/>
              <w:right w:val="single" w:color="auto" w:sz="6" w:space="0"/>
            </w:tcBorders>
            <w:noWrap w:val="0"/>
            <w:tcMar>
              <w:left w:w="0" w:type="dxa"/>
              <w:right w:w="0" w:type="dxa"/>
            </w:tcMar>
            <w:vAlign w:val="center"/>
          </w:tcPr>
          <w:p w14:paraId="58080D2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right w:val="single" w:color="auto" w:sz="6" w:space="0"/>
            </w:tcBorders>
            <w:noWrap w:val="0"/>
            <w:tcMar>
              <w:left w:w="0" w:type="dxa"/>
              <w:right w:w="0" w:type="dxa"/>
            </w:tcMar>
            <w:vAlign w:val="center"/>
          </w:tcPr>
          <w:p w14:paraId="235AA454">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60FE33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未对承包、承租单位的安全生产统一协调、管理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未定期进行安全检查。</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046FF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对承包单位、承租单位的安全生产工作统一协调、管理，定期进行安全检查，发现安全问题的，应当及时督促整改。</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0F8181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06F312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8B0001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93ABA6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20</w:t>
            </w:r>
          </w:p>
        </w:tc>
        <w:tc>
          <w:tcPr>
            <w:tcW w:w="769" w:type="dxa"/>
            <w:vMerge w:val="continue"/>
            <w:tcBorders>
              <w:left w:val="single" w:color="auto" w:sz="6" w:space="0"/>
              <w:right w:val="single" w:color="auto" w:sz="6" w:space="0"/>
            </w:tcBorders>
            <w:noWrap w:val="0"/>
            <w:tcMar>
              <w:left w:w="0" w:type="dxa"/>
              <w:right w:w="0" w:type="dxa"/>
            </w:tcMar>
            <w:vAlign w:val="center"/>
          </w:tcPr>
          <w:p w14:paraId="06BD8AE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4603C3DB">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78BCC2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w:t>
            </w:r>
            <w:r>
              <w:rPr>
                <w:rFonts w:hint="eastAsia" w:ascii="仿宋_GB2312" w:hAnsi="仿宋_GB2312" w:eastAsia="仿宋_GB2312" w:cs="仿宋_GB2312"/>
                <w:spacing w:val="0"/>
                <w:sz w:val="20"/>
                <w:szCs w:val="20"/>
                <w:highlight w:val="none"/>
                <w:lang w:val="en-US" w:eastAsia="zh-CN"/>
              </w:rPr>
              <w:t>危险</w:t>
            </w:r>
            <w:r>
              <w:rPr>
                <w:rFonts w:hint="eastAsia" w:ascii="仿宋_GB2312" w:hAnsi="仿宋_GB2312" w:eastAsia="仿宋_GB2312" w:cs="仿宋_GB2312"/>
                <w:spacing w:val="0"/>
                <w:sz w:val="20"/>
                <w:szCs w:val="20"/>
                <w:highlight w:val="none"/>
              </w:rPr>
              <w:t>作业的，</w:t>
            </w:r>
            <w:r>
              <w:rPr>
                <w:rFonts w:hint="eastAsia" w:ascii="仿宋_GB2312" w:hAnsi="仿宋_GB2312" w:eastAsia="仿宋_GB2312" w:cs="仿宋_GB2312"/>
                <w:spacing w:val="0"/>
                <w:sz w:val="20"/>
                <w:szCs w:val="20"/>
                <w:highlight w:val="none"/>
                <w:lang w:val="en-US" w:eastAsia="zh-CN"/>
              </w:rPr>
              <w:t>未督促</w:t>
            </w: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承租单位进行作业审批，制定作业方案，落实安全防范措施，加强现场安全管理</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E887D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bookmarkStart w:id="4" w:name="_GoBack"/>
            <w:bookmarkEnd w:id="4"/>
            <w:r>
              <w:rPr>
                <w:rFonts w:hint="eastAsia" w:ascii="仿宋_GB2312" w:hAnsi="仿宋_GB2312" w:eastAsia="仿宋_GB2312" w:cs="仿宋_GB2312"/>
                <w:spacing w:val="0"/>
                <w:sz w:val="20"/>
                <w:szCs w:val="20"/>
                <w:highlight w:val="none"/>
                <w:lang w:val="en-US" w:eastAsia="zh-CN"/>
              </w:rPr>
              <w:t>进行有限空间内作业、动火作业、高处作业、带电作业等，应当遵守下列规定：</w:t>
            </w:r>
          </w:p>
          <w:p w14:paraId="59E8C1C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（一）制定作业方案，按照本单位内部批准权限审批；</w:t>
            </w:r>
          </w:p>
          <w:p w14:paraId="23CC559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（二）落实安全交底，向作业人员详细说明作业内容、主要危险因素、作业安全要求和应急措施等内容；</w:t>
            </w:r>
          </w:p>
          <w:p w14:paraId="46D0BF0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（三）安排专门人员进行现场管理，确认现场作业条件、作业人员上岗资格、身体状况符合安全作业要求，监督作业人员遵守操作规程，落实安全措施；</w:t>
            </w:r>
          </w:p>
          <w:p w14:paraId="25748EB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（四）配备与现场作业活动相适应的劳动防护用品，以及相应的安全警示标志、安全防护设备、应急救援装备；</w:t>
            </w:r>
          </w:p>
          <w:p w14:paraId="30B4CD2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（五）发现直接危及人身安全的紧急情况，立即采取应急措施，停止作业或者撤出作业人员。</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CA88E6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四十三条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二十五条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6AFD97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0D517C51">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703E39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02.1.</w:t>
            </w: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21</w:t>
            </w:r>
          </w:p>
        </w:tc>
        <w:tc>
          <w:tcPr>
            <w:tcW w:w="769" w:type="dxa"/>
            <w:vMerge w:val="continue"/>
            <w:tcBorders>
              <w:left w:val="single" w:color="auto" w:sz="6" w:space="0"/>
              <w:right w:val="single" w:color="auto" w:sz="6" w:space="0"/>
            </w:tcBorders>
            <w:noWrap w:val="0"/>
            <w:tcMar>
              <w:left w:w="0" w:type="dxa"/>
              <w:right w:w="0" w:type="dxa"/>
            </w:tcMar>
            <w:vAlign w:val="center"/>
          </w:tcPr>
          <w:p w14:paraId="329A646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701CD7C">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安全生产投入类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FCF2E0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未按规定将安全生产费用纳入年度财务预算并专款专用。</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6DC2E8">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主要负责人应保证安全生产所必需的资金投入，并专项用于下列安全生产事项：</w:t>
            </w:r>
          </w:p>
          <w:p w14:paraId="01C5725B">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（一）安全技术措施工程建设；</w:t>
            </w:r>
          </w:p>
          <w:p w14:paraId="7EBC235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（二）安全设备、设施的更新和维护；</w:t>
            </w:r>
          </w:p>
          <w:p w14:paraId="0DAF395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（三）安全生产宣传、教育和培训；</w:t>
            </w:r>
          </w:p>
          <w:p w14:paraId="6021EE8E">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（四）劳动防护用品配备；</w:t>
            </w:r>
          </w:p>
          <w:p w14:paraId="2BB8F08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（五）重大危险源监控；</w:t>
            </w:r>
          </w:p>
          <w:p w14:paraId="25783410">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（六）安全风险评估和隐患排查治理；</w:t>
            </w:r>
          </w:p>
          <w:p w14:paraId="5F2D5704">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（七）生产安全事故应急救援演练；</w:t>
            </w:r>
          </w:p>
          <w:p w14:paraId="7101CF9C">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（八）应急救援队伍建设或者救援服务；</w:t>
            </w:r>
          </w:p>
          <w:p w14:paraId="39A0C3C3">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（九）其他保障安全生产的事项。</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94397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十八</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第九条；</w:t>
            </w:r>
            <w:r>
              <w:rPr>
                <w:rFonts w:hint="eastAsia" w:ascii="仿宋_GB2312" w:hAnsi="仿宋_GB2312" w:eastAsia="仿宋_GB2312" w:cs="仿宋_GB2312"/>
                <w:spacing w:val="0"/>
                <w:sz w:val="20"/>
                <w:szCs w:val="20"/>
                <w:highlight w:val="none"/>
              </w:rPr>
              <w:t>《企业安全生产费用提取和使用管理办法》第</w:t>
            </w:r>
            <w:r>
              <w:rPr>
                <w:rFonts w:hint="eastAsia" w:ascii="仿宋_GB2312" w:hAnsi="仿宋_GB2312" w:eastAsia="仿宋_GB2312" w:cs="仿宋_GB2312"/>
                <w:spacing w:val="0"/>
                <w:sz w:val="20"/>
                <w:szCs w:val="20"/>
                <w:highlight w:val="none"/>
                <w:lang w:val="en-US" w:eastAsia="zh-CN"/>
              </w:rPr>
              <w:t>四十五条、四十六</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169B8F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7FC48CA5">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27C38C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02.2.0</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22</w:t>
            </w:r>
          </w:p>
        </w:tc>
        <w:tc>
          <w:tcPr>
            <w:tcW w:w="769" w:type="dxa"/>
            <w:vMerge w:val="restart"/>
            <w:tcBorders>
              <w:left w:val="single" w:color="auto" w:sz="6" w:space="0"/>
              <w:right w:val="single" w:color="auto" w:sz="6" w:space="0"/>
            </w:tcBorders>
            <w:noWrap w:val="0"/>
            <w:tcMar>
              <w:left w:w="0" w:type="dxa"/>
              <w:right w:w="0" w:type="dxa"/>
            </w:tcMar>
            <w:vAlign w:val="center"/>
          </w:tcPr>
          <w:p w14:paraId="5984E224">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sz w:val="20"/>
                <w:szCs w:val="20"/>
                <w:highlight w:val="none"/>
                <w:lang w:val="en-US" w:eastAsia="zh-CN"/>
              </w:rPr>
              <w:t>设备设施及物料类</w:t>
            </w: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59945F92">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工艺及生产设备设施类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4CE687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滑雪场所提供的设施、设备、器材未取得国家质量监督检验检疫部门出具的合格证明</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6A593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滑雪场所提供的设施、设备、器材</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取得国家质量监督检验检疫部门出具的合格证明</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B4BAB7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w:t>
            </w:r>
            <w:r>
              <w:rPr>
                <w:rFonts w:hint="eastAsia" w:ascii="仿宋_GB2312" w:hAnsi="仿宋_GB2312" w:eastAsia="仿宋_GB2312" w:cs="仿宋_GB2312"/>
                <w:spacing w:val="0"/>
                <w:sz w:val="20"/>
                <w:szCs w:val="20"/>
                <w:highlight w:val="none"/>
                <w:lang w:eastAsia="zh-CN"/>
              </w:rPr>
              <w:t xml:space="preserve"> 第</w:t>
            </w:r>
            <w:r>
              <w:rPr>
                <w:rFonts w:hint="eastAsia" w:ascii="仿宋_GB2312" w:hAnsi="仿宋_GB2312" w:eastAsia="仿宋_GB2312" w:cs="仿宋_GB2312"/>
                <w:spacing w:val="0"/>
                <w:sz w:val="20"/>
                <w:szCs w:val="20"/>
                <w:highlight w:val="none"/>
              </w:rPr>
              <w:t>6部分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滑雪场所》</w:t>
            </w:r>
            <w:r>
              <w:rPr>
                <w:rFonts w:hint="eastAsia" w:ascii="仿宋_GB2312" w:hAnsi="仿宋_GB2312" w:eastAsia="仿宋_GB2312" w:cs="仿宋_GB2312"/>
                <w:spacing w:val="0"/>
                <w:sz w:val="20"/>
                <w:szCs w:val="20"/>
                <w:highlight w:val="none"/>
                <w:lang w:eastAsia="zh-CN"/>
              </w:rPr>
              <w:t>GB 19079</w:t>
            </w:r>
            <w:r>
              <w:rPr>
                <w:rFonts w:hint="eastAsia" w:ascii="仿宋_GB2312" w:hAnsi="仿宋_GB2312" w:eastAsia="仿宋_GB2312" w:cs="仿宋_GB2312"/>
                <w:spacing w:val="0"/>
                <w:sz w:val="20"/>
                <w:szCs w:val="20"/>
                <w:highlight w:val="none"/>
              </w:rPr>
              <w:t>.6-2013第5.2.6条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4882501">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7A6B96F">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00921C5">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02.2.01.023</w:t>
            </w:r>
          </w:p>
        </w:tc>
        <w:tc>
          <w:tcPr>
            <w:tcW w:w="769" w:type="dxa"/>
            <w:vMerge w:val="continue"/>
            <w:tcBorders>
              <w:left w:val="single" w:color="auto" w:sz="6" w:space="0"/>
              <w:right w:val="single" w:color="auto" w:sz="6" w:space="0"/>
            </w:tcBorders>
            <w:noWrap w:val="0"/>
            <w:tcMar>
              <w:left w:w="0" w:type="dxa"/>
              <w:right w:w="0" w:type="dxa"/>
            </w:tcMar>
            <w:vAlign w:val="center"/>
          </w:tcPr>
          <w:p w14:paraId="3ABA5DA3">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24E9AF1F">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17AB92">
            <w:pPr>
              <w:pStyle w:val="15"/>
              <w:keepNext w:val="0"/>
              <w:keepLines w:val="0"/>
              <w:pageBreakBefore w:val="0"/>
              <w:kinsoku/>
              <w:wordWrap/>
              <w:overflowPunct/>
              <w:topLinePunct w:val="0"/>
              <w:autoSpaceDE/>
              <w:autoSpaceDN/>
              <w:bidi w:val="0"/>
              <w:spacing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雪层压实后的厚度小于30cm，</w:t>
            </w:r>
            <w:r>
              <w:rPr>
                <w:rFonts w:hint="eastAsia" w:ascii="仿宋_GB2312" w:hAnsi="仿宋_GB2312" w:eastAsia="仿宋_GB2312" w:cs="仿宋_GB2312"/>
                <w:spacing w:val="0"/>
                <w:sz w:val="20"/>
                <w:szCs w:val="20"/>
                <w:highlight w:val="none"/>
              </w:rPr>
              <w:t>雪道上有裸露的土石</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雪层表面形成冰块。</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2C4A14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雪层压实后的厚度应不小于30cm，</w:t>
            </w:r>
            <w:r>
              <w:rPr>
                <w:rFonts w:hint="eastAsia" w:ascii="仿宋_GB2312" w:hAnsi="仿宋_GB2312" w:eastAsia="仿宋_GB2312" w:cs="仿宋_GB2312"/>
                <w:spacing w:val="0"/>
                <w:sz w:val="20"/>
                <w:szCs w:val="20"/>
                <w:highlight w:val="none"/>
              </w:rPr>
              <w:t>雪道上</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有裸露的土石</w:t>
            </w:r>
            <w:r>
              <w:rPr>
                <w:rFonts w:hint="eastAsia" w:ascii="仿宋_GB2312" w:hAnsi="仿宋_GB2312" w:eastAsia="仿宋_GB2312" w:cs="仿宋_GB2312"/>
                <w:spacing w:val="0"/>
                <w:sz w:val="20"/>
                <w:szCs w:val="20"/>
                <w:highlight w:val="none"/>
                <w:lang w:val="en-US" w:eastAsia="zh-CN"/>
              </w:rPr>
              <w:t>等杂物，雪层表面不得形成冰块。</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013E9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w:t>
            </w:r>
            <w:r>
              <w:rPr>
                <w:rFonts w:hint="eastAsia" w:ascii="仿宋_GB2312" w:hAnsi="仿宋_GB2312" w:eastAsia="仿宋_GB2312" w:cs="仿宋_GB2312"/>
                <w:spacing w:val="0"/>
                <w:sz w:val="20"/>
                <w:szCs w:val="20"/>
                <w:highlight w:val="none"/>
                <w:lang w:eastAsia="zh-CN"/>
              </w:rPr>
              <w:t xml:space="preserve"> 第</w:t>
            </w:r>
            <w:r>
              <w:rPr>
                <w:rFonts w:hint="eastAsia" w:ascii="仿宋_GB2312" w:hAnsi="仿宋_GB2312" w:eastAsia="仿宋_GB2312" w:cs="仿宋_GB2312"/>
                <w:spacing w:val="0"/>
                <w:sz w:val="20"/>
                <w:szCs w:val="20"/>
                <w:highlight w:val="none"/>
              </w:rPr>
              <w:t>6部分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滑雪场所》GB 19079.6-2013第5.1.2条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83BF82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7451D2F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75E9423">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02.2.01.024</w:t>
            </w:r>
          </w:p>
        </w:tc>
        <w:tc>
          <w:tcPr>
            <w:tcW w:w="769" w:type="dxa"/>
            <w:vMerge w:val="continue"/>
            <w:tcBorders>
              <w:left w:val="single" w:color="auto" w:sz="6" w:space="0"/>
              <w:right w:val="single" w:color="auto" w:sz="6" w:space="0"/>
            </w:tcBorders>
            <w:noWrap w:val="0"/>
            <w:tcMar>
              <w:left w:w="0" w:type="dxa"/>
              <w:right w:w="0" w:type="dxa"/>
            </w:tcMar>
            <w:vAlign w:val="center"/>
          </w:tcPr>
          <w:p w14:paraId="438B2433">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1CD9B826">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40C215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室外滑雪道终点停止区面积小于1000m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，室内滑雪场终点停止区面积小于500m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。终点停止区末端未加装安全防护设施。</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41776AB">
            <w:pPr>
              <w:pStyle w:val="15"/>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jc w:val="both"/>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室外滑雪道终点停止区面积</w:t>
            </w:r>
            <w:r>
              <w:rPr>
                <w:rFonts w:hint="eastAsia" w:ascii="仿宋_GB2312" w:hAnsi="仿宋_GB2312" w:eastAsia="仿宋_GB2312" w:cs="仿宋_GB2312"/>
                <w:spacing w:val="0"/>
                <w:sz w:val="20"/>
                <w:szCs w:val="20"/>
                <w:highlight w:val="none"/>
                <w:shd w:val="clear" w:color="auto" w:fill="auto"/>
                <w:lang w:val="en-US" w:eastAsia="zh-CN"/>
              </w:rPr>
              <w:t>应不</w:t>
            </w:r>
            <w:r>
              <w:rPr>
                <w:rFonts w:hint="eastAsia" w:ascii="仿宋_GB2312" w:hAnsi="仿宋_GB2312" w:eastAsia="仿宋_GB2312" w:cs="仿宋_GB2312"/>
                <w:spacing w:val="0"/>
                <w:sz w:val="20"/>
                <w:szCs w:val="20"/>
                <w:highlight w:val="none"/>
                <w:shd w:val="clear" w:color="auto" w:fill="auto"/>
              </w:rPr>
              <w:t>小于1000</w:t>
            </w:r>
            <w:r>
              <w:rPr>
                <w:rFonts w:hint="eastAsia" w:ascii="仿宋_GB2312" w:hAnsi="仿宋_GB2312" w:eastAsia="仿宋_GB2312" w:cs="仿宋_GB2312"/>
                <w:spacing w:val="0"/>
                <w:sz w:val="20"/>
                <w:szCs w:val="20"/>
                <w:highlight w:val="none"/>
              </w:rPr>
              <w:t>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shd w:val="clear" w:color="auto" w:fill="auto"/>
              </w:rPr>
              <w:t>，室内滑雪场终点停止区面积</w:t>
            </w:r>
            <w:r>
              <w:rPr>
                <w:rFonts w:hint="eastAsia" w:ascii="仿宋_GB2312" w:hAnsi="仿宋_GB2312" w:eastAsia="仿宋_GB2312" w:cs="仿宋_GB2312"/>
                <w:spacing w:val="0"/>
                <w:sz w:val="20"/>
                <w:szCs w:val="20"/>
                <w:highlight w:val="none"/>
                <w:shd w:val="clear" w:color="auto" w:fill="auto"/>
                <w:lang w:val="en-US" w:eastAsia="zh-CN"/>
              </w:rPr>
              <w:t>应不</w:t>
            </w:r>
            <w:r>
              <w:rPr>
                <w:rFonts w:hint="eastAsia" w:ascii="仿宋_GB2312" w:hAnsi="仿宋_GB2312" w:eastAsia="仿宋_GB2312" w:cs="仿宋_GB2312"/>
                <w:spacing w:val="0"/>
                <w:sz w:val="20"/>
                <w:szCs w:val="20"/>
                <w:highlight w:val="none"/>
                <w:shd w:val="clear" w:color="auto" w:fill="auto"/>
              </w:rPr>
              <w:t>小于500</w:t>
            </w:r>
            <w:r>
              <w:rPr>
                <w:rFonts w:hint="eastAsia" w:ascii="仿宋_GB2312" w:hAnsi="仿宋_GB2312" w:eastAsia="仿宋_GB2312" w:cs="仿宋_GB2312"/>
                <w:spacing w:val="0"/>
                <w:sz w:val="20"/>
                <w:szCs w:val="20"/>
                <w:highlight w:val="none"/>
              </w:rPr>
              <w:t>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shd w:val="clear" w:color="auto" w:fill="auto"/>
              </w:rPr>
              <w:t>。终点停止区末端</w:t>
            </w:r>
            <w:r>
              <w:rPr>
                <w:rFonts w:hint="eastAsia" w:ascii="仿宋_GB2312" w:hAnsi="仿宋_GB2312" w:eastAsia="仿宋_GB2312" w:cs="仿宋_GB2312"/>
                <w:spacing w:val="0"/>
                <w:sz w:val="20"/>
                <w:szCs w:val="20"/>
                <w:highlight w:val="none"/>
                <w:shd w:val="clear" w:color="auto" w:fill="auto"/>
                <w:lang w:val="en-US" w:eastAsia="zh-CN"/>
              </w:rPr>
              <w:t>应</w:t>
            </w:r>
            <w:r>
              <w:rPr>
                <w:rFonts w:hint="eastAsia" w:ascii="仿宋_GB2312" w:hAnsi="仿宋_GB2312" w:eastAsia="仿宋_GB2312" w:cs="仿宋_GB2312"/>
                <w:spacing w:val="0"/>
                <w:sz w:val="20"/>
                <w:szCs w:val="20"/>
                <w:highlight w:val="none"/>
                <w:shd w:val="clear" w:color="auto" w:fill="auto"/>
              </w:rPr>
              <w:t>加装安全防护设施。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062B5B5">
            <w:pPr>
              <w:pStyle w:val="15"/>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jc w:val="both"/>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w:t>
            </w:r>
            <w:r>
              <w:rPr>
                <w:rFonts w:hint="eastAsia" w:ascii="仿宋_GB2312" w:hAnsi="仿宋_GB2312" w:eastAsia="仿宋_GB2312" w:cs="仿宋_GB2312"/>
                <w:spacing w:val="0"/>
                <w:sz w:val="20"/>
                <w:szCs w:val="20"/>
                <w:highlight w:val="none"/>
                <w:lang w:eastAsia="zh-CN"/>
              </w:rPr>
              <w:t xml:space="preserve"> 第</w:t>
            </w:r>
            <w:r>
              <w:rPr>
                <w:rFonts w:hint="eastAsia" w:ascii="仿宋_GB2312" w:hAnsi="仿宋_GB2312" w:eastAsia="仿宋_GB2312" w:cs="仿宋_GB2312"/>
                <w:spacing w:val="0"/>
                <w:sz w:val="20"/>
                <w:szCs w:val="20"/>
                <w:highlight w:val="none"/>
              </w:rPr>
              <w:t>6部分：滑雪场所》GB 19079.6-2013第5.1.3条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BD3F66F">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141E7C6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C669F9E">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mn-Mong-CN"/>
              </w:rPr>
              <w:t>02.2.01.025</w:t>
            </w:r>
          </w:p>
        </w:tc>
        <w:tc>
          <w:tcPr>
            <w:tcW w:w="769" w:type="dxa"/>
            <w:vMerge w:val="continue"/>
            <w:tcBorders>
              <w:left w:val="single" w:color="auto" w:sz="6" w:space="0"/>
              <w:right w:val="single" w:color="auto" w:sz="6" w:space="0"/>
            </w:tcBorders>
            <w:noWrap w:val="0"/>
            <w:tcMar>
              <w:left w:w="0" w:type="dxa"/>
              <w:right w:w="0" w:type="dxa"/>
            </w:tcMar>
            <w:vAlign w:val="center"/>
          </w:tcPr>
          <w:p w14:paraId="2BD338BE">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right w:val="single" w:color="auto" w:sz="6" w:space="0"/>
            </w:tcBorders>
            <w:noWrap w:val="0"/>
            <w:tcMar>
              <w:left w:w="0" w:type="dxa"/>
              <w:right w:w="0" w:type="dxa"/>
            </w:tcMar>
            <w:vAlign w:val="center"/>
          </w:tcPr>
          <w:p w14:paraId="78626AC4">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A3D8F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z w:val="20"/>
                <w:szCs w:val="20"/>
                <w:highlight w:val="none"/>
              </w:rPr>
              <w:t>危险地段未设置安全网（垫）等安全防护设施</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或未在明显位置设置警示标识</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F92F410">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以下危险地段应设置安全网（垫）等安全防护设施，并在明显位置设置警示标识：</w:t>
            </w:r>
          </w:p>
          <w:p w14:paraId="68517A9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一</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滑雪道外侧有危险障碍物地段；</w:t>
            </w:r>
          </w:p>
          <w:p w14:paraId="197D405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二</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明显危险源暴露地段</w:t>
            </w:r>
            <w:r>
              <w:rPr>
                <w:rFonts w:hint="eastAsia" w:ascii="仿宋_GB2312" w:hAnsi="仿宋_GB2312" w:eastAsia="仿宋_GB2312" w:cs="仿宋_GB2312"/>
                <w:spacing w:val="0"/>
                <w:sz w:val="20"/>
                <w:szCs w:val="20"/>
                <w:highlight w:val="none"/>
                <w:lang w:eastAsia="zh-CN"/>
              </w:rPr>
              <w:t>；</w:t>
            </w:r>
          </w:p>
          <w:p w14:paraId="08DC5EE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三</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滑雪道一侧危险并陡峭地形段</w:t>
            </w:r>
            <w:r>
              <w:rPr>
                <w:rFonts w:hint="eastAsia" w:ascii="仿宋_GB2312" w:hAnsi="仿宋_GB2312" w:eastAsia="仿宋_GB2312" w:cs="仿宋_GB2312"/>
                <w:spacing w:val="0"/>
                <w:sz w:val="20"/>
                <w:szCs w:val="20"/>
                <w:highlight w:val="none"/>
                <w:lang w:eastAsia="zh-CN"/>
              </w:rPr>
              <w:t>；</w:t>
            </w:r>
          </w:p>
          <w:p w14:paraId="5E43AD6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四</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拖牵索道和魔毯可能与滑雪道上滑行人员发生冲撞的地段；</w:t>
            </w:r>
          </w:p>
          <w:p w14:paraId="7DBA818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五</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中、高级滑雪道两侧及转弯处的外侧地段；</w:t>
            </w:r>
          </w:p>
          <w:p w14:paraId="02FC2F4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六</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禁止滑行的入口；</w:t>
            </w:r>
          </w:p>
          <w:p w14:paraId="286C34B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七</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滑雪道的分叉口；</w:t>
            </w:r>
          </w:p>
          <w:p w14:paraId="7978B48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八</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能滑出范围的终点</w:t>
            </w:r>
            <w:r>
              <w:rPr>
                <w:rFonts w:hint="eastAsia" w:ascii="仿宋_GB2312" w:hAnsi="仿宋_GB2312" w:eastAsia="仿宋_GB2312" w:cs="仿宋_GB2312"/>
                <w:spacing w:val="0"/>
                <w:sz w:val="20"/>
                <w:szCs w:val="20"/>
                <w:highlight w:val="none"/>
                <w:lang w:eastAsia="zh-CN"/>
              </w:rPr>
              <w:t>区；</w:t>
            </w:r>
          </w:p>
          <w:p w14:paraId="231D0867">
            <w:pPr>
              <w:pStyle w:val="15"/>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滑雪道内的危险障碍物。</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78F4345">
            <w:pPr>
              <w:pStyle w:val="15"/>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《体育场所开放条件与技术要求第6部分：滑雪场所》GB19079.6-2013第5.</w:t>
            </w:r>
            <w:r>
              <w:rPr>
                <w:rFonts w:hint="eastAsia" w:ascii="仿宋_GB2312" w:hAnsi="仿宋_GB2312" w:eastAsia="仿宋_GB2312" w:cs="仿宋_GB2312"/>
                <w:spacing w:val="0"/>
                <w:sz w:val="20"/>
                <w:szCs w:val="20"/>
                <w:highlight w:val="none"/>
                <w:lang w:val="en-US" w:eastAsia="zh-CN"/>
              </w:rPr>
              <w:t>2.2条；</w:t>
            </w:r>
            <w:r>
              <w:rPr>
                <w:rFonts w:hint="eastAsia" w:ascii="仿宋_GB2312" w:hAnsi="仿宋_GB2312" w:eastAsia="仿宋_GB2312" w:cs="仿宋_GB2312"/>
                <w:spacing w:val="0"/>
                <w:sz w:val="20"/>
                <w:szCs w:val="20"/>
                <w:highlight w:val="none"/>
              </w:rPr>
              <w:t>DB11/T</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1322.53-2018《安全生产等级评定技术规范第53部分：滑雪场所》第</w:t>
            </w:r>
            <w:r>
              <w:rPr>
                <w:rFonts w:hint="eastAsia" w:ascii="仿宋_GB2312" w:hAnsi="仿宋_GB2312" w:eastAsia="仿宋_GB2312" w:cs="仿宋_GB2312"/>
                <w:spacing w:val="0"/>
                <w:sz w:val="20"/>
                <w:szCs w:val="20"/>
                <w:highlight w:val="none"/>
              </w:rPr>
              <w:fldChar w:fldCharType="begin"/>
            </w:r>
            <w:r>
              <w:rPr>
                <w:rFonts w:hint="eastAsia" w:ascii="仿宋_GB2312" w:hAnsi="仿宋_GB2312" w:eastAsia="仿宋_GB2312" w:cs="仿宋_GB2312"/>
                <w:spacing w:val="0"/>
                <w:sz w:val="20"/>
                <w:szCs w:val="20"/>
                <w:highlight w:val="none"/>
              </w:rPr>
              <w:instrText xml:space="preserve"> HYPERLINK "https://4.3.1.3" </w:instrText>
            </w:r>
            <w:r>
              <w:rPr>
                <w:rFonts w:hint="eastAsia" w:ascii="仿宋_GB2312" w:hAnsi="仿宋_GB2312" w:eastAsia="仿宋_GB2312" w:cs="仿宋_GB2312"/>
                <w:spacing w:val="0"/>
                <w:sz w:val="20"/>
                <w:szCs w:val="20"/>
                <w:highlight w:val="none"/>
              </w:rPr>
              <w:fldChar w:fldCharType="separate"/>
            </w:r>
            <w:r>
              <w:rPr>
                <w:rFonts w:hint="eastAsia" w:ascii="仿宋_GB2312" w:hAnsi="仿宋_GB2312" w:eastAsia="仿宋_GB2312" w:cs="仿宋_GB2312"/>
                <w:spacing w:val="0"/>
                <w:sz w:val="20"/>
                <w:szCs w:val="20"/>
                <w:highlight w:val="none"/>
              </w:rPr>
              <w:t>4.3.1.3</w:t>
            </w:r>
            <w:r>
              <w:rPr>
                <w:rFonts w:hint="eastAsia" w:ascii="仿宋_GB2312" w:hAnsi="仿宋_GB2312" w:eastAsia="仿宋_GB2312" w:cs="仿宋_GB2312"/>
                <w:spacing w:val="0"/>
                <w:sz w:val="20"/>
                <w:szCs w:val="20"/>
                <w:highlight w:val="none"/>
              </w:rPr>
              <w:fldChar w:fldCharType="end"/>
            </w:r>
            <w:r>
              <w:rPr>
                <w:rFonts w:hint="eastAsia" w:ascii="仿宋_GB2312" w:hAnsi="仿宋_GB2312" w:eastAsia="仿宋_GB2312" w:cs="仿宋_GB2312"/>
                <w:spacing w:val="0"/>
                <w:sz w:val="20"/>
                <w:szCs w:val="20"/>
                <w:highlight w:val="none"/>
              </w:rPr>
              <w:t>条；DB11/T 875-2017《体育场所安全运营管理规范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滑雪场所》第5.3.1条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CD19071">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1492D5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5CA63D4">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02.2.01.026</w:t>
            </w:r>
          </w:p>
        </w:tc>
        <w:tc>
          <w:tcPr>
            <w:tcW w:w="769" w:type="dxa"/>
            <w:vMerge w:val="continue"/>
            <w:tcBorders>
              <w:left w:val="single" w:color="auto" w:sz="6" w:space="0"/>
              <w:right w:val="single" w:color="auto" w:sz="6" w:space="0"/>
            </w:tcBorders>
            <w:noWrap w:val="0"/>
            <w:tcMar>
              <w:left w:w="0" w:type="dxa"/>
              <w:right w:w="0" w:type="dxa"/>
            </w:tcMar>
            <w:vAlign w:val="center"/>
          </w:tcPr>
          <w:p w14:paraId="0F7A4C97">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3A46EB33">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46A7F37">
            <w:pPr>
              <w:pStyle w:val="15"/>
              <w:keepNext w:val="0"/>
              <w:keepLines w:val="0"/>
              <w:pageBreakBefore w:val="0"/>
              <w:kinsoku/>
              <w:wordWrap/>
              <w:overflowPunct/>
              <w:topLinePunct w:val="0"/>
              <w:autoSpaceDE/>
              <w:autoSpaceDN/>
              <w:bidi w:val="0"/>
              <w:spacing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A网露出雪面的高度小于2.5m</w:t>
            </w:r>
            <w:r>
              <w:rPr>
                <w:rFonts w:hint="eastAsia" w:ascii="仿宋_GB2312" w:hAnsi="仿宋_GB2312" w:eastAsia="仿宋_GB2312" w:cs="仿宋_GB2312"/>
                <w:spacing w:val="0"/>
                <w:sz w:val="20"/>
                <w:szCs w:val="20"/>
                <w:highlight w:val="none"/>
                <w:lang w:eastAsia="zh-CN"/>
              </w:rPr>
              <w:t>，B网露出雪面高度小于2m</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D478BF8">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A网露出雪面的高度</w:t>
            </w:r>
            <w:r>
              <w:rPr>
                <w:rFonts w:hint="eastAsia" w:ascii="仿宋_GB2312" w:hAnsi="仿宋_GB2312" w:eastAsia="仿宋_GB2312" w:cs="仿宋_GB2312"/>
                <w:spacing w:val="0"/>
                <w:sz w:val="20"/>
                <w:szCs w:val="20"/>
                <w:highlight w:val="none"/>
                <w:shd w:val="clear" w:color="auto" w:fill="auto"/>
                <w:lang w:val="en-US" w:eastAsia="zh-CN"/>
              </w:rPr>
              <w:t>应不</w:t>
            </w:r>
            <w:r>
              <w:rPr>
                <w:rFonts w:hint="eastAsia" w:ascii="仿宋_GB2312" w:hAnsi="仿宋_GB2312" w:eastAsia="仿宋_GB2312" w:cs="仿宋_GB2312"/>
                <w:spacing w:val="0"/>
                <w:sz w:val="20"/>
                <w:szCs w:val="20"/>
                <w:highlight w:val="none"/>
                <w:shd w:val="clear" w:color="auto" w:fill="auto"/>
              </w:rPr>
              <w:t>小于2.5m</w:t>
            </w:r>
            <w:r>
              <w:rPr>
                <w:rFonts w:hint="eastAsia" w:ascii="仿宋_GB2312" w:hAnsi="仿宋_GB2312" w:eastAsia="仿宋_GB2312" w:cs="仿宋_GB2312"/>
                <w:spacing w:val="0"/>
                <w:sz w:val="20"/>
                <w:szCs w:val="20"/>
                <w:highlight w:val="none"/>
                <w:shd w:val="clear" w:color="auto" w:fill="auto"/>
                <w:lang w:eastAsia="zh-CN"/>
              </w:rPr>
              <w:t>，B网露出雪面高度</w:t>
            </w:r>
            <w:r>
              <w:rPr>
                <w:rFonts w:hint="eastAsia" w:ascii="仿宋_GB2312" w:hAnsi="仿宋_GB2312" w:eastAsia="仿宋_GB2312" w:cs="仿宋_GB2312"/>
                <w:spacing w:val="0"/>
                <w:sz w:val="20"/>
                <w:szCs w:val="20"/>
                <w:highlight w:val="none"/>
                <w:shd w:val="clear" w:color="auto" w:fill="auto"/>
                <w:lang w:val="en-US" w:eastAsia="zh-CN"/>
              </w:rPr>
              <w:t>应不低于</w:t>
            </w:r>
            <w:r>
              <w:rPr>
                <w:rFonts w:hint="eastAsia" w:ascii="仿宋_GB2312" w:hAnsi="仿宋_GB2312" w:eastAsia="仿宋_GB2312" w:cs="仿宋_GB2312"/>
                <w:spacing w:val="0"/>
                <w:sz w:val="20"/>
                <w:szCs w:val="20"/>
                <w:highlight w:val="none"/>
                <w:shd w:val="clear" w:color="auto" w:fill="auto"/>
                <w:lang w:eastAsia="zh-CN"/>
              </w:rPr>
              <w:t>2m</w:t>
            </w:r>
            <w:r>
              <w:rPr>
                <w:rFonts w:hint="eastAsia" w:ascii="仿宋_GB2312" w:hAnsi="仿宋_GB2312" w:eastAsia="仿宋_GB2312" w:cs="仿宋_GB2312"/>
                <w:spacing w:val="0"/>
                <w:sz w:val="20"/>
                <w:szCs w:val="20"/>
                <w:highlight w:val="none"/>
                <w:shd w:val="clear" w:color="auto" w:fill="auto"/>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F3EFA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GB/T 43701-2024《滑雪场地 滑雪道安全防护规范》第6.2.5、6.2.7条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1F956F6">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ACFA0C5">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8C47555">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02.2.01.027</w:t>
            </w:r>
          </w:p>
        </w:tc>
        <w:tc>
          <w:tcPr>
            <w:tcW w:w="769" w:type="dxa"/>
            <w:vMerge w:val="continue"/>
            <w:tcBorders>
              <w:left w:val="single" w:color="auto" w:sz="6" w:space="0"/>
              <w:right w:val="single" w:color="auto" w:sz="6" w:space="0"/>
            </w:tcBorders>
            <w:noWrap w:val="0"/>
            <w:tcMar>
              <w:left w:w="0" w:type="dxa"/>
              <w:right w:w="0" w:type="dxa"/>
            </w:tcMar>
            <w:vAlign w:val="center"/>
          </w:tcPr>
          <w:p w14:paraId="4696D7F7">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6EA499FA">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15E36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靠近滑雪道周围的设施或障碍物，未采用弹性软体物包裹，或未使用安全网进行隔离。</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B852DC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靠近雪道的设施、设备的外围及可能有危险的地方，应用厚度不小于0.3m的防护垫或者其他具备同等作用的弹性材料包裹，防护垫颜色应当醒目。</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D2AA755">
            <w:pPr>
              <w:pStyle w:val="15"/>
              <w:keepNext w:val="0"/>
              <w:keepLines w:val="0"/>
              <w:pageBreakBefore w:val="0"/>
              <w:kinsoku/>
              <w:wordWrap/>
              <w:overflowPunct/>
              <w:topLinePunct w:val="0"/>
              <w:autoSpaceDE/>
              <w:autoSpaceDN/>
              <w:bidi w:val="0"/>
              <w:spacing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《滑雪场地 滑雪道安全防护规范》GB/T 43701-2024第6.3.4条；DB11/T 875-2017《体育场所安全运营管理规范 滑雪场所》第5.3.3条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E59CD9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009FDB2">
        <w:trPr>
          <w:trHeight w:val="90" w:hRule="atLeast"/>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3B4378A">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02.2.01.028</w:t>
            </w:r>
          </w:p>
        </w:tc>
        <w:tc>
          <w:tcPr>
            <w:tcW w:w="769" w:type="dxa"/>
            <w:vMerge w:val="continue"/>
            <w:tcBorders>
              <w:left w:val="single" w:color="auto" w:sz="6" w:space="0"/>
              <w:right w:val="single" w:color="auto" w:sz="6" w:space="0"/>
            </w:tcBorders>
            <w:noWrap w:val="0"/>
            <w:tcMar>
              <w:left w:w="0" w:type="dxa"/>
              <w:right w:w="0" w:type="dxa"/>
            </w:tcMar>
            <w:vAlign w:val="center"/>
          </w:tcPr>
          <w:p w14:paraId="7F36CF12">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72F44C9F">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4C633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安全网</w:t>
            </w:r>
            <w:r>
              <w:rPr>
                <w:rFonts w:hint="eastAsia" w:ascii="仿宋_GB2312" w:hAnsi="仿宋_GB2312" w:eastAsia="仿宋_GB2312" w:cs="仿宋_GB2312"/>
                <w:spacing w:val="0"/>
                <w:sz w:val="20"/>
                <w:szCs w:val="20"/>
                <w:highlight w:val="none"/>
              </w:rPr>
              <w:t>立柱未采用具有弹性的软杆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立杆间距小于2米</w:t>
            </w:r>
            <w:r>
              <w:rPr>
                <w:rFonts w:hint="eastAsia" w:ascii="仿宋_GB2312" w:hAnsi="仿宋_GB2312" w:eastAsia="仿宋_GB2312" w:cs="仿宋_GB2312"/>
                <w:spacing w:val="0"/>
                <w:sz w:val="20"/>
                <w:szCs w:val="20"/>
                <w:highlight w:val="none"/>
              </w:rPr>
              <w:t>，相邻两网之间不能紧密相连。立柱下端埋入雪层的深度少于</w:t>
            </w:r>
            <w:r>
              <w:rPr>
                <w:rFonts w:hint="eastAsia" w:ascii="仿宋_GB2312" w:hAnsi="仿宋_GB2312" w:eastAsia="仿宋_GB2312" w:cs="仿宋_GB2312"/>
                <w:spacing w:val="0"/>
                <w:sz w:val="20"/>
                <w:szCs w:val="20"/>
                <w:highlight w:val="none"/>
                <w:lang w:val="en-US" w:eastAsia="zh-CN"/>
              </w:rPr>
              <w:t>0.3m</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FBA9C9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立柱应采用具有弹性的软杆，立杆间距为2m～5m，相邻两网之间紧密相连。网杆下端埋入雪层的深度不少于0.3m～0.4m。</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EFBC5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DB11/T 875-2017《体育场所安全运营管理规范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滑雪场所》第5.3.2条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1791E1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4185C40">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27B14E1">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02.2.02.029</w:t>
            </w:r>
          </w:p>
        </w:tc>
        <w:tc>
          <w:tcPr>
            <w:tcW w:w="769" w:type="dxa"/>
            <w:vMerge w:val="continue"/>
            <w:tcBorders>
              <w:left w:val="single" w:color="auto" w:sz="6" w:space="0"/>
              <w:right w:val="single" w:color="auto" w:sz="6" w:space="0"/>
            </w:tcBorders>
            <w:noWrap w:val="0"/>
            <w:tcMar>
              <w:left w:w="0" w:type="dxa"/>
              <w:right w:w="0" w:type="dxa"/>
            </w:tcMar>
            <w:vAlign w:val="center"/>
          </w:tcPr>
          <w:p w14:paraId="7B3A9842">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56D85E31">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辅助系统设备设施类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F62EF6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w:t>
            </w:r>
            <w:r>
              <w:rPr>
                <w:rFonts w:hint="eastAsia" w:ascii="仿宋_GB2312" w:hAnsi="仿宋_GB2312" w:eastAsia="仿宋_GB2312" w:cs="仿宋_GB2312"/>
                <w:spacing w:val="0"/>
                <w:sz w:val="20"/>
                <w:szCs w:val="20"/>
                <w:highlight w:val="none"/>
                <w:lang w:val="en-US" w:eastAsia="zh-CN"/>
              </w:rPr>
              <w:t>未设置急救室，未配备</w:t>
            </w:r>
            <w:r>
              <w:rPr>
                <w:rFonts w:hint="eastAsia" w:ascii="仿宋_GB2312" w:hAnsi="仿宋_GB2312" w:eastAsia="仿宋_GB2312" w:cs="仿宋_GB2312"/>
                <w:spacing w:val="0"/>
                <w:sz w:val="20"/>
                <w:szCs w:val="20"/>
                <w:highlight w:val="none"/>
              </w:rPr>
              <w:t>专用急救</w:t>
            </w:r>
            <w:r>
              <w:rPr>
                <w:rFonts w:hint="eastAsia" w:ascii="仿宋_GB2312" w:hAnsi="仿宋_GB2312" w:eastAsia="仿宋_GB2312" w:cs="仿宋_GB2312"/>
                <w:spacing w:val="0"/>
                <w:sz w:val="20"/>
                <w:szCs w:val="20"/>
                <w:highlight w:val="none"/>
                <w:lang w:val="en-US" w:eastAsia="zh-CN"/>
              </w:rPr>
              <w:t>器材，未设置救护人员。</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518097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w:t>
            </w:r>
            <w:r>
              <w:rPr>
                <w:rFonts w:hint="eastAsia" w:ascii="仿宋_GB2312" w:hAnsi="仿宋_GB2312" w:eastAsia="仿宋_GB2312" w:cs="仿宋_GB2312"/>
                <w:spacing w:val="0"/>
                <w:sz w:val="20"/>
                <w:szCs w:val="20"/>
                <w:highlight w:val="none"/>
                <w:lang w:val="en-US" w:eastAsia="zh-CN"/>
              </w:rPr>
              <w:t>应设置</w:t>
            </w:r>
            <w:r>
              <w:rPr>
                <w:rFonts w:hint="eastAsia" w:ascii="仿宋_GB2312" w:hAnsi="仿宋_GB2312" w:eastAsia="仿宋_GB2312" w:cs="仿宋_GB2312"/>
                <w:spacing w:val="0"/>
                <w:sz w:val="20"/>
                <w:szCs w:val="20"/>
                <w:highlight w:val="none"/>
              </w:rPr>
              <w:t>专人值守的</w:t>
            </w:r>
            <w:r>
              <w:rPr>
                <w:rFonts w:hint="eastAsia" w:ascii="仿宋_GB2312" w:hAnsi="仿宋_GB2312" w:eastAsia="仿宋_GB2312" w:cs="仿宋_GB2312"/>
                <w:spacing w:val="0"/>
                <w:sz w:val="20"/>
                <w:szCs w:val="20"/>
                <w:highlight w:val="none"/>
                <w:lang w:val="en-US" w:eastAsia="zh-CN"/>
              </w:rPr>
              <w:t>急救室</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并</w:t>
            </w:r>
            <w:r>
              <w:rPr>
                <w:rFonts w:hint="eastAsia" w:ascii="仿宋_GB2312" w:hAnsi="仿宋_GB2312" w:eastAsia="仿宋_GB2312" w:cs="仿宋_GB2312"/>
                <w:spacing w:val="0"/>
                <w:sz w:val="20"/>
                <w:szCs w:val="20"/>
                <w:highlight w:val="none"/>
              </w:rPr>
              <w:t>配置雪地救援担架、急救箱等专用急救设备和急救药品</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设置救护人员。</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3170DF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 19079.6-2013第5.</w:t>
            </w:r>
            <w:r>
              <w:rPr>
                <w:rFonts w:hint="eastAsia" w:ascii="仿宋_GB2312" w:hAnsi="仿宋_GB2312" w:eastAsia="仿宋_GB2312" w:cs="仿宋_GB2312"/>
                <w:spacing w:val="0"/>
                <w:sz w:val="20"/>
                <w:szCs w:val="20"/>
                <w:highlight w:val="none"/>
                <w:lang w:val="en-US" w:eastAsia="zh-CN"/>
              </w:rPr>
              <w:t>2.4、7.5</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；《体育行业安全生产重大事故隐患判定标准（2025版）》第四条</w:t>
            </w:r>
            <w:r>
              <w:rPr>
                <w:rFonts w:hint="eastAsia" w:ascii="仿宋_GB2312" w:hAnsi="仿宋_GB2312" w:eastAsia="仿宋_GB2312" w:cs="仿宋_GB2312"/>
                <w:spacing w:val="0"/>
                <w:sz w:val="20"/>
                <w:szCs w:val="20"/>
                <w:highlight w:val="none"/>
                <w:lang w:val="en-US" w:eastAsia="zh-CN"/>
              </w:rPr>
              <w:t>第五款</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C95901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p>
        </w:tc>
      </w:tr>
      <w:tr w14:paraId="568FD55B">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0E85150">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02.2.02.030</w:t>
            </w:r>
          </w:p>
        </w:tc>
        <w:tc>
          <w:tcPr>
            <w:tcW w:w="769" w:type="dxa"/>
            <w:vMerge w:val="continue"/>
            <w:tcBorders>
              <w:left w:val="single" w:color="auto" w:sz="6" w:space="0"/>
              <w:right w:val="single" w:color="auto" w:sz="6" w:space="0"/>
            </w:tcBorders>
            <w:noWrap w:val="0"/>
            <w:tcMar>
              <w:left w:w="0" w:type="dxa"/>
              <w:right w:w="0" w:type="dxa"/>
            </w:tcMar>
            <w:vAlign w:val="center"/>
          </w:tcPr>
          <w:p w14:paraId="7A24BE47">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5F32067F">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2BC92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室内滑雪场压缩式制冷机组的安全装置与保护装置存在缺失或未定期校验。</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008849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室内滑雪场压缩式制冷机组的安全阀、压力表、温度计、液压计等装置，及高低压保护、低温防冻保护、电机过流保护、排气温度保护、油压差保护等安全保护装置应齐全，并应定期校验。</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DEB2B8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《空调通风系统运行管理标准》GB 50365-2019第4.2.15条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2489C7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B3B82A8">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D55C2E6">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02.2.02.031</w:t>
            </w:r>
          </w:p>
        </w:tc>
        <w:tc>
          <w:tcPr>
            <w:tcW w:w="769" w:type="dxa"/>
            <w:vMerge w:val="continue"/>
            <w:tcBorders>
              <w:left w:val="single" w:color="auto" w:sz="6" w:space="0"/>
              <w:right w:val="single" w:color="auto" w:sz="6" w:space="0"/>
            </w:tcBorders>
            <w:noWrap w:val="0"/>
            <w:tcMar>
              <w:left w:w="0" w:type="dxa"/>
              <w:right w:w="0" w:type="dxa"/>
            </w:tcMar>
            <w:vAlign w:val="center"/>
          </w:tcPr>
          <w:p w14:paraId="61A5137E">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33F98334">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5A7958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未设置</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rPr>
              <w:t>广播系统</w:t>
            </w:r>
            <w:r>
              <w:rPr>
                <w:rFonts w:hint="eastAsia" w:ascii="仿宋_GB2312" w:hAnsi="仿宋_GB2312" w:eastAsia="仿宋_GB2312" w:cs="仿宋_GB2312"/>
                <w:spacing w:val="0"/>
                <w:sz w:val="20"/>
                <w:szCs w:val="20"/>
                <w:highlight w:val="none"/>
                <w:lang w:eastAsia="zh-CN"/>
              </w:rPr>
              <w:t>，有关负责人不会使用</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lang w:eastAsia="zh-CN"/>
              </w:rPr>
              <w:t>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239006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应设置能够覆盖全部营业区域的应急广播，并能够使用中英文两种语言播放</w:t>
            </w:r>
            <w:r>
              <w:rPr>
                <w:rFonts w:hint="eastAsia" w:ascii="仿宋_GB2312" w:hAnsi="仿宋_GB2312" w:eastAsia="仿宋_GB2312" w:cs="仿宋_GB2312"/>
                <w:spacing w:val="0"/>
                <w:sz w:val="20"/>
                <w:szCs w:val="20"/>
                <w:highlight w:val="none"/>
                <w:lang w:eastAsia="zh-CN"/>
              </w:rPr>
              <w:t>，有关负责人</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lang w:eastAsia="zh-CN"/>
              </w:rPr>
              <w:t>会使用广播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E7BA8A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《北京市体育运动项目经营单位安全生产规定》第三十一条</w:t>
            </w:r>
            <w:r>
              <w:rPr>
                <w:rFonts w:hint="eastAsia" w:ascii="仿宋_GB2312" w:hAnsi="仿宋_GB2312" w:eastAsia="仿宋_GB2312" w:cs="仿宋_GB2312"/>
                <w:spacing w:val="0"/>
                <w:sz w:val="20"/>
                <w:szCs w:val="20"/>
                <w:highlight w:val="none"/>
                <w:lang w:eastAsia="zh-CN"/>
              </w:rPr>
              <w:t>；《北京市安全生产条例》第三十四条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A46409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1FAEBE9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EF9DA7F">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02.2.03.032</w:t>
            </w:r>
          </w:p>
        </w:tc>
        <w:tc>
          <w:tcPr>
            <w:tcW w:w="769" w:type="dxa"/>
            <w:vMerge w:val="continue"/>
            <w:tcBorders>
              <w:left w:val="single" w:color="auto" w:sz="6" w:space="0"/>
              <w:right w:val="single" w:color="auto" w:sz="6" w:space="0"/>
            </w:tcBorders>
            <w:noWrap w:val="0"/>
            <w:tcMar>
              <w:left w:w="0" w:type="dxa"/>
              <w:right w:w="0" w:type="dxa"/>
            </w:tcMar>
            <w:vAlign w:val="center"/>
          </w:tcPr>
          <w:p w14:paraId="0761B7D6">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left w:val="single" w:color="auto" w:sz="6" w:space="0"/>
              <w:right w:val="single" w:color="auto" w:sz="6" w:space="0"/>
            </w:tcBorders>
            <w:noWrap w:val="0"/>
            <w:tcMar>
              <w:left w:w="0" w:type="dxa"/>
              <w:right w:w="0" w:type="dxa"/>
            </w:tcMar>
            <w:vAlign w:val="center"/>
          </w:tcPr>
          <w:p w14:paraId="413B5A5F">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消防设施类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447FE6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消火栓被埋压、圈占、遮挡</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A117BC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i w:val="0"/>
                <w:iCs w:val="0"/>
                <w:caps w:val="0"/>
                <w:spacing w:val="0"/>
                <w:sz w:val="20"/>
                <w:szCs w:val="20"/>
                <w:highlight w:val="none"/>
                <w:shd w:val="clear" w:color="auto" w:fill="FFFFFF"/>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r>
              <w:rPr>
                <w:rFonts w:hint="eastAsia" w:ascii="仿宋_GB2312" w:hAnsi="仿宋_GB2312" w:eastAsia="仿宋_GB2312" w:cs="仿宋_GB2312"/>
                <w:i w:val="0"/>
                <w:iCs w:val="0"/>
                <w:caps w:val="0"/>
                <w:spacing w:val="0"/>
                <w:sz w:val="20"/>
                <w:szCs w:val="20"/>
                <w:highlight w:val="none"/>
                <w:shd w:val="clear" w:color="auto" w:fill="FFFFFF"/>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956DAD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《中华人民共和国消防法》第二十八条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133EB0B">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4839EE92">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E25F2F1">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02.2.03.033</w:t>
            </w:r>
          </w:p>
        </w:tc>
        <w:tc>
          <w:tcPr>
            <w:tcW w:w="769" w:type="dxa"/>
            <w:vMerge w:val="continue"/>
            <w:tcBorders>
              <w:left w:val="single" w:color="auto" w:sz="6" w:space="0"/>
              <w:right w:val="single" w:color="auto" w:sz="6" w:space="0"/>
            </w:tcBorders>
            <w:noWrap w:val="0"/>
            <w:tcMar>
              <w:left w:w="0" w:type="dxa"/>
              <w:right w:w="0" w:type="dxa"/>
            </w:tcMar>
            <w:vAlign w:val="center"/>
          </w:tcPr>
          <w:p w14:paraId="5C0AB684">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3D5073A9">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B8AAD8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灭火器软管损坏、筒体明显锈蚀；灭火器压力不符合标准，压力指针不在压力表绿区范围内</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6BAB29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单位应</w:t>
            </w:r>
            <w:r>
              <w:rPr>
                <w:rFonts w:hint="eastAsia" w:ascii="仿宋_GB2312" w:hAnsi="仿宋_GB2312" w:eastAsia="仿宋_GB2312" w:cs="仿宋_GB2312"/>
                <w:spacing w:val="0"/>
                <w:sz w:val="20"/>
                <w:szCs w:val="20"/>
                <w:highlight w:val="none"/>
              </w:rPr>
              <w:t>按照国家标准、行业标准配置消防设施、器材，设置消防安全标志，并定期组织检验、维修，确保完好有效</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178543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《中华人民共和国消防法》第十六条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FAFE2F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1EC1C366">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77056E8">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02.2.03.034</w:t>
            </w:r>
          </w:p>
        </w:tc>
        <w:tc>
          <w:tcPr>
            <w:tcW w:w="769" w:type="dxa"/>
            <w:vMerge w:val="continue"/>
            <w:tcBorders>
              <w:left w:val="single" w:color="auto" w:sz="6" w:space="0"/>
              <w:right w:val="single" w:color="auto" w:sz="6" w:space="0"/>
            </w:tcBorders>
            <w:noWrap w:val="0"/>
            <w:tcMar>
              <w:left w:w="0" w:type="dxa"/>
              <w:right w:w="0" w:type="dxa"/>
            </w:tcMar>
            <w:vAlign w:val="center"/>
          </w:tcPr>
          <w:p w14:paraId="712AA07D">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67FB45DB">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FEBF8A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自动喷水灭火系统或火灾自动报警系统，未保持正常使用或运行的</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BCBF4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单位应</w:t>
            </w:r>
            <w:r>
              <w:rPr>
                <w:rFonts w:hint="eastAsia" w:ascii="仿宋_GB2312" w:hAnsi="仿宋_GB2312" w:eastAsia="仿宋_GB2312" w:cs="仿宋_GB2312"/>
                <w:spacing w:val="0"/>
                <w:sz w:val="20"/>
                <w:szCs w:val="20"/>
                <w:highlight w:val="none"/>
              </w:rPr>
              <w:t>按照国家标准、行业标准配置消防设施、器材，设置消防安全标志，并定期组织检验、维修，确保完好有效</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0AF228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《中华人民共和国消防法》第十六条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1F12856">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08652BA">
        <w:trPr>
          <w:trHeight w:val="942" w:hRule="atLeast"/>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C44C1B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02.2.04.035</w:t>
            </w:r>
          </w:p>
        </w:tc>
        <w:tc>
          <w:tcPr>
            <w:tcW w:w="769" w:type="dxa"/>
            <w:vMerge w:val="continue"/>
            <w:tcBorders>
              <w:left w:val="single" w:color="auto" w:sz="6" w:space="0"/>
              <w:right w:val="single" w:color="auto" w:sz="6" w:space="0"/>
            </w:tcBorders>
            <w:noWrap w:val="0"/>
            <w:tcMar>
              <w:left w:w="0" w:type="dxa"/>
              <w:right w:w="0" w:type="dxa"/>
            </w:tcMar>
            <w:vAlign w:val="center"/>
          </w:tcPr>
          <w:p w14:paraId="117C7FF5">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207997CC">
            <w:pPr>
              <w:pStyle w:val="15"/>
              <w:adjustRightInd w:val="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特种设备类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248504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特种设备未按规定的周期进行检验。</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27A832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在检验合格有效期届满前一个月</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向特种设备检验机构提出定期检验要求</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并</w:t>
            </w:r>
            <w:r>
              <w:rPr>
                <w:rFonts w:hint="eastAsia" w:ascii="仿宋_GB2312" w:hAnsi="仿宋_GB2312" w:eastAsia="仿宋_GB2312" w:cs="仿宋_GB2312"/>
                <w:spacing w:val="0"/>
                <w:sz w:val="20"/>
                <w:szCs w:val="20"/>
                <w:highlight w:val="none"/>
              </w:rPr>
              <w:t>将定期检验标志置于该特种设备的显著位置。</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91EDAD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《中华人民共和国特种设备安全法》第</w:t>
            </w:r>
            <w:r>
              <w:rPr>
                <w:rFonts w:hint="eastAsia" w:ascii="仿宋_GB2312" w:hAnsi="仿宋_GB2312" w:eastAsia="仿宋_GB2312" w:cs="仿宋_GB2312"/>
                <w:color w:val="000000"/>
                <w:spacing w:val="0"/>
                <w:kern w:val="0"/>
                <w:sz w:val="20"/>
                <w:szCs w:val="20"/>
                <w:highlight w:val="none"/>
                <w:lang w:val="en-US" w:eastAsia="zh-CN"/>
              </w:rPr>
              <w:t>四十</w:t>
            </w:r>
            <w:r>
              <w:rPr>
                <w:rFonts w:hint="eastAsia" w:ascii="仿宋_GB2312" w:hAnsi="仿宋_GB2312" w:eastAsia="仿宋_GB2312" w:cs="仿宋_GB2312"/>
                <w:color w:val="000000"/>
                <w:spacing w:val="0"/>
                <w:kern w:val="0"/>
                <w:sz w:val="20"/>
                <w:szCs w:val="20"/>
                <w:highlight w:val="none"/>
              </w:rPr>
              <w:t>条</w:t>
            </w:r>
            <w:r>
              <w:rPr>
                <w:rFonts w:hint="eastAsia" w:ascii="仿宋_GB2312" w:hAnsi="仿宋_GB2312" w:eastAsia="仿宋_GB2312" w:cs="仿宋_GB2312"/>
                <w:color w:val="000000"/>
                <w:spacing w:val="0"/>
                <w:kern w:val="0"/>
                <w:sz w:val="20"/>
                <w:szCs w:val="20"/>
                <w:highlight w:val="none"/>
                <w:lang w:eastAsia="zh-CN"/>
              </w:rPr>
              <w:t>；《特种设备</w:t>
            </w:r>
            <w:r>
              <w:rPr>
                <w:rFonts w:hint="eastAsia" w:ascii="仿宋_GB2312" w:hAnsi="仿宋_GB2312" w:eastAsia="仿宋_GB2312" w:cs="仿宋_GB2312"/>
                <w:color w:val="000000"/>
                <w:spacing w:val="0"/>
                <w:kern w:val="0"/>
                <w:sz w:val="20"/>
                <w:szCs w:val="20"/>
                <w:highlight w:val="none"/>
                <w:lang w:val="en-US" w:eastAsia="zh-CN"/>
              </w:rPr>
              <w:t>重大</w:t>
            </w:r>
            <w:r>
              <w:rPr>
                <w:rFonts w:hint="eastAsia" w:ascii="仿宋_GB2312" w:hAnsi="仿宋_GB2312" w:eastAsia="仿宋_GB2312" w:cs="仿宋_GB2312"/>
                <w:color w:val="000000"/>
                <w:spacing w:val="0"/>
                <w:kern w:val="0"/>
                <w:sz w:val="20"/>
                <w:szCs w:val="20"/>
                <w:highlight w:val="none"/>
                <w:lang w:eastAsia="zh-CN"/>
              </w:rPr>
              <w:t>事故隐患</w:t>
            </w:r>
            <w:r>
              <w:rPr>
                <w:rFonts w:hint="eastAsia" w:ascii="仿宋_GB2312" w:hAnsi="仿宋_GB2312" w:eastAsia="仿宋_GB2312" w:cs="仿宋_GB2312"/>
                <w:color w:val="000000"/>
                <w:spacing w:val="0"/>
                <w:kern w:val="0"/>
                <w:sz w:val="20"/>
                <w:szCs w:val="20"/>
                <w:highlight w:val="none"/>
                <w:lang w:val="en-US" w:eastAsia="zh-CN"/>
              </w:rPr>
              <w:t>判定准则</w:t>
            </w:r>
            <w:r>
              <w:rPr>
                <w:rFonts w:hint="eastAsia" w:ascii="仿宋_GB2312" w:hAnsi="仿宋_GB2312" w:eastAsia="仿宋_GB2312" w:cs="仿宋_GB2312"/>
                <w:color w:val="000000"/>
                <w:spacing w:val="0"/>
                <w:kern w:val="0"/>
                <w:sz w:val="20"/>
                <w:szCs w:val="20"/>
                <w:highlight w:val="none"/>
                <w:lang w:eastAsia="zh-CN"/>
              </w:rPr>
              <w:t>》GB 45067-2024</w:t>
            </w:r>
            <w:r>
              <w:rPr>
                <w:rFonts w:hint="eastAsia" w:ascii="仿宋_GB2312" w:hAnsi="仿宋_GB2312" w:eastAsia="仿宋_GB2312" w:cs="仿宋_GB2312"/>
                <w:color w:val="000000"/>
                <w:spacing w:val="0"/>
                <w:kern w:val="0"/>
                <w:sz w:val="20"/>
                <w:szCs w:val="20"/>
                <w:highlight w:val="none"/>
                <w:lang w:val="en-US" w:eastAsia="zh-CN"/>
              </w:rPr>
              <w:t>第4.1条；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4FE9D7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p>
        </w:tc>
      </w:tr>
      <w:tr w14:paraId="3DE9A2DC">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93E2B8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02.2.04.036</w:t>
            </w:r>
          </w:p>
        </w:tc>
        <w:tc>
          <w:tcPr>
            <w:tcW w:w="769" w:type="dxa"/>
            <w:vMerge w:val="continue"/>
            <w:tcBorders>
              <w:left w:val="single" w:color="auto" w:sz="6" w:space="0"/>
              <w:right w:val="single" w:color="auto" w:sz="6" w:space="0"/>
            </w:tcBorders>
            <w:noWrap w:val="0"/>
            <w:tcMar>
              <w:left w:w="0" w:type="dxa"/>
              <w:right w:w="0" w:type="dxa"/>
            </w:tcMar>
            <w:vAlign w:val="center"/>
          </w:tcPr>
          <w:p w14:paraId="1E4B2D7A">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32ADCF9C">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5E75C8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索道在每日投入使用前，</w:t>
            </w:r>
            <w:r>
              <w:rPr>
                <w:rFonts w:hint="eastAsia" w:ascii="仿宋_GB2312" w:hAnsi="仿宋_GB2312" w:eastAsia="仿宋_GB2312" w:cs="仿宋_GB2312"/>
                <w:spacing w:val="0"/>
                <w:sz w:val="20"/>
                <w:szCs w:val="20"/>
                <w:highlight w:val="none"/>
                <w:lang w:val="en-US" w:eastAsia="zh-CN"/>
              </w:rPr>
              <w:t>未</w:t>
            </w:r>
            <w:r>
              <w:rPr>
                <w:rFonts w:hint="eastAsia" w:ascii="仿宋_GB2312" w:hAnsi="仿宋_GB2312" w:eastAsia="仿宋_GB2312" w:cs="仿宋_GB2312"/>
                <w:spacing w:val="0"/>
                <w:sz w:val="20"/>
                <w:szCs w:val="20"/>
                <w:highlight w:val="none"/>
              </w:rPr>
              <w:t>进行试运行和例行安全检查，</w:t>
            </w:r>
            <w:r>
              <w:rPr>
                <w:rFonts w:hint="eastAsia" w:ascii="仿宋_GB2312" w:hAnsi="仿宋_GB2312" w:eastAsia="仿宋_GB2312" w:cs="仿宋_GB2312"/>
                <w:spacing w:val="0"/>
                <w:sz w:val="20"/>
                <w:szCs w:val="20"/>
                <w:highlight w:val="none"/>
                <w:lang w:val="en-US" w:eastAsia="zh-CN"/>
              </w:rPr>
              <w:t>未</w:t>
            </w:r>
            <w:r>
              <w:rPr>
                <w:rFonts w:hint="eastAsia" w:ascii="仿宋_GB2312" w:hAnsi="仿宋_GB2312" w:eastAsia="仿宋_GB2312" w:cs="仿宋_GB2312"/>
                <w:spacing w:val="0"/>
                <w:sz w:val="20"/>
                <w:szCs w:val="20"/>
                <w:highlight w:val="none"/>
              </w:rPr>
              <w:t>对安全附件和安全保护装置进行检查确认。</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C4CCF7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客运索道在每日投入使用前，应进行试运行和例行安全检查，并对安全附件和安全保护装置进行检查确认。</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3516D7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《中华人民共和国特种设备安全法》第</w:t>
            </w:r>
            <w:r>
              <w:rPr>
                <w:rFonts w:hint="eastAsia" w:ascii="仿宋_GB2312" w:hAnsi="仿宋_GB2312" w:eastAsia="仿宋_GB2312" w:cs="仿宋_GB2312"/>
                <w:color w:val="000000"/>
                <w:spacing w:val="0"/>
                <w:kern w:val="0"/>
                <w:sz w:val="20"/>
                <w:szCs w:val="20"/>
                <w:highlight w:val="none"/>
                <w:lang w:val="en-US" w:eastAsia="zh-CN"/>
              </w:rPr>
              <w:t>四十三</w:t>
            </w:r>
            <w:r>
              <w:rPr>
                <w:rFonts w:hint="eastAsia" w:ascii="仿宋_GB2312" w:hAnsi="仿宋_GB2312" w:eastAsia="仿宋_GB2312" w:cs="仿宋_GB2312"/>
                <w:color w:val="000000"/>
                <w:spacing w:val="0"/>
                <w:kern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62A971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61A3DD3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9487F1B">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color w:val="000000"/>
                <w:kern w:val="2"/>
                <w:sz w:val="20"/>
                <w:szCs w:val="20"/>
                <w:highlight w:val="none"/>
                <w:lang w:val="en-US" w:eastAsia="zh-CN" w:bidi="mn-Mong-CN"/>
              </w:rPr>
              <w:t>02.2.04.037</w:t>
            </w:r>
          </w:p>
        </w:tc>
        <w:tc>
          <w:tcPr>
            <w:tcW w:w="769" w:type="dxa"/>
            <w:vMerge w:val="continue"/>
            <w:tcBorders>
              <w:left w:val="single" w:color="auto" w:sz="6" w:space="0"/>
              <w:right w:val="single" w:color="auto" w:sz="6" w:space="0"/>
            </w:tcBorders>
            <w:noWrap w:val="0"/>
            <w:tcMar>
              <w:left w:w="0" w:type="dxa"/>
              <w:right w:w="0" w:type="dxa"/>
            </w:tcMar>
            <w:vAlign w:val="center"/>
          </w:tcPr>
          <w:p w14:paraId="6ABFAC22">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39DB3A95">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AFDD63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未将电梯、索道安全使用说明、安全注意事项和安全警示标志置于醒目位置。</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FEAED6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val="en-US" w:eastAsia="zh-CN" w:bidi="mn-Mong-CN"/>
              </w:rPr>
              <w:t>应将电梯、索道安全使用说明、安全注意事项和警示标志置于易于为乘客注意的显著位置。</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A51F5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rPr>
            </w:pPr>
            <w:r>
              <w:rPr>
                <w:rFonts w:hint="eastAsia" w:ascii="仿宋_GB2312" w:hAnsi="仿宋_GB2312" w:eastAsia="仿宋_GB2312" w:cs="仿宋_GB2312"/>
                <w:color w:val="000000"/>
                <w:spacing w:val="0"/>
                <w:kern w:val="0"/>
                <w:sz w:val="20"/>
                <w:szCs w:val="20"/>
                <w:highlight w:val="none"/>
              </w:rPr>
              <w:t>《中华人民共和国特种设备安全法》第四十三条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E703F2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31A60EB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537105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02.2.05.038</w:t>
            </w:r>
          </w:p>
        </w:tc>
        <w:tc>
          <w:tcPr>
            <w:tcW w:w="769" w:type="dxa"/>
            <w:vMerge w:val="continue"/>
            <w:tcBorders>
              <w:left w:val="single" w:color="auto" w:sz="6" w:space="0"/>
              <w:right w:val="single" w:color="auto" w:sz="6" w:space="0"/>
            </w:tcBorders>
            <w:noWrap w:val="0"/>
            <w:tcMar>
              <w:left w:w="0" w:type="dxa"/>
              <w:right w:w="0" w:type="dxa"/>
            </w:tcMar>
            <w:vAlign w:val="center"/>
          </w:tcPr>
          <w:p w14:paraId="6010DC58">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43995A53">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用电安全类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99444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线路裸露，出入配电箱（柜）未采取防止电缆损伤的措施。</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0FBA12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线路接头不得裸露，出入配电箱（柜）应采取防止电缆损伤的措施。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7FFAB6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第8.7.9条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3FA858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2EA6FC79">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E222791">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02.2.05.039</w:t>
            </w:r>
          </w:p>
        </w:tc>
        <w:tc>
          <w:tcPr>
            <w:tcW w:w="769" w:type="dxa"/>
            <w:vMerge w:val="continue"/>
            <w:tcBorders>
              <w:left w:val="single" w:color="auto" w:sz="6" w:space="0"/>
              <w:right w:val="single" w:color="auto" w:sz="6" w:space="0"/>
            </w:tcBorders>
            <w:noWrap w:val="0"/>
            <w:tcMar>
              <w:left w:w="0" w:type="dxa"/>
              <w:right w:w="0" w:type="dxa"/>
            </w:tcMar>
            <w:vAlign w:val="center"/>
          </w:tcPr>
          <w:p w14:paraId="5DFBAA29">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1642AEC8">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45D4C5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配电箱（柜）周边0.3m内有可燃物，箱（柜）体内和下方搁置和堆放可燃物。</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2F4FA5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配电箱（柜）体内和</w:t>
            </w:r>
            <w:r>
              <w:rPr>
                <w:rFonts w:hint="eastAsia" w:ascii="仿宋_GB2312" w:hAnsi="仿宋_GB2312" w:eastAsia="仿宋_GB2312" w:cs="仿宋_GB2312"/>
                <w:spacing w:val="0"/>
                <w:sz w:val="20"/>
                <w:szCs w:val="20"/>
                <w:highlight w:val="none"/>
                <w:shd w:val="clear" w:color="auto" w:fill="auto"/>
                <w:lang w:val="en-US" w:eastAsia="zh-CN"/>
              </w:rPr>
              <w:t>周围0.3m范围内不应</w:t>
            </w:r>
            <w:r>
              <w:rPr>
                <w:rFonts w:hint="eastAsia" w:ascii="仿宋_GB2312" w:hAnsi="仿宋_GB2312" w:eastAsia="仿宋_GB2312" w:cs="仿宋_GB2312"/>
                <w:spacing w:val="0"/>
                <w:sz w:val="20"/>
                <w:szCs w:val="20"/>
                <w:highlight w:val="none"/>
                <w:shd w:val="clear" w:color="auto" w:fill="auto"/>
              </w:rPr>
              <w:t>搁置和堆放</w:t>
            </w:r>
            <w:r>
              <w:rPr>
                <w:rFonts w:hint="eastAsia" w:ascii="仿宋_GB2312" w:hAnsi="仿宋_GB2312" w:eastAsia="仿宋_GB2312" w:cs="仿宋_GB2312"/>
                <w:spacing w:val="0"/>
                <w:sz w:val="20"/>
                <w:szCs w:val="20"/>
                <w:highlight w:val="none"/>
                <w:shd w:val="clear" w:color="auto" w:fill="auto"/>
                <w:lang w:eastAsia="zh-CN"/>
              </w:rPr>
              <w:t>可燃物。</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CCBEE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z w:val="20"/>
                <w:szCs w:val="20"/>
                <w:highlight w:val="none"/>
                <w:lang w:eastAsia="zh-CN"/>
              </w:rPr>
              <w:t>DB11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T</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lang w:eastAsia="zh-CN"/>
              </w:rPr>
              <w:t>065-2022《电气防火检测技术规范》</w:t>
            </w:r>
            <w:r>
              <w:rPr>
                <w:rFonts w:hint="eastAsia" w:ascii="仿宋_GB2312" w:hAnsi="仿宋_GB2312" w:eastAsia="仿宋_GB2312" w:cs="仿宋_GB2312"/>
                <w:sz w:val="20"/>
                <w:szCs w:val="20"/>
                <w:highlight w:val="none"/>
                <w:lang w:val="en-US" w:eastAsia="zh-CN"/>
              </w:rPr>
              <w:t>附录B.2</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240C53A">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5E9C90E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8241064">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02.2.05.040</w:t>
            </w:r>
          </w:p>
        </w:tc>
        <w:tc>
          <w:tcPr>
            <w:tcW w:w="769" w:type="dxa"/>
            <w:vMerge w:val="continue"/>
            <w:tcBorders>
              <w:left w:val="single" w:color="auto" w:sz="6" w:space="0"/>
              <w:right w:val="single" w:color="auto" w:sz="6" w:space="0"/>
            </w:tcBorders>
            <w:noWrap w:val="0"/>
            <w:tcMar>
              <w:left w:w="0" w:type="dxa"/>
              <w:right w:w="0" w:type="dxa"/>
            </w:tcMar>
            <w:vAlign w:val="center"/>
          </w:tcPr>
          <w:p w14:paraId="39B9DAA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right w:val="single" w:color="auto" w:sz="6" w:space="0"/>
            </w:tcBorders>
            <w:noWrap w:val="0"/>
            <w:tcMar>
              <w:left w:w="0" w:type="dxa"/>
              <w:right w:w="0" w:type="dxa"/>
            </w:tcMar>
            <w:vAlign w:val="center"/>
          </w:tcPr>
          <w:p w14:paraId="2E0BC1AB">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C95AFA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未</w:t>
            </w:r>
            <w:r>
              <w:rPr>
                <w:rFonts w:hint="eastAsia" w:ascii="仿宋_GB2312" w:hAnsi="仿宋_GB2312" w:eastAsia="仿宋_GB2312" w:cs="仿宋_GB2312"/>
                <w:color w:val="000000"/>
                <w:spacing w:val="0"/>
                <w:kern w:val="0"/>
                <w:sz w:val="20"/>
                <w:szCs w:val="20"/>
                <w:highlight w:val="none"/>
                <w:lang w:bidi="ar"/>
              </w:rPr>
              <w:t>标识所控对象的名称，</w:t>
            </w:r>
            <w:r>
              <w:rPr>
                <w:rFonts w:hint="eastAsia" w:ascii="仿宋_GB2312" w:hAnsi="仿宋_GB2312" w:eastAsia="仿宋_GB2312" w:cs="仿宋_GB2312"/>
                <w:color w:val="000000"/>
                <w:spacing w:val="0"/>
                <w:kern w:val="0"/>
                <w:sz w:val="20"/>
                <w:szCs w:val="20"/>
                <w:highlight w:val="none"/>
                <w:lang w:val="en-US" w:eastAsia="zh-CN" w:bidi="ar"/>
              </w:rPr>
              <w:t>或</w:t>
            </w:r>
            <w:r>
              <w:rPr>
                <w:rFonts w:hint="eastAsia" w:ascii="仿宋_GB2312" w:hAnsi="仿宋_GB2312" w:eastAsia="仿宋_GB2312" w:cs="仿宋_GB2312"/>
                <w:color w:val="000000"/>
                <w:spacing w:val="0"/>
                <w:kern w:val="0"/>
                <w:sz w:val="20"/>
                <w:szCs w:val="20"/>
                <w:highlight w:val="none"/>
                <w:lang w:bidi="ar"/>
              </w:rPr>
              <w:t>与实际</w:t>
            </w:r>
            <w:r>
              <w:rPr>
                <w:rFonts w:hint="eastAsia" w:ascii="仿宋_GB2312" w:hAnsi="仿宋_GB2312" w:eastAsia="仿宋_GB2312" w:cs="仿宋_GB2312"/>
                <w:color w:val="000000"/>
                <w:spacing w:val="0"/>
                <w:kern w:val="0"/>
                <w:sz w:val="20"/>
                <w:szCs w:val="20"/>
                <w:highlight w:val="none"/>
                <w:lang w:val="en-US" w:eastAsia="zh-CN" w:bidi="ar"/>
              </w:rPr>
              <w:t>不</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箱门门锁失效。</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82C8C5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应按回路用途</w:t>
            </w:r>
            <w:r>
              <w:rPr>
                <w:rFonts w:hint="eastAsia" w:ascii="仿宋_GB2312" w:hAnsi="仿宋_GB2312" w:eastAsia="仿宋_GB2312" w:cs="仿宋_GB2312"/>
                <w:color w:val="000000"/>
                <w:spacing w:val="0"/>
                <w:kern w:val="0"/>
                <w:sz w:val="20"/>
                <w:szCs w:val="20"/>
                <w:highlight w:val="none"/>
                <w:lang w:bidi="ar"/>
              </w:rPr>
              <w:t>标识所控对象的名称，且与实际</w:t>
            </w:r>
            <w:r>
              <w:rPr>
                <w:rFonts w:hint="eastAsia" w:ascii="仿宋_GB2312" w:hAnsi="仿宋_GB2312" w:eastAsia="仿宋_GB2312" w:cs="仿宋_GB2312"/>
                <w:color w:val="000000"/>
                <w:spacing w:val="0"/>
                <w:kern w:val="0"/>
                <w:sz w:val="20"/>
                <w:szCs w:val="20"/>
                <w:highlight w:val="none"/>
                <w:lang w:val="en-US" w:eastAsia="zh-CN" w:bidi="ar"/>
              </w:rPr>
              <w:t>相</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箱门门锁完好。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8027ED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第8.4.1、8.7.10条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72D346F">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5DF24EC">
        <w:trPr>
          <w:trHeight w:val="90" w:hRule="atLeast"/>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397F13A">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02.2.05.041</w:t>
            </w:r>
          </w:p>
        </w:tc>
        <w:tc>
          <w:tcPr>
            <w:tcW w:w="769" w:type="dxa"/>
            <w:vMerge w:val="continue"/>
            <w:tcBorders>
              <w:left w:val="single" w:color="auto" w:sz="6" w:space="0"/>
              <w:right w:val="single" w:color="auto" w:sz="6" w:space="0"/>
            </w:tcBorders>
            <w:noWrap w:val="0"/>
            <w:tcMar>
              <w:left w:w="0" w:type="dxa"/>
              <w:right w:w="0" w:type="dxa"/>
            </w:tcMar>
            <w:vAlign w:val="center"/>
          </w:tcPr>
          <w:p w14:paraId="37778777">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72A8307D">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6DA1F4">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设置不符合要求。</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5C80C5">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设置应符合下列要求：</w:t>
            </w:r>
          </w:p>
          <w:p w14:paraId="507263C8">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（一）安装在户外的电气装置、临时用电的电气设备应安装剩余电流保护装置；</w:t>
            </w:r>
          </w:p>
          <w:p w14:paraId="0CE2CA64">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二</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安装在潮湿场所的电气设备</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选用额定剩余动作电流</w:t>
            </w:r>
            <w:r>
              <w:rPr>
                <w:rFonts w:hint="eastAsia" w:ascii="仿宋_GB2312" w:hAnsi="仿宋_GB2312" w:eastAsia="仿宋_GB2312" w:cs="仿宋_GB2312"/>
                <w:spacing w:val="0"/>
                <w:sz w:val="20"/>
                <w:szCs w:val="20"/>
                <w:highlight w:val="none"/>
                <w:lang w:val="en-US" w:eastAsia="zh-CN"/>
              </w:rPr>
              <w:t>小于</w:t>
            </w:r>
            <w:r>
              <w:rPr>
                <w:rFonts w:hint="eastAsia" w:ascii="仿宋_GB2312" w:hAnsi="仿宋_GB2312" w:eastAsia="仿宋_GB2312" w:cs="仿宋_GB2312"/>
                <w:spacing w:val="0"/>
                <w:sz w:val="20"/>
                <w:szCs w:val="20"/>
                <w:highlight w:val="none"/>
              </w:rPr>
              <w:t>30mA</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无延时的剩余电流保护装置</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85163B">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G</w:t>
            </w:r>
            <w:r>
              <w:rPr>
                <w:rFonts w:hint="eastAsia" w:ascii="仿宋_GB2312" w:hAnsi="仿宋_GB2312" w:eastAsia="仿宋_GB2312" w:cs="仿宋_GB2312"/>
                <w:color w:val="000000"/>
                <w:spacing w:val="0"/>
                <w:kern w:val="0"/>
                <w:sz w:val="20"/>
                <w:szCs w:val="20"/>
                <w:highlight w:val="none"/>
                <w:lang w:val="en-US" w:eastAsia="zh-CN"/>
              </w:rPr>
              <w:t xml:space="preserve">B/T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4.4.1、5.8</w:t>
            </w:r>
            <w:r>
              <w:rPr>
                <w:rFonts w:hint="eastAsia" w:ascii="仿宋_GB2312" w:hAnsi="仿宋_GB2312" w:eastAsia="仿宋_GB2312" w:cs="仿宋_GB2312"/>
                <w:color w:val="000000"/>
                <w:spacing w:val="0"/>
                <w:kern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88F731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04B357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975558E">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02.2.05.042</w:t>
            </w:r>
          </w:p>
        </w:tc>
        <w:tc>
          <w:tcPr>
            <w:tcW w:w="769" w:type="dxa"/>
            <w:vMerge w:val="continue"/>
            <w:tcBorders>
              <w:left w:val="single" w:color="auto" w:sz="6" w:space="0"/>
              <w:right w:val="single" w:color="auto" w:sz="6" w:space="0"/>
            </w:tcBorders>
            <w:noWrap w:val="0"/>
            <w:tcMar>
              <w:left w:w="0" w:type="dxa"/>
              <w:right w:w="0" w:type="dxa"/>
            </w:tcMar>
            <w:vAlign w:val="center"/>
          </w:tcPr>
          <w:p w14:paraId="0B766AFD">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7CE531BC">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872BAA">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剩余电流保护装置投入运行后，未每月按动按钮1次，检查其动作特性是否正常，无检查记录。</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CA10FB3">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剩余电流保护装置投入运行后，每月</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按动按钮1次，检查其动作特性是否正常，</w:t>
            </w:r>
            <w:r>
              <w:rPr>
                <w:rFonts w:hint="eastAsia" w:ascii="仿宋_GB2312" w:hAnsi="仿宋_GB2312" w:eastAsia="仿宋_GB2312" w:cs="仿宋_GB2312"/>
                <w:spacing w:val="0"/>
                <w:sz w:val="20"/>
                <w:szCs w:val="20"/>
                <w:highlight w:val="none"/>
                <w:lang w:val="en-US" w:eastAsia="zh-CN"/>
              </w:rPr>
              <w:t>并保存</w:t>
            </w:r>
            <w:r>
              <w:rPr>
                <w:rFonts w:hint="eastAsia" w:ascii="仿宋_GB2312" w:hAnsi="仿宋_GB2312" w:eastAsia="仿宋_GB2312" w:cs="仿宋_GB2312"/>
                <w:spacing w:val="0"/>
                <w:sz w:val="20"/>
                <w:szCs w:val="20"/>
                <w:highlight w:val="none"/>
              </w:rPr>
              <w:t>检查记录。</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034FE4D">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val="en-US" w:eastAsia="zh-CN"/>
              </w:rPr>
              <w:t>G</w:t>
            </w:r>
            <w:r>
              <w:rPr>
                <w:rFonts w:hint="eastAsia" w:ascii="仿宋_GB2312" w:hAnsi="仿宋_GB2312" w:eastAsia="仿宋_GB2312" w:cs="仿宋_GB2312"/>
                <w:color w:val="000000"/>
                <w:spacing w:val="0"/>
                <w:kern w:val="0"/>
                <w:sz w:val="20"/>
                <w:szCs w:val="20"/>
                <w:highlight w:val="none"/>
              </w:rPr>
              <w:t>B</w:t>
            </w:r>
            <w:r>
              <w:rPr>
                <w:rFonts w:hint="eastAsia" w:ascii="仿宋_GB2312" w:hAnsi="仿宋_GB2312" w:eastAsia="仿宋_GB2312" w:cs="仿宋_GB2312"/>
                <w:color w:val="000000"/>
                <w:spacing w:val="0"/>
                <w:kern w:val="0"/>
                <w:sz w:val="20"/>
                <w:szCs w:val="20"/>
                <w:highlight w:val="none"/>
                <w:lang w:val="en-US" w:eastAsia="zh-CN"/>
              </w:rPr>
              <w:t xml:space="preserve">/T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7</w:t>
            </w:r>
            <w:r>
              <w:rPr>
                <w:rFonts w:hint="eastAsia" w:ascii="仿宋_GB2312" w:hAnsi="仿宋_GB2312" w:eastAsia="仿宋_GB2312" w:cs="仿宋_GB2312"/>
                <w:color w:val="000000"/>
                <w:spacing w:val="0"/>
                <w:kern w:val="0"/>
                <w:sz w:val="20"/>
                <w:szCs w:val="20"/>
                <w:highlight w:val="none"/>
              </w:rPr>
              <w:t>条</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第10.3.1条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E03A4A6">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123B4CC3">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BA53480">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02.2.05.043</w:t>
            </w:r>
          </w:p>
        </w:tc>
        <w:tc>
          <w:tcPr>
            <w:tcW w:w="769" w:type="dxa"/>
            <w:vMerge w:val="continue"/>
            <w:tcBorders>
              <w:left w:val="single" w:color="auto" w:sz="6" w:space="0"/>
              <w:right w:val="single" w:color="auto" w:sz="6" w:space="0"/>
            </w:tcBorders>
            <w:noWrap w:val="0"/>
            <w:tcMar>
              <w:left w:w="0" w:type="dxa"/>
              <w:right w:w="0" w:type="dxa"/>
            </w:tcMar>
            <w:vAlign w:val="center"/>
          </w:tcPr>
          <w:p w14:paraId="25949E78">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1145EFD7">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5F5C588">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临时低压电气线路</w:t>
            </w:r>
            <w:r>
              <w:rPr>
                <w:rFonts w:hint="eastAsia" w:ascii="仿宋_GB2312" w:hAnsi="仿宋_GB2312" w:eastAsia="仿宋_GB2312" w:cs="仿宋_GB2312"/>
                <w:spacing w:val="0"/>
                <w:sz w:val="20"/>
                <w:szCs w:val="20"/>
                <w:highlight w:val="none"/>
                <w:lang w:val="en-US" w:eastAsia="zh-CN"/>
              </w:rPr>
              <w:t>敷设不规范。</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F59F4F1">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采取保护措施。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FC4ED76">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GB 26164.1-2010《电业安全工作规程第1部分：热力和机械》第3.5.6条、第</w:t>
            </w:r>
            <w:r>
              <w:rPr>
                <w:rFonts w:hint="eastAsia" w:ascii="仿宋_GB2312" w:hAnsi="仿宋_GB2312" w:eastAsia="仿宋_GB2312" w:cs="仿宋_GB2312"/>
                <w:spacing w:val="0"/>
                <w:sz w:val="20"/>
                <w:szCs w:val="20"/>
                <w:highlight w:val="none"/>
              </w:rPr>
              <w:fldChar w:fldCharType="begin"/>
            </w:r>
            <w:r>
              <w:rPr>
                <w:rFonts w:hint="eastAsia" w:ascii="仿宋_GB2312" w:hAnsi="仿宋_GB2312" w:eastAsia="仿宋_GB2312" w:cs="仿宋_GB2312"/>
                <w:spacing w:val="0"/>
                <w:sz w:val="20"/>
                <w:szCs w:val="20"/>
                <w:highlight w:val="none"/>
              </w:rPr>
              <w:instrText xml:space="preserve"> HYPERLINK "https://3.6.5.4" </w:instrText>
            </w:r>
            <w:r>
              <w:rPr>
                <w:rFonts w:hint="eastAsia" w:ascii="仿宋_GB2312" w:hAnsi="仿宋_GB2312" w:eastAsia="仿宋_GB2312" w:cs="仿宋_GB2312"/>
                <w:spacing w:val="0"/>
                <w:sz w:val="20"/>
                <w:szCs w:val="20"/>
                <w:highlight w:val="none"/>
              </w:rPr>
              <w:fldChar w:fldCharType="separate"/>
            </w:r>
            <w:r>
              <w:rPr>
                <w:rFonts w:hint="eastAsia" w:ascii="仿宋_GB2312" w:hAnsi="仿宋_GB2312" w:eastAsia="仿宋_GB2312" w:cs="仿宋_GB2312"/>
                <w:spacing w:val="0"/>
                <w:sz w:val="20"/>
                <w:szCs w:val="20"/>
                <w:highlight w:val="none"/>
              </w:rPr>
              <w:t>3.6.5.4</w:t>
            </w:r>
            <w:r>
              <w:rPr>
                <w:rFonts w:hint="eastAsia" w:ascii="仿宋_GB2312" w:hAnsi="仿宋_GB2312" w:eastAsia="仿宋_GB2312" w:cs="仿宋_GB2312"/>
                <w:spacing w:val="0"/>
                <w:sz w:val="20"/>
                <w:szCs w:val="20"/>
                <w:highlight w:val="none"/>
              </w:rPr>
              <w:fldChar w:fldCharType="end"/>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GB 50194-2014《建设工程施工现场供用电安全规范》第7.1.1条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746E05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060D8C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D5EEFF1">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02.2.05.044</w:t>
            </w:r>
          </w:p>
        </w:tc>
        <w:tc>
          <w:tcPr>
            <w:tcW w:w="769" w:type="dxa"/>
            <w:vMerge w:val="continue"/>
            <w:tcBorders>
              <w:left w:val="single" w:color="auto" w:sz="6" w:space="0"/>
              <w:right w:val="single" w:color="auto" w:sz="6" w:space="0"/>
            </w:tcBorders>
            <w:noWrap w:val="0"/>
            <w:tcMar>
              <w:left w:w="0" w:type="dxa"/>
              <w:right w:w="0" w:type="dxa"/>
            </w:tcMar>
            <w:vAlign w:val="center"/>
          </w:tcPr>
          <w:p w14:paraId="0D3FCAC6">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77056278">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65A3F96">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潮湿场所未采用防溅型插座。</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0DCCD5D">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在潮湿场所，应采用具有防溅电器附件的插座，安装高度距地不应低于1.5m。</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80A0349">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 50055-2011《通用用电设备配电设计规范》第 8.0.6 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5463B59">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89F3CE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3F78C46">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b w:val="0"/>
                <w:bCs w:val="0"/>
                <w:color w:val="000000"/>
                <w:kern w:val="2"/>
                <w:sz w:val="20"/>
                <w:szCs w:val="20"/>
                <w:highlight w:val="none"/>
                <w:lang w:val="en-US" w:eastAsia="zh-CN" w:bidi="mn-Mong-CN"/>
              </w:rPr>
              <w:t>02.2.05.045</w:t>
            </w:r>
          </w:p>
        </w:tc>
        <w:tc>
          <w:tcPr>
            <w:tcW w:w="769" w:type="dxa"/>
            <w:vMerge w:val="continue"/>
            <w:tcBorders>
              <w:left w:val="single" w:color="auto" w:sz="6" w:space="0"/>
              <w:right w:val="single" w:color="auto" w:sz="6" w:space="0"/>
            </w:tcBorders>
            <w:noWrap w:val="0"/>
            <w:tcMar>
              <w:left w:w="0" w:type="dxa"/>
              <w:right w:w="0" w:type="dxa"/>
            </w:tcMar>
            <w:vAlign w:val="center"/>
          </w:tcPr>
          <w:p w14:paraId="45A74EA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5EC14E8E">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6C513C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移动式插座串接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属于非国标插座。</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BEC1B7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移动式插座</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不得使用非国标插座。</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C2A5FF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《电气防火检测技术规范》</w:t>
            </w:r>
            <w:r>
              <w:rPr>
                <w:rFonts w:hint="eastAsia" w:ascii="仿宋_GB2312" w:hAnsi="仿宋_GB2312" w:eastAsia="仿宋_GB2312" w:cs="仿宋_GB2312"/>
                <w:spacing w:val="0"/>
                <w:sz w:val="20"/>
                <w:szCs w:val="20"/>
                <w:highlight w:val="none"/>
                <w:lang w:val="en-US" w:eastAsia="zh-CN"/>
              </w:rPr>
              <w:t>附录B.2</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335340F">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6D4D71C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BC2E65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46</w:t>
            </w:r>
          </w:p>
        </w:tc>
        <w:tc>
          <w:tcPr>
            <w:tcW w:w="769" w:type="dxa"/>
            <w:vMerge w:val="restart"/>
            <w:tcBorders>
              <w:left w:val="single" w:color="auto" w:sz="6" w:space="0"/>
              <w:right w:val="single" w:color="auto" w:sz="6" w:space="0"/>
            </w:tcBorders>
            <w:noWrap w:val="0"/>
            <w:tcMar>
              <w:left w:w="0" w:type="dxa"/>
              <w:right w:w="0" w:type="dxa"/>
            </w:tcMar>
            <w:vAlign w:val="center"/>
          </w:tcPr>
          <w:p w14:paraId="691E596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人员类</w:t>
            </w: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566BE9D4">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资格资质类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B5CEEB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社会体育指导员（滑雪）</w:t>
            </w:r>
            <w:r>
              <w:rPr>
                <w:rFonts w:hint="eastAsia" w:ascii="仿宋_GB2312" w:hAnsi="仿宋_GB2312" w:eastAsia="仿宋_GB2312" w:cs="仿宋_GB2312"/>
                <w:spacing w:val="0"/>
                <w:sz w:val="20"/>
                <w:szCs w:val="20"/>
                <w:highlight w:val="none"/>
                <w:lang w:val="en-US" w:eastAsia="zh-CN"/>
              </w:rPr>
              <w:t>数量不足</w:t>
            </w:r>
            <w:r>
              <w:rPr>
                <w:rFonts w:hint="eastAsia" w:ascii="仿宋_GB2312" w:hAnsi="仿宋_GB2312" w:eastAsia="仿宋_GB2312" w:cs="仿宋_GB2312"/>
                <w:spacing w:val="0"/>
                <w:sz w:val="20"/>
                <w:szCs w:val="20"/>
                <w:highlight w:val="none"/>
              </w:rPr>
              <w:t>5名</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或未持证上岗</w:t>
            </w:r>
            <w:r>
              <w:rPr>
                <w:rFonts w:hint="eastAsia" w:ascii="仿宋_GB2312" w:hAnsi="仿宋_GB2312" w:eastAsia="仿宋_GB2312" w:cs="仿宋_GB2312"/>
                <w:spacing w:val="0"/>
                <w:sz w:val="20"/>
                <w:szCs w:val="20"/>
                <w:highlight w:val="none"/>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FF44F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滑雪场取得有效国家职业资格证书上岗的社会体育指导员（滑雪）</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少于5名。</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991F4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《体育场所开放条件与技术要求第6部分：滑雪场所》GB19079.6-2013第</w:t>
            </w:r>
            <w:r>
              <w:rPr>
                <w:rFonts w:hint="eastAsia" w:ascii="仿宋_GB2312" w:hAnsi="仿宋_GB2312" w:eastAsia="仿宋_GB2312" w:cs="仿宋_GB2312"/>
                <w:spacing w:val="0"/>
                <w:sz w:val="20"/>
                <w:szCs w:val="20"/>
                <w:highlight w:val="none"/>
                <w:lang w:val="en-US" w:eastAsia="zh-CN"/>
              </w:rPr>
              <w:t>7.7</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《体育行业安全生产重大事故隐患判定标准（2025版）》第四条第六款</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BEA002C">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p>
        </w:tc>
      </w:tr>
      <w:tr w14:paraId="07354363">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FAF9F2B">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47</w:t>
            </w:r>
          </w:p>
        </w:tc>
        <w:tc>
          <w:tcPr>
            <w:tcW w:w="769" w:type="dxa"/>
            <w:vMerge w:val="continue"/>
            <w:tcBorders>
              <w:left w:val="single" w:color="auto" w:sz="6" w:space="0"/>
              <w:right w:val="single" w:color="auto" w:sz="6" w:space="0"/>
            </w:tcBorders>
            <w:noWrap w:val="0"/>
            <w:tcMar>
              <w:left w:w="0" w:type="dxa"/>
              <w:right w:w="0" w:type="dxa"/>
            </w:tcMar>
            <w:vAlign w:val="center"/>
          </w:tcPr>
          <w:p w14:paraId="21FAD718">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12F9DC33">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D7A91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特种作业人员未按要求取得特种作业操作资格证书后上岗作业。</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AC1790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特种作业人员应按照国家有关规定经专门的安全作业培训，取得特种作业操作资格证书，方可上岗作业。</w:t>
            </w:r>
            <w:r>
              <w:rPr>
                <w:rFonts w:hint="eastAsia" w:ascii="仿宋_GB2312" w:hAnsi="仿宋_GB2312" w:eastAsia="仿宋_GB2312" w:cs="仿宋_GB2312"/>
                <w:spacing w:val="0"/>
                <w:sz w:val="20"/>
                <w:szCs w:val="20"/>
                <w:highlight w:val="none"/>
                <w:lang w:val="en-US" w:eastAsia="zh-CN"/>
              </w:rPr>
              <w:t>不得出现</w:t>
            </w:r>
            <w:r>
              <w:rPr>
                <w:rFonts w:hint="eastAsia" w:ascii="仿宋_GB2312" w:hAnsi="仿宋_GB2312" w:eastAsia="仿宋_GB2312" w:cs="仿宋_GB2312"/>
                <w:spacing w:val="0"/>
                <w:sz w:val="20"/>
                <w:szCs w:val="20"/>
                <w:highlight w:val="none"/>
              </w:rPr>
              <w:t>无证、假证、超资质作业等</w:t>
            </w:r>
            <w:r>
              <w:rPr>
                <w:rFonts w:hint="eastAsia" w:ascii="仿宋_GB2312" w:hAnsi="仿宋_GB2312" w:eastAsia="仿宋_GB2312" w:cs="仿宋_GB2312"/>
                <w:spacing w:val="0"/>
                <w:sz w:val="20"/>
                <w:szCs w:val="20"/>
                <w:highlight w:val="none"/>
                <w:lang w:val="en-US" w:eastAsia="zh-CN"/>
              </w:rPr>
              <w:t>现象</w:t>
            </w:r>
            <w:r>
              <w:rPr>
                <w:rFonts w:hint="eastAsia" w:ascii="仿宋_GB2312" w:hAnsi="仿宋_GB2312" w:eastAsia="仿宋_GB2312" w:cs="仿宋_GB2312"/>
                <w:spacing w:val="0"/>
                <w:sz w:val="20"/>
                <w:szCs w:val="20"/>
                <w:highlight w:val="none"/>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9E70E2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中华人民共和国</w:t>
            </w:r>
            <w:r>
              <w:rPr>
                <w:rFonts w:hint="eastAsia" w:ascii="仿宋_GB2312" w:hAnsi="仿宋_GB2312" w:eastAsia="仿宋_GB2312" w:cs="仿宋_GB2312"/>
                <w:spacing w:val="0"/>
                <w:sz w:val="20"/>
                <w:szCs w:val="20"/>
                <w:highlight w:val="none"/>
              </w:rPr>
              <w:t>安全生产法》第</w:t>
            </w:r>
            <w:r>
              <w:rPr>
                <w:rFonts w:hint="eastAsia" w:ascii="仿宋_GB2312" w:hAnsi="仿宋_GB2312" w:eastAsia="仿宋_GB2312" w:cs="仿宋_GB2312"/>
                <w:spacing w:val="0"/>
                <w:sz w:val="20"/>
                <w:szCs w:val="20"/>
                <w:highlight w:val="none"/>
                <w:lang w:val="en-US" w:eastAsia="zh-CN"/>
              </w:rPr>
              <w:t>三十条；中华人民共和国应急管理部令</w:t>
            </w:r>
            <w:r>
              <w:rPr>
                <w:rFonts w:hint="eastAsia" w:ascii="仿宋_GB2312" w:hAnsi="仿宋_GB2312" w:eastAsia="仿宋_GB2312" w:cs="仿宋_GB2312"/>
                <w:spacing w:val="0"/>
                <w:sz w:val="20"/>
                <w:szCs w:val="20"/>
                <w:highlight w:val="none"/>
              </w:rPr>
              <w:t>第</w:t>
            </w:r>
            <w:r>
              <w:rPr>
                <w:rFonts w:hint="eastAsia" w:ascii="仿宋_GB2312" w:hAnsi="仿宋_GB2312" w:eastAsia="仿宋_GB2312" w:cs="仿宋_GB2312"/>
                <w:spacing w:val="0"/>
                <w:sz w:val="20"/>
                <w:szCs w:val="20"/>
                <w:highlight w:val="none"/>
                <w:lang w:val="en-US" w:eastAsia="zh-CN"/>
              </w:rPr>
              <w:t>19</w:t>
            </w:r>
            <w:r>
              <w:rPr>
                <w:rFonts w:hint="eastAsia" w:ascii="仿宋_GB2312" w:hAnsi="仿宋_GB2312" w:eastAsia="仿宋_GB2312" w:cs="仿宋_GB2312"/>
                <w:spacing w:val="0"/>
                <w:sz w:val="20"/>
                <w:szCs w:val="20"/>
                <w:highlight w:val="none"/>
              </w:rPr>
              <w:t>号《特种作业人员安全技术培训考核管理规定》第</w:t>
            </w:r>
            <w:r>
              <w:rPr>
                <w:rFonts w:hint="eastAsia" w:ascii="仿宋_GB2312" w:hAnsi="仿宋_GB2312" w:eastAsia="仿宋_GB2312" w:cs="仿宋_GB2312"/>
                <w:spacing w:val="0"/>
                <w:sz w:val="20"/>
                <w:szCs w:val="20"/>
                <w:highlight w:val="none"/>
                <w:lang w:val="en-US" w:eastAsia="zh-CN"/>
              </w:rPr>
              <w:t>四</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三十七</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C5AFBC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4B50D585">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9C2AB9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48</w:t>
            </w:r>
          </w:p>
        </w:tc>
        <w:tc>
          <w:tcPr>
            <w:tcW w:w="769" w:type="dxa"/>
            <w:vMerge w:val="continue"/>
            <w:tcBorders>
              <w:left w:val="single" w:color="auto" w:sz="6" w:space="0"/>
              <w:right w:val="single" w:color="auto" w:sz="6" w:space="0"/>
            </w:tcBorders>
            <w:noWrap w:val="0"/>
            <w:tcMar>
              <w:left w:w="0" w:type="dxa"/>
              <w:right w:w="0" w:type="dxa"/>
            </w:tcMar>
            <w:vAlign w:val="center"/>
          </w:tcPr>
          <w:p w14:paraId="309224DB">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43700512">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AFB9C1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特种设备作业人员（索道管理人员和作业人员）未按照国家有关规定取得相应资格。</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C8289D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特种设备作业人员（索道管理人员和作业人员）</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按照国家有关规定取得相应资格</w:t>
            </w:r>
            <w:r>
              <w:rPr>
                <w:rFonts w:hint="eastAsia" w:ascii="仿宋_GB2312" w:hAnsi="仿宋_GB2312" w:eastAsia="仿宋_GB2312" w:cs="仿宋_GB2312"/>
                <w:spacing w:val="0"/>
                <w:sz w:val="20"/>
                <w:szCs w:val="20"/>
                <w:highlight w:val="none"/>
                <w:lang w:val="en-US" w:eastAsia="zh-CN"/>
              </w:rPr>
              <w:t>方可上岗</w:t>
            </w:r>
            <w:r>
              <w:rPr>
                <w:rFonts w:hint="eastAsia" w:ascii="仿宋_GB2312" w:hAnsi="仿宋_GB2312" w:eastAsia="仿宋_GB2312" w:cs="仿宋_GB2312"/>
                <w:spacing w:val="0"/>
                <w:sz w:val="20"/>
                <w:szCs w:val="20"/>
                <w:highlight w:val="none"/>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ADE4E7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《中华人民共和国特种设备安全法》第十四条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2A56FF1">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69EB10CA">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EBE3086">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49</w:t>
            </w:r>
          </w:p>
        </w:tc>
        <w:tc>
          <w:tcPr>
            <w:tcW w:w="769" w:type="dxa"/>
            <w:vMerge w:val="continue"/>
            <w:tcBorders>
              <w:left w:val="single" w:color="auto" w:sz="6" w:space="0"/>
              <w:right w:val="single" w:color="auto" w:sz="6" w:space="0"/>
            </w:tcBorders>
            <w:noWrap w:val="0"/>
            <w:tcMar>
              <w:left w:w="0" w:type="dxa"/>
              <w:right w:w="0" w:type="dxa"/>
            </w:tcMar>
            <w:vAlign w:val="center"/>
          </w:tcPr>
          <w:p w14:paraId="35F5BF48">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0CC2C33A">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30955B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压雪设备操作人员未获得机动车驾驶证明，未经过专门培训后上岗。</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3E171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压雪设备操作人员</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获得机动车驾驶证明，经过专门培训后上岗。</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F2342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GB/T 43700-2024《滑雪场所的运行和管理规范》第8.1.5条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28938D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r>
      <w:tr w14:paraId="14D3C249">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2C5286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50</w:t>
            </w:r>
          </w:p>
        </w:tc>
        <w:tc>
          <w:tcPr>
            <w:tcW w:w="769" w:type="dxa"/>
            <w:vMerge w:val="continue"/>
            <w:tcBorders>
              <w:left w:val="single" w:color="auto" w:sz="6" w:space="0"/>
              <w:right w:val="single" w:color="auto" w:sz="6" w:space="0"/>
            </w:tcBorders>
            <w:noWrap w:val="0"/>
            <w:tcMar>
              <w:left w:w="0" w:type="dxa"/>
              <w:right w:w="0" w:type="dxa"/>
            </w:tcMar>
            <w:vAlign w:val="center"/>
          </w:tcPr>
          <w:p w14:paraId="42CB62F0">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kern w:val="2"/>
                <w:sz w:val="20"/>
                <w:szCs w:val="20"/>
                <w:highlight w:val="none"/>
                <w:lang w:val="en-US" w:eastAsia="zh-CN" w:bidi="ar-SA"/>
              </w:rPr>
            </w:pP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10356943">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操作行为类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3D636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滑雪项目人均运动面积小于20平方米时，未采取人数限制措施。</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E8D67B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滑雪项目人均运动面积小于20平方米时，</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采取人数限制措施。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26AEF0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《北京市体育运动项目经营单位安全生产规定》第</w:t>
            </w:r>
            <w:r>
              <w:rPr>
                <w:rFonts w:hint="eastAsia" w:ascii="仿宋_GB2312" w:hAnsi="仿宋_GB2312" w:eastAsia="仿宋_GB2312" w:cs="仿宋_GB2312"/>
                <w:spacing w:val="0"/>
                <w:sz w:val="20"/>
                <w:szCs w:val="20"/>
                <w:highlight w:val="none"/>
                <w:lang w:val="en-US" w:eastAsia="zh-CN"/>
              </w:rPr>
              <w:t>二十三</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707F56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3D37821F">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7708063">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51</w:t>
            </w:r>
          </w:p>
        </w:tc>
        <w:tc>
          <w:tcPr>
            <w:tcW w:w="769" w:type="dxa"/>
            <w:vMerge w:val="continue"/>
            <w:tcBorders>
              <w:left w:val="single" w:color="auto" w:sz="6" w:space="0"/>
              <w:right w:val="single" w:color="auto" w:sz="6" w:space="0"/>
            </w:tcBorders>
            <w:noWrap w:val="0"/>
            <w:tcMar>
              <w:left w:w="0" w:type="dxa"/>
              <w:right w:w="0" w:type="dxa"/>
            </w:tcMar>
            <w:vAlign w:val="center"/>
          </w:tcPr>
          <w:p w14:paraId="7170AA4E">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44021EF6">
            <w:pPr>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456958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索道、魔毯等运行未配备专人值守。</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E24E59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机械提升设备运行时应至少在上站、下站处配备专人值守</w:t>
            </w:r>
            <w:r>
              <w:rPr>
                <w:rFonts w:hint="eastAsia" w:ascii="仿宋_GB2312" w:hAnsi="仿宋_GB2312" w:eastAsia="仿宋_GB2312" w:cs="仿宋_GB2312"/>
                <w:spacing w:val="0"/>
                <w:sz w:val="20"/>
                <w:szCs w:val="20"/>
                <w:highlight w:val="none"/>
                <w:shd w:val="clear" w:color="auto" w:fill="auto"/>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8B3A01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GB/T 43700-2024《滑雪场所的运行和管理规范》第6.1.4.1条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7F7ACD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5042B09B">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4F7EF0A">
            <w:pPr>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eastAsia="zh-CN"/>
              </w:rPr>
              <w:t>02.3.0</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52</w:t>
            </w:r>
          </w:p>
        </w:tc>
        <w:tc>
          <w:tcPr>
            <w:tcW w:w="769" w:type="dxa"/>
            <w:vMerge w:val="continue"/>
            <w:tcBorders>
              <w:left w:val="single" w:color="auto" w:sz="6" w:space="0"/>
              <w:right w:val="single" w:color="auto" w:sz="6" w:space="0"/>
            </w:tcBorders>
            <w:noWrap w:val="0"/>
            <w:tcMar>
              <w:left w:w="0" w:type="dxa"/>
              <w:right w:w="0" w:type="dxa"/>
            </w:tcMar>
            <w:vAlign w:val="center"/>
          </w:tcPr>
          <w:p w14:paraId="3D8BBD1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right w:val="single" w:color="auto" w:sz="6" w:space="0"/>
            </w:tcBorders>
            <w:noWrap w:val="0"/>
            <w:tcMar>
              <w:left w:w="0" w:type="dxa"/>
              <w:right w:w="0" w:type="dxa"/>
            </w:tcMar>
            <w:vAlign w:val="center"/>
          </w:tcPr>
          <w:p w14:paraId="014685C8">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36027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滑雪场未协助滑雪人员按规范要求调节固定器。</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52EAFA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协助滑雪人员按规范要求调节固定器。</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98638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DB11/T 875-2017《体育场所安全运营管理规范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滑雪场所》第5.4.1条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CC604C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C53B954">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B247EF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02.3.0</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53</w:t>
            </w:r>
          </w:p>
        </w:tc>
        <w:tc>
          <w:tcPr>
            <w:tcW w:w="769" w:type="dxa"/>
            <w:vMerge w:val="continue"/>
            <w:tcBorders>
              <w:left w:val="single" w:color="auto" w:sz="6" w:space="0"/>
              <w:right w:val="single" w:color="auto" w:sz="6" w:space="0"/>
            </w:tcBorders>
            <w:noWrap w:val="0"/>
            <w:tcMar>
              <w:left w:w="0" w:type="dxa"/>
              <w:right w:w="0" w:type="dxa"/>
            </w:tcMar>
            <w:vAlign w:val="center"/>
          </w:tcPr>
          <w:p w14:paraId="717B663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328CA656">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981E7C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在公共门厅、疏散通道、安全出口、楼梯间等区域停放电动自行车或者为电动自行车充电，携带电动自行车、充电电池进入电梯</w:t>
            </w:r>
            <w:r>
              <w:rPr>
                <w:rFonts w:hint="eastAsia" w:ascii="仿宋_GB2312" w:hAnsi="仿宋_GB2312" w:eastAsia="仿宋_GB2312" w:cs="仿宋_GB2312"/>
                <w:spacing w:val="0"/>
                <w:sz w:val="20"/>
                <w:szCs w:val="20"/>
                <w:highlight w:val="none"/>
                <w:lang w:eastAsia="zh-CN"/>
              </w:rPr>
              <w:t>轿厢。</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8CF46A">
            <w:pPr>
              <w:keepNext w:val="0"/>
              <w:keepLines w:val="0"/>
              <w:pageBreakBefore w:val="0"/>
              <w:kinsoku/>
              <w:wordWrap/>
              <w:overflowPunct/>
              <w:topLinePunct w:val="0"/>
              <w:autoSpaceDE/>
              <w:autoSpaceDN/>
              <w:bidi w:val="0"/>
              <w:snapToGrid w:val="0"/>
              <w:spacing w:line="300" w:lineRule="exact"/>
              <w:ind w:left="84" w:leftChars="40" w:right="84" w:rightChars="40" w:firstLine="0" w:firstLineChars="0"/>
              <w:jc w:val="left"/>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rPr>
              <w:t>禁止在公共门厅、疏散通道、安全出口、楼梯间等区域停放电动自行车或者为电动自行车充电，禁止携带电动自行车、充电电池进入电梯轿厢</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E611F16">
            <w:pPr>
              <w:keepNext w:val="0"/>
              <w:keepLines w:val="0"/>
              <w:pageBreakBefore w:val="0"/>
              <w:kinsoku/>
              <w:wordWrap/>
              <w:overflowPunct/>
              <w:topLinePunct w:val="0"/>
              <w:autoSpaceDE/>
              <w:autoSpaceDN/>
              <w:bidi w:val="0"/>
              <w:snapToGrid w:val="0"/>
              <w:spacing w:line="300" w:lineRule="exact"/>
              <w:ind w:left="84" w:leftChars="40" w:right="84" w:rightChars="40" w:firstLine="0" w:firstLineChars="0"/>
              <w:jc w:val="left"/>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val="en-US" w:eastAsia="zh-CN"/>
              </w:rPr>
              <w:t>《北京市消防条例》第三十六条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2578CA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1DE7F9AB">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5C90B0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54</w:t>
            </w:r>
          </w:p>
        </w:tc>
        <w:tc>
          <w:tcPr>
            <w:tcW w:w="769" w:type="dxa"/>
            <w:vMerge w:val="continue"/>
            <w:tcBorders>
              <w:left w:val="single" w:color="auto" w:sz="6" w:space="0"/>
              <w:right w:val="single" w:color="auto" w:sz="6" w:space="0"/>
            </w:tcBorders>
            <w:noWrap w:val="0"/>
            <w:tcMar>
              <w:left w:w="0" w:type="dxa"/>
              <w:right w:w="0" w:type="dxa"/>
            </w:tcMar>
            <w:vAlign w:val="center"/>
          </w:tcPr>
          <w:p w14:paraId="37AAA075">
            <w:pPr>
              <w:keepNext w:val="0"/>
              <w:keepLines w:val="0"/>
              <w:pageBreakBefore w:val="0"/>
              <w:kinsoku/>
              <w:wordWrap/>
              <w:overflowPunct/>
              <w:topLinePunct w:val="0"/>
              <w:autoSpaceDE/>
              <w:autoSpaceDN/>
              <w:bidi w:val="0"/>
              <w:spacing w:line="280" w:lineRule="exact"/>
              <w:ind w:left="0" w:leftChars="0" w:right="0" w:rightChars="0"/>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A069695">
            <w:pPr>
              <w:pStyle w:val="15"/>
              <w:keepNext w:val="0"/>
              <w:keepLines w:val="0"/>
              <w:pageBreakBefore w:val="0"/>
              <w:kinsoku/>
              <w:wordWrap/>
              <w:overflowPunct/>
              <w:topLinePunct w:val="0"/>
              <w:autoSpaceDE/>
              <w:autoSpaceDN/>
              <w:bidi w:val="0"/>
              <w:adjustRightInd w:val="0"/>
              <w:snapToGrid/>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个人防护用品使用类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6750BF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未对</w:t>
            </w:r>
            <w:r>
              <w:rPr>
                <w:rFonts w:hint="eastAsia" w:ascii="仿宋_GB2312" w:hAnsi="仿宋_GB2312" w:eastAsia="仿宋_GB2312" w:cs="仿宋_GB2312"/>
                <w:spacing w:val="0"/>
                <w:sz w:val="20"/>
                <w:szCs w:val="20"/>
                <w:highlight w:val="none"/>
              </w:rPr>
              <w:t>滑雪场雪具</w:t>
            </w:r>
            <w:r>
              <w:rPr>
                <w:rFonts w:hint="eastAsia" w:ascii="仿宋_GB2312" w:hAnsi="仿宋_GB2312" w:eastAsia="仿宋_GB2312" w:cs="仿宋_GB2312"/>
                <w:spacing w:val="0"/>
                <w:sz w:val="20"/>
                <w:szCs w:val="20"/>
                <w:highlight w:val="none"/>
                <w:lang w:val="en-US" w:eastAsia="zh-CN"/>
              </w:rPr>
              <w:t>进行</w:t>
            </w:r>
            <w:r>
              <w:rPr>
                <w:rFonts w:hint="eastAsia" w:ascii="仿宋_GB2312" w:hAnsi="仿宋_GB2312" w:eastAsia="仿宋_GB2312" w:cs="仿宋_GB2312"/>
                <w:spacing w:val="0"/>
                <w:sz w:val="20"/>
                <w:szCs w:val="20"/>
                <w:highlight w:val="none"/>
              </w:rPr>
              <w:t>维护和保养</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不能提供日常维护保养及定期检查调试和维修的完整记录。</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B20743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滑雪场雪具的维护和保养</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能保障雪具所有功能部件结构完整、功能正常和使用安全。</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28F91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DB11/T 875-2017《体育场所安全运营管理规范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滑雪场所》第5.4.</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34D6C9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779B6ED2">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FD0331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55</w:t>
            </w:r>
          </w:p>
        </w:tc>
        <w:tc>
          <w:tcPr>
            <w:tcW w:w="769" w:type="dxa"/>
            <w:vMerge w:val="restart"/>
            <w:tcBorders>
              <w:left w:val="single" w:color="auto" w:sz="6" w:space="0"/>
              <w:right w:val="single" w:color="auto" w:sz="6" w:space="0"/>
            </w:tcBorders>
            <w:noWrap w:val="0"/>
            <w:tcMar>
              <w:left w:w="0" w:type="dxa"/>
              <w:right w:w="0" w:type="dxa"/>
            </w:tcMar>
            <w:vAlign w:val="center"/>
          </w:tcPr>
          <w:p w14:paraId="2E581DF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场所环境类</w:t>
            </w:r>
          </w:p>
        </w:tc>
        <w:tc>
          <w:tcPr>
            <w:tcW w:w="916" w:type="dxa"/>
            <w:vMerge w:val="restart"/>
            <w:tcBorders>
              <w:top w:val="single" w:color="auto" w:sz="6" w:space="0"/>
              <w:left w:val="single" w:color="auto" w:sz="6" w:space="0"/>
              <w:right w:val="single" w:color="auto" w:sz="6" w:space="0"/>
            </w:tcBorders>
            <w:noWrap w:val="0"/>
            <w:tcMar>
              <w:left w:w="0" w:type="dxa"/>
              <w:right w:w="0" w:type="dxa"/>
            </w:tcMar>
            <w:vAlign w:val="center"/>
          </w:tcPr>
          <w:p w14:paraId="58B50954">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标志及标识类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7AA365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未在醒目位置公示</w:t>
            </w:r>
            <w:r>
              <w:rPr>
                <w:rFonts w:hint="eastAsia" w:ascii="仿宋_GB2312" w:hAnsi="仿宋_GB2312" w:eastAsia="仿宋_GB2312" w:cs="仿宋_GB2312"/>
                <w:spacing w:val="0"/>
                <w:sz w:val="20"/>
                <w:szCs w:val="20"/>
                <w:highlight w:val="none"/>
              </w:rPr>
              <w:t>“滑雪人员须知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滑雪人员行为与安全守则”</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或</w:t>
            </w:r>
            <w:r>
              <w:rPr>
                <w:rFonts w:hint="eastAsia" w:ascii="仿宋_GB2312" w:hAnsi="仿宋_GB2312" w:eastAsia="仿宋_GB2312" w:cs="仿宋_GB2312"/>
                <w:spacing w:val="0"/>
                <w:sz w:val="20"/>
                <w:szCs w:val="20"/>
                <w:highlight w:val="none"/>
              </w:rPr>
              <w:t>内容不齐全。</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7A70D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应在公共活动区域内的醒目位置设有“滑雪人员须知”“滑雪者行为与安全守则”和各种滑雪道提升设备分布图示，对涉及安全的事项和特殊要求做出真实说明和明确警示。</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F000ED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 19079.6-2013第</w:t>
            </w:r>
            <w:r>
              <w:rPr>
                <w:rFonts w:hint="eastAsia" w:ascii="仿宋_GB2312" w:hAnsi="仿宋_GB2312" w:eastAsia="仿宋_GB2312" w:cs="仿宋_GB2312"/>
                <w:spacing w:val="0"/>
                <w:sz w:val="20"/>
                <w:szCs w:val="20"/>
                <w:highlight w:val="none"/>
                <w:lang w:val="en-US" w:eastAsia="zh-CN"/>
              </w:rPr>
              <w:t>7.3</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DB11/T 875-2017《体育场所安全运营管理规范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滑雪场所》第4.1条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721B72F">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6844B9F2">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2F76677">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56</w:t>
            </w:r>
          </w:p>
        </w:tc>
        <w:tc>
          <w:tcPr>
            <w:tcW w:w="769" w:type="dxa"/>
            <w:vMerge w:val="continue"/>
            <w:tcBorders>
              <w:left w:val="single" w:color="auto" w:sz="6" w:space="0"/>
              <w:right w:val="single" w:color="auto" w:sz="6" w:space="0"/>
            </w:tcBorders>
            <w:noWrap w:val="0"/>
            <w:tcMar>
              <w:left w:w="0" w:type="dxa"/>
              <w:right w:w="0" w:type="dxa"/>
            </w:tcMar>
            <w:vAlign w:val="center"/>
          </w:tcPr>
          <w:p w14:paraId="79BC2DF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4CDBCCF5">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439A4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滑雪场所未在醒目位置公示滑雪技术指导人员名录、照片及职业资格证书编号。滑雪场所从业人员上岗时未佩戴明显标识。</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AE997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滑雪场所</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在醒目位置公示滑雪技术指导人员名录、照片及职业资格证书编号。滑雪场所从业人员上岗时</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佩戴明显标识。</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5F795D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 19079.6-2013第</w:t>
            </w:r>
            <w:r>
              <w:rPr>
                <w:rFonts w:hint="eastAsia" w:ascii="仿宋_GB2312" w:hAnsi="仿宋_GB2312" w:eastAsia="仿宋_GB2312" w:cs="仿宋_GB2312"/>
                <w:spacing w:val="0"/>
                <w:sz w:val="20"/>
                <w:szCs w:val="20"/>
                <w:highlight w:val="none"/>
                <w:lang w:val="en-US" w:eastAsia="zh-CN"/>
              </w:rPr>
              <w:t>7.7、7.8</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DB11/T 875-2017《体育场所安全运营管理规范</w:t>
            </w:r>
            <w:r>
              <w:rPr>
                <w:rFonts w:hint="eastAsia" w:ascii="仿宋_GB2312" w:hAnsi="仿宋_GB2312" w:eastAsia="仿宋_GB2312" w:cs="仿宋_GB2312"/>
                <w:spacing w:val="0"/>
                <w:sz w:val="20"/>
                <w:szCs w:val="20"/>
                <w:highlight w:val="none"/>
                <w:lang w:eastAsia="zh-CN"/>
              </w:rPr>
              <w:t xml:space="preserve"> 滑雪场</w:t>
            </w:r>
            <w:r>
              <w:rPr>
                <w:rFonts w:hint="eastAsia" w:ascii="仿宋_GB2312" w:hAnsi="仿宋_GB2312" w:eastAsia="仿宋_GB2312" w:cs="仿宋_GB2312"/>
                <w:spacing w:val="0"/>
                <w:sz w:val="20"/>
                <w:szCs w:val="20"/>
                <w:highlight w:val="none"/>
              </w:rPr>
              <w:t>所》第6.1.3条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1E75BF6">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73A1B459">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2B844D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57</w:t>
            </w:r>
          </w:p>
        </w:tc>
        <w:tc>
          <w:tcPr>
            <w:tcW w:w="769" w:type="dxa"/>
            <w:vMerge w:val="continue"/>
            <w:tcBorders>
              <w:left w:val="single" w:color="auto" w:sz="6" w:space="0"/>
              <w:right w:val="single" w:color="auto" w:sz="6" w:space="0"/>
            </w:tcBorders>
            <w:noWrap w:val="0"/>
            <w:tcMar>
              <w:left w:w="0" w:type="dxa"/>
              <w:right w:w="0" w:type="dxa"/>
            </w:tcMar>
            <w:vAlign w:val="center"/>
          </w:tcPr>
          <w:p w14:paraId="116FAC3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right w:val="single" w:color="auto" w:sz="6" w:space="0"/>
            </w:tcBorders>
            <w:noWrap w:val="0"/>
            <w:tcMar>
              <w:left w:w="0" w:type="dxa"/>
              <w:right w:w="0" w:type="dxa"/>
            </w:tcMar>
            <w:vAlign w:val="center"/>
          </w:tcPr>
          <w:p w14:paraId="19F17A33">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D9351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未划分滑雪道等级、无明确标识。</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8C5EEDB">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滑雪道及索道的起点应设置</w:t>
            </w:r>
            <w:r>
              <w:rPr>
                <w:rFonts w:hint="eastAsia" w:ascii="仿宋_GB2312" w:hAnsi="仿宋_GB2312" w:eastAsia="仿宋_GB2312" w:cs="仿宋_GB2312"/>
                <w:spacing w:val="0"/>
                <w:sz w:val="20"/>
                <w:szCs w:val="20"/>
                <w:highlight w:val="none"/>
                <w:shd w:val="clear" w:color="auto" w:fill="auto"/>
                <w:lang w:eastAsia="zh-CN"/>
              </w:rPr>
              <w:t>醒目</w:t>
            </w:r>
            <w:r>
              <w:rPr>
                <w:rFonts w:hint="eastAsia" w:ascii="仿宋_GB2312" w:hAnsi="仿宋_GB2312" w:eastAsia="仿宋_GB2312" w:cs="仿宋_GB2312"/>
                <w:spacing w:val="0"/>
                <w:sz w:val="20"/>
                <w:szCs w:val="20"/>
                <w:highlight w:val="none"/>
                <w:shd w:val="clear" w:color="auto" w:fill="auto"/>
              </w:rPr>
              <w:t>的滑雪道难度等级及长度标志。难度等级标志及其应用应符合GB/T 40232-2021《冰雪运动场所用安全标志》的</w:t>
            </w:r>
            <w:r>
              <w:rPr>
                <w:rFonts w:hint="eastAsia" w:ascii="仿宋_GB2312" w:hAnsi="仿宋_GB2312" w:eastAsia="仿宋_GB2312" w:cs="仿宋_GB2312"/>
                <w:spacing w:val="0"/>
                <w:sz w:val="20"/>
                <w:szCs w:val="20"/>
                <w:highlight w:val="none"/>
                <w:shd w:val="clear" w:color="auto" w:fill="auto"/>
                <w:lang w:eastAsia="zh-CN"/>
              </w:rPr>
              <w:t>要求。</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0AF75E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《滑雪场地 滑雪道安全防护规范》GB/T 43701-2024</w:t>
            </w:r>
            <w:r>
              <w:rPr>
                <w:rFonts w:hint="eastAsia" w:ascii="仿宋_GB2312" w:hAnsi="仿宋_GB2312" w:eastAsia="仿宋_GB2312" w:cs="仿宋_GB2312"/>
                <w:spacing w:val="0"/>
                <w:sz w:val="20"/>
                <w:szCs w:val="20"/>
                <w:highlight w:val="none"/>
                <w:lang w:val="en-US" w:eastAsia="zh-CN"/>
              </w:rPr>
              <w:t>第8.1.1条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AFA8FBB">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298927FD">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B2E4660">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kern w:val="2"/>
                <w:sz w:val="20"/>
                <w:szCs w:val="20"/>
                <w:highlight w:val="none"/>
                <w:lang w:val="en-US" w:eastAsia="zh-CN" w:bidi="mn-Mong-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58</w:t>
            </w:r>
          </w:p>
        </w:tc>
        <w:tc>
          <w:tcPr>
            <w:tcW w:w="769" w:type="dxa"/>
            <w:vMerge w:val="continue"/>
            <w:tcBorders>
              <w:left w:val="single" w:color="auto" w:sz="6" w:space="0"/>
              <w:right w:val="single" w:color="auto" w:sz="6" w:space="0"/>
            </w:tcBorders>
            <w:noWrap w:val="0"/>
            <w:tcMar>
              <w:left w:w="0" w:type="dxa"/>
              <w:right w:w="0" w:type="dxa"/>
            </w:tcMar>
            <w:vAlign w:val="center"/>
          </w:tcPr>
          <w:p w14:paraId="4CFE671E">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916" w:type="dxa"/>
            <w:vMerge w:val="continue"/>
            <w:tcBorders>
              <w:left w:val="single" w:color="auto" w:sz="6" w:space="0"/>
              <w:bottom w:val="single" w:color="auto" w:sz="6" w:space="0"/>
              <w:right w:val="single" w:color="auto" w:sz="6" w:space="0"/>
            </w:tcBorders>
            <w:noWrap w:val="0"/>
            <w:tcMar>
              <w:left w:w="0" w:type="dxa"/>
              <w:right w:w="0" w:type="dxa"/>
            </w:tcMar>
            <w:vAlign w:val="center"/>
          </w:tcPr>
          <w:p w14:paraId="222EB35D">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EC29C0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索道和魔毯运行上下站处未设置醒目的安全要求及警示标识。</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E1963FB">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机械提升设备运行上站、下站处公示的内容应包括但不限于</w:t>
            </w:r>
            <w:r>
              <w:rPr>
                <w:rFonts w:hint="eastAsia" w:ascii="仿宋_GB2312" w:hAnsi="仿宋_GB2312" w:eastAsia="仿宋_GB2312" w:cs="仿宋_GB2312"/>
                <w:spacing w:val="0"/>
                <w:sz w:val="20"/>
                <w:szCs w:val="20"/>
                <w:highlight w:val="none"/>
                <w:shd w:val="clear" w:color="auto" w:fill="auto"/>
                <w:lang w:eastAsia="zh-CN"/>
              </w:rPr>
              <w:t>：</w:t>
            </w:r>
          </w:p>
          <w:p w14:paraId="3CFA68ED">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一</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安全乘用说明</w:t>
            </w:r>
            <w:r>
              <w:rPr>
                <w:rFonts w:hint="eastAsia" w:ascii="仿宋_GB2312" w:hAnsi="仿宋_GB2312" w:eastAsia="仿宋_GB2312" w:cs="仿宋_GB2312"/>
                <w:spacing w:val="0"/>
                <w:sz w:val="20"/>
                <w:szCs w:val="20"/>
                <w:highlight w:val="none"/>
                <w:shd w:val="clear" w:color="auto" w:fill="auto"/>
                <w:lang w:eastAsia="zh-CN"/>
              </w:rPr>
              <w:t>；</w:t>
            </w:r>
          </w:p>
          <w:p w14:paraId="2FD1B84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二</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运行长度</w:t>
            </w:r>
            <w:r>
              <w:rPr>
                <w:rFonts w:hint="eastAsia" w:ascii="仿宋_GB2312" w:hAnsi="仿宋_GB2312" w:eastAsia="仿宋_GB2312" w:cs="仿宋_GB2312"/>
                <w:spacing w:val="0"/>
                <w:sz w:val="20"/>
                <w:szCs w:val="20"/>
                <w:highlight w:val="none"/>
                <w:shd w:val="clear" w:color="auto" w:fill="auto"/>
                <w:lang w:eastAsia="zh-CN"/>
              </w:rPr>
              <w:t>；</w:t>
            </w:r>
          </w:p>
          <w:p w14:paraId="350982BE">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三</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运行上站、下站的</w:t>
            </w:r>
            <w:r>
              <w:rPr>
                <w:rFonts w:hint="eastAsia" w:ascii="仿宋_GB2312" w:hAnsi="仿宋_GB2312" w:eastAsia="仿宋_GB2312" w:cs="仿宋_GB2312"/>
                <w:spacing w:val="0"/>
                <w:sz w:val="20"/>
                <w:szCs w:val="20"/>
                <w:highlight w:val="none"/>
                <w:shd w:val="clear" w:color="auto" w:fill="auto"/>
                <w:lang w:eastAsia="zh-CN"/>
              </w:rPr>
              <w:t>海拔</w:t>
            </w:r>
            <w:r>
              <w:rPr>
                <w:rFonts w:hint="eastAsia" w:ascii="仿宋_GB2312" w:hAnsi="仿宋_GB2312" w:eastAsia="仿宋_GB2312" w:cs="仿宋_GB2312"/>
                <w:spacing w:val="0"/>
                <w:sz w:val="20"/>
                <w:szCs w:val="20"/>
                <w:highlight w:val="none"/>
                <w:shd w:val="clear" w:color="auto" w:fill="auto"/>
              </w:rPr>
              <w:t>差</w:t>
            </w:r>
            <w:r>
              <w:rPr>
                <w:rFonts w:hint="eastAsia" w:ascii="仿宋_GB2312" w:hAnsi="仿宋_GB2312" w:eastAsia="仿宋_GB2312" w:cs="仿宋_GB2312"/>
                <w:spacing w:val="0"/>
                <w:sz w:val="20"/>
                <w:szCs w:val="20"/>
                <w:highlight w:val="none"/>
                <w:shd w:val="clear" w:color="auto" w:fill="auto"/>
                <w:lang w:eastAsia="zh-CN"/>
              </w:rPr>
              <w:t>；</w:t>
            </w:r>
          </w:p>
          <w:p w14:paraId="5A0299B9">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四</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运行时间</w:t>
            </w:r>
            <w:r>
              <w:rPr>
                <w:rFonts w:hint="eastAsia" w:ascii="仿宋_GB2312" w:hAnsi="仿宋_GB2312" w:eastAsia="仿宋_GB2312" w:cs="仿宋_GB2312"/>
                <w:spacing w:val="0"/>
                <w:sz w:val="20"/>
                <w:szCs w:val="20"/>
                <w:highlight w:val="none"/>
                <w:shd w:val="clear" w:color="auto" w:fill="auto"/>
                <w:lang w:eastAsia="zh-CN"/>
              </w:rPr>
              <w:t>；</w:t>
            </w:r>
          </w:p>
          <w:p w14:paraId="68021236">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五</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安全注意事项</w:t>
            </w:r>
            <w:r>
              <w:rPr>
                <w:rFonts w:hint="eastAsia" w:ascii="仿宋_GB2312" w:hAnsi="仿宋_GB2312" w:eastAsia="仿宋_GB2312" w:cs="仿宋_GB2312"/>
                <w:spacing w:val="0"/>
                <w:sz w:val="20"/>
                <w:szCs w:val="20"/>
                <w:highlight w:val="none"/>
                <w:shd w:val="clear" w:color="auto" w:fill="auto"/>
                <w:lang w:eastAsia="zh-CN"/>
              </w:rPr>
              <w:t>；</w:t>
            </w:r>
          </w:p>
          <w:p w14:paraId="0E9F53DB">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六</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安全乘用提示和警示标志</w:t>
            </w:r>
            <w:r>
              <w:rPr>
                <w:rFonts w:hint="eastAsia" w:ascii="仿宋_GB2312" w:hAnsi="仿宋_GB2312" w:eastAsia="仿宋_GB2312" w:cs="仿宋_GB2312"/>
                <w:spacing w:val="0"/>
                <w:sz w:val="20"/>
                <w:szCs w:val="20"/>
                <w:highlight w:val="none"/>
                <w:shd w:val="clear" w:color="auto" w:fill="auto"/>
                <w:lang w:eastAsia="zh-CN"/>
              </w:rPr>
              <w:t>；</w:t>
            </w:r>
          </w:p>
          <w:p w14:paraId="299D8344">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jc w:val="left"/>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lang w:val="en-US" w:eastAsia="zh-CN"/>
              </w:rPr>
              <w:t>七</w:t>
            </w:r>
            <w:r>
              <w:rPr>
                <w:rFonts w:hint="eastAsia" w:ascii="仿宋_GB2312" w:hAnsi="仿宋_GB2312" w:eastAsia="仿宋_GB2312" w:cs="仿宋_GB2312"/>
                <w:spacing w:val="0"/>
                <w:sz w:val="20"/>
                <w:szCs w:val="20"/>
                <w:highlight w:val="none"/>
                <w:shd w:val="clear" w:color="auto" w:fill="auto"/>
                <w:lang w:eastAsia="zh-CN"/>
              </w:rPr>
              <w:t>）</w:t>
            </w:r>
            <w:r>
              <w:rPr>
                <w:rFonts w:hint="eastAsia" w:ascii="仿宋_GB2312" w:hAnsi="仿宋_GB2312" w:eastAsia="仿宋_GB2312" w:cs="仿宋_GB2312"/>
                <w:spacing w:val="0"/>
                <w:sz w:val="20"/>
                <w:szCs w:val="20"/>
                <w:highlight w:val="none"/>
                <w:shd w:val="clear" w:color="auto" w:fill="auto"/>
              </w:rPr>
              <w:t>客运架空索道登记标志、检验合格标志。</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51358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《滑雪场所的运行和管理规范》GB/T 43700-2024第7.4条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13781F1">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0EB90B61">
        <w:trPr>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5B0436F">
            <w:pPr>
              <w:pStyle w:val="15"/>
              <w:keepNext w:val="0"/>
              <w:keepLines w:val="0"/>
              <w:pageBreakBefore w:val="0"/>
              <w:numPr>
                <w:ilvl w:val="0"/>
                <w:numId w:val="0"/>
              </w:numPr>
              <w:kinsoku/>
              <w:wordWrap/>
              <w:overflowPunct/>
              <w:topLinePunct w:val="0"/>
              <w:autoSpaceDE/>
              <w:autoSpaceDN/>
              <w:bidi w:val="0"/>
              <w:spacing w:line="280" w:lineRule="exact"/>
              <w:ind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59</w:t>
            </w:r>
          </w:p>
        </w:tc>
        <w:tc>
          <w:tcPr>
            <w:tcW w:w="769" w:type="dxa"/>
            <w:vMerge w:val="continue"/>
            <w:tcBorders>
              <w:left w:val="single" w:color="auto" w:sz="6" w:space="0"/>
              <w:right w:val="single" w:color="auto" w:sz="6" w:space="0"/>
            </w:tcBorders>
            <w:noWrap w:val="0"/>
            <w:tcMar>
              <w:left w:w="0" w:type="dxa"/>
              <w:right w:w="0" w:type="dxa"/>
            </w:tcMar>
            <w:vAlign w:val="center"/>
          </w:tcPr>
          <w:p w14:paraId="32502C22">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856B4BF">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安全疏散类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13D16F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rPr>
              <w:t>占用、堵塞、封闭疏散通道</w:t>
            </w:r>
            <w:r>
              <w:rPr>
                <w:rFonts w:hint="eastAsia" w:ascii="仿宋_GB2312" w:hAnsi="仿宋_GB2312" w:eastAsia="仿宋_GB2312" w:cs="仿宋_GB2312"/>
                <w:spacing w:val="0"/>
                <w:sz w:val="20"/>
                <w:szCs w:val="20"/>
                <w:highlight w:val="none"/>
                <w:lang w:eastAsia="zh-CN"/>
              </w:rPr>
              <w:t>。</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61CF1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rPr>
              <w:t>安全出口、疏散通道畅通，</w:t>
            </w:r>
            <w:r>
              <w:rPr>
                <w:rFonts w:hint="eastAsia" w:ascii="仿宋_GB2312" w:hAnsi="仿宋_GB2312" w:eastAsia="仿宋_GB2312" w:cs="仿宋_GB2312"/>
                <w:spacing w:val="0"/>
                <w:sz w:val="20"/>
                <w:szCs w:val="20"/>
                <w:highlight w:val="none"/>
                <w:lang w:val="en-US" w:eastAsia="zh-CN"/>
              </w:rPr>
              <w:t>无</w:t>
            </w:r>
            <w:r>
              <w:rPr>
                <w:rFonts w:hint="eastAsia" w:ascii="仿宋_GB2312" w:hAnsi="仿宋_GB2312" w:eastAsia="仿宋_GB2312" w:cs="仿宋_GB2312"/>
                <w:spacing w:val="0"/>
                <w:sz w:val="20"/>
                <w:szCs w:val="20"/>
                <w:highlight w:val="none"/>
              </w:rPr>
              <w:t>占用、堵塞、封闭安全出口和疏散</w:t>
            </w:r>
            <w:r>
              <w:rPr>
                <w:rFonts w:hint="eastAsia" w:ascii="仿宋_GB2312" w:hAnsi="仿宋_GB2312" w:eastAsia="仿宋_GB2312" w:cs="仿宋_GB2312"/>
                <w:spacing w:val="0"/>
                <w:sz w:val="20"/>
                <w:szCs w:val="20"/>
                <w:highlight w:val="none"/>
                <w:lang w:eastAsia="zh-CN"/>
              </w:rPr>
              <w:t>通道</w:t>
            </w:r>
            <w:r>
              <w:rPr>
                <w:rFonts w:hint="eastAsia" w:ascii="仿宋_GB2312" w:hAnsi="仿宋_GB2312" w:eastAsia="仿宋_GB2312" w:cs="仿宋_GB2312"/>
                <w:spacing w:val="0"/>
                <w:sz w:val="20"/>
                <w:szCs w:val="20"/>
                <w:highlight w:val="none"/>
              </w:rPr>
              <w:t>或者有其他妨碍安全疏散的行为</w:t>
            </w:r>
            <w:r>
              <w:rPr>
                <w:rFonts w:hint="eastAsia" w:ascii="仿宋_GB2312" w:hAnsi="仿宋_GB2312" w:eastAsia="仿宋_GB2312" w:cs="仿宋_GB2312"/>
                <w:spacing w:val="0"/>
                <w:sz w:val="20"/>
                <w:szCs w:val="20"/>
                <w:highlight w:val="none"/>
                <w:lang w:eastAsia="zh-CN"/>
              </w:rPr>
              <w:t>。</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C3DD8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《中华人民共和国消防法》第十六条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11670C5">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7757E046">
        <w:trPr>
          <w:trHeight w:val="673" w:hRule="atLeast"/>
          <w:jc w:val="center"/>
        </w:trPr>
        <w:tc>
          <w:tcPr>
            <w:tcW w:w="1642"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F4AE11D">
            <w:pPr>
              <w:pStyle w:val="15"/>
              <w:keepNext w:val="0"/>
              <w:keepLines w:val="0"/>
              <w:pageBreakBefore w:val="0"/>
              <w:numPr>
                <w:ilvl w:val="0"/>
                <w:numId w:val="0"/>
              </w:numPr>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z w:val="20"/>
                <w:szCs w:val="20"/>
                <w:highlight w:val="none"/>
                <w:lang w:eastAsia="zh-CN"/>
              </w:rPr>
              <w:t>02.4.0</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w:t>
            </w:r>
            <w:r>
              <w:rPr>
                <w:rFonts w:hint="eastAsia" w:ascii="仿宋_GB2312" w:hAnsi="仿宋_GB2312" w:eastAsia="仿宋_GB2312" w:cs="仿宋_GB2312"/>
                <w:sz w:val="20"/>
                <w:szCs w:val="20"/>
                <w:highlight w:val="none"/>
                <w:lang w:val="en-US" w:eastAsia="zh-CN"/>
              </w:rPr>
              <w:t>60</w:t>
            </w:r>
          </w:p>
        </w:tc>
        <w:tc>
          <w:tcPr>
            <w:tcW w:w="769" w:type="dxa"/>
            <w:vMerge w:val="continue"/>
            <w:tcBorders>
              <w:left w:val="single" w:color="auto" w:sz="6" w:space="0"/>
              <w:right w:val="single" w:color="auto" w:sz="6" w:space="0"/>
            </w:tcBorders>
            <w:noWrap w:val="0"/>
            <w:tcMar>
              <w:left w:w="0" w:type="dxa"/>
              <w:right w:w="0" w:type="dxa"/>
            </w:tcMar>
            <w:vAlign w:val="center"/>
          </w:tcPr>
          <w:p w14:paraId="0B49F091">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spacing w:val="0"/>
                <w:sz w:val="20"/>
                <w:szCs w:val="20"/>
                <w:highlight w:val="none"/>
              </w:rPr>
            </w:pPr>
          </w:p>
        </w:tc>
        <w:tc>
          <w:tcPr>
            <w:tcW w:w="91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644CF8">
            <w:pPr>
              <w:pStyle w:val="15"/>
              <w:keepNext w:val="0"/>
              <w:keepLines w:val="0"/>
              <w:pageBreakBefore w:val="0"/>
              <w:kinsoku/>
              <w:wordWrap/>
              <w:overflowPunct/>
              <w:topLinePunct w:val="0"/>
              <w:autoSpaceDE/>
              <w:autoSpaceDN/>
              <w:bidi w:val="0"/>
              <w:spacing w:line="28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作业环境类</w:t>
            </w:r>
          </w:p>
        </w:tc>
        <w:tc>
          <w:tcPr>
            <w:tcW w:w="2653"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49E4C0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公共区域未采取防滑措施。</w:t>
            </w:r>
          </w:p>
        </w:tc>
        <w:tc>
          <w:tcPr>
            <w:tcW w:w="370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601D8B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雪具大厅、更衣区域、卫生间、带有楼梯路段及通往滑雪道的过道等公共区域</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采取防滑措施。</w:t>
            </w:r>
          </w:p>
        </w:tc>
        <w:tc>
          <w:tcPr>
            <w:tcW w:w="4471"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6F70C9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《体育场所开放条件与技术要求第6部分：滑雪场所》GB 19079.6-2013第</w:t>
            </w:r>
            <w:r>
              <w:rPr>
                <w:rFonts w:hint="eastAsia" w:ascii="仿宋_GB2312" w:hAnsi="仿宋_GB2312" w:eastAsia="仿宋_GB2312" w:cs="仿宋_GB2312"/>
                <w:spacing w:val="0"/>
                <w:sz w:val="20"/>
                <w:szCs w:val="20"/>
                <w:highlight w:val="none"/>
                <w:lang w:val="en-US" w:eastAsia="zh-CN"/>
              </w:rPr>
              <w:t>7.4</w:t>
            </w:r>
            <w:r>
              <w:rPr>
                <w:rFonts w:hint="eastAsia" w:ascii="仿宋_GB2312" w:hAnsi="仿宋_GB2312" w:eastAsia="仿宋_GB2312" w:cs="仿宋_GB2312"/>
                <w:spacing w:val="0"/>
                <w:sz w:val="20"/>
                <w:szCs w:val="20"/>
                <w:highlight w:val="none"/>
              </w:rPr>
              <w:t>条</w:t>
            </w:r>
          </w:p>
        </w:tc>
        <w:tc>
          <w:tcPr>
            <w:tcW w:w="812" w:type="dxa"/>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D11AD4B">
            <w:pPr>
              <w:keepNext w:val="0"/>
              <w:keepLines w:val="0"/>
              <w:pageBreakBefore w:val="0"/>
              <w:widowControl/>
              <w:kinsoku/>
              <w:wordWrap/>
              <w:overflowPunct/>
              <w:topLinePunct w:val="0"/>
              <w:autoSpaceDE/>
              <w:autoSpaceDN/>
              <w:bidi w:val="0"/>
              <w:snapToGrid w:val="0"/>
              <w:spacing w:line="28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339F8253">
        <w:trPr>
          <w:trHeight w:val="673" w:hRule="atLeast"/>
          <w:jc w:val="center"/>
        </w:trPr>
        <w:tc>
          <w:tcPr>
            <w:tcW w:w="14964" w:type="dxa"/>
            <w:gridSpan w:val="7"/>
            <w:tcBorders>
              <w:top w:val="single" w:color="auto" w:sz="6" w:space="0"/>
              <w:left w:val="single" w:color="auto" w:sz="12" w:space="0"/>
              <w:bottom w:val="single" w:color="auto" w:sz="6" w:space="0"/>
              <w:right w:val="single" w:color="auto" w:sz="12" w:space="0"/>
            </w:tcBorders>
            <w:noWrap w:val="0"/>
            <w:tcMar>
              <w:left w:w="0" w:type="dxa"/>
              <w:right w:w="0" w:type="dxa"/>
            </w:tcMar>
            <w:vAlign w:val="center"/>
          </w:tcPr>
          <w:p w14:paraId="6B792EFC">
            <w:pPr>
              <w:pStyle w:val="15"/>
              <w:keepNext w:val="0"/>
              <w:keepLines w:val="0"/>
              <w:pageBreakBefore w:val="0"/>
              <w:kinsoku/>
              <w:wordWrap/>
              <w:overflowPunct/>
              <w:topLinePunct w:val="0"/>
              <w:autoSpaceDE/>
              <w:autoSpaceDN/>
              <w:bidi w:val="0"/>
              <w:spacing w:line="28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spacing w:val="0"/>
                <w:sz w:val="20"/>
                <w:szCs w:val="20"/>
                <w:highlight w:val="none"/>
                <w:shd w:val="clear" w:color="auto" w:fill="auto"/>
              </w:rPr>
              <w:t>注：备注中标识“★”的，属于本行业的重大隐患。</w:t>
            </w:r>
          </w:p>
        </w:tc>
      </w:tr>
    </w:tbl>
    <w:p w14:paraId="62FFED90"/>
    <w:sectPr>
      <w:footerReference r:id="rId3" w:type="default"/>
      <w:pgSz w:w="16838" w:h="11906" w:orient="landscape"/>
      <w:pgMar w:top="1689"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BD7">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2AF207B7"/>
    <w:rsid w:val="0094794C"/>
    <w:rsid w:val="00A641FB"/>
    <w:rsid w:val="00E32B3E"/>
    <w:rsid w:val="01376B7A"/>
    <w:rsid w:val="014A59B8"/>
    <w:rsid w:val="01A050EF"/>
    <w:rsid w:val="01D77E69"/>
    <w:rsid w:val="023B0215"/>
    <w:rsid w:val="026C6D7F"/>
    <w:rsid w:val="02EA4873"/>
    <w:rsid w:val="03092A98"/>
    <w:rsid w:val="031F2043"/>
    <w:rsid w:val="032901FD"/>
    <w:rsid w:val="033F3AD3"/>
    <w:rsid w:val="036363D4"/>
    <w:rsid w:val="03C31DCA"/>
    <w:rsid w:val="03CE7CF1"/>
    <w:rsid w:val="03F311DF"/>
    <w:rsid w:val="04206237"/>
    <w:rsid w:val="046645BB"/>
    <w:rsid w:val="049021B3"/>
    <w:rsid w:val="04A647CA"/>
    <w:rsid w:val="051C67EE"/>
    <w:rsid w:val="056159F6"/>
    <w:rsid w:val="057A6C73"/>
    <w:rsid w:val="05AF5900"/>
    <w:rsid w:val="05C26A0B"/>
    <w:rsid w:val="05D22C42"/>
    <w:rsid w:val="05F15F19"/>
    <w:rsid w:val="05F67F28"/>
    <w:rsid w:val="062F6A41"/>
    <w:rsid w:val="069468A4"/>
    <w:rsid w:val="06F105E8"/>
    <w:rsid w:val="073F0F06"/>
    <w:rsid w:val="075077D4"/>
    <w:rsid w:val="0764271A"/>
    <w:rsid w:val="07AB7594"/>
    <w:rsid w:val="07D911AC"/>
    <w:rsid w:val="07F7533D"/>
    <w:rsid w:val="083D71F3"/>
    <w:rsid w:val="083E7181"/>
    <w:rsid w:val="085C20B1"/>
    <w:rsid w:val="08B1373D"/>
    <w:rsid w:val="08CE42EF"/>
    <w:rsid w:val="092E1232"/>
    <w:rsid w:val="092F6E09"/>
    <w:rsid w:val="094A2C12"/>
    <w:rsid w:val="094F5377"/>
    <w:rsid w:val="098A290C"/>
    <w:rsid w:val="09AD03A9"/>
    <w:rsid w:val="0A535350"/>
    <w:rsid w:val="0B574A70"/>
    <w:rsid w:val="0B5A7BE7"/>
    <w:rsid w:val="0B754EF6"/>
    <w:rsid w:val="0B811AED"/>
    <w:rsid w:val="0BAC37A5"/>
    <w:rsid w:val="0BB2614A"/>
    <w:rsid w:val="0BDB744F"/>
    <w:rsid w:val="0BE300B2"/>
    <w:rsid w:val="0C2435D0"/>
    <w:rsid w:val="0C281F69"/>
    <w:rsid w:val="0C6531BD"/>
    <w:rsid w:val="0D0E34A6"/>
    <w:rsid w:val="0DAA597D"/>
    <w:rsid w:val="0DD74EA9"/>
    <w:rsid w:val="0E514B8C"/>
    <w:rsid w:val="0EA224A6"/>
    <w:rsid w:val="0EC35F79"/>
    <w:rsid w:val="0EC57F43"/>
    <w:rsid w:val="0EDE00E9"/>
    <w:rsid w:val="0EE92BE4"/>
    <w:rsid w:val="0EEF6D6E"/>
    <w:rsid w:val="0F452E31"/>
    <w:rsid w:val="0F7B6853"/>
    <w:rsid w:val="0F7D7472"/>
    <w:rsid w:val="0F985657"/>
    <w:rsid w:val="10263F10"/>
    <w:rsid w:val="10704CDD"/>
    <w:rsid w:val="107C5A41"/>
    <w:rsid w:val="110227F3"/>
    <w:rsid w:val="117417AC"/>
    <w:rsid w:val="119360D6"/>
    <w:rsid w:val="119F5E84"/>
    <w:rsid w:val="11EC4BE0"/>
    <w:rsid w:val="12260B7B"/>
    <w:rsid w:val="12443874"/>
    <w:rsid w:val="134203FD"/>
    <w:rsid w:val="13637D2A"/>
    <w:rsid w:val="13741F37"/>
    <w:rsid w:val="137F7918"/>
    <w:rsid w:val="13806B2E"/>
    <w:rsid w:val="13C47570"/>
    <w:rsid w:val="13DB383B"/>
    <w:rsid w:val="13F13F47"/>
    <w:rsid w:val="142E658A"/>
    <w:rsid w:val="14447B5C"/>
    <w:rsid w:val="147C10A3"/>
    <w:rsid w:val="14BA1BCC"/>
    <w:rsid w:val="14F43330"/>
    <w:rsid w:val="157D344D"/>
    <w:rsid w:val="1585042C"/>
    <w:rsid w:val="15B14D7D"/>
    <w:rsid w:val="15EA64E1"/>
    <w:rsid w:val="15FF1F8C"/>
    <w:rsid w:val="15FF5772"/>
    <w:rsid w:val="169528F0"/>
    <w:rsid w:val="16BA2357"/>
    <w:rsid w:val="16F77107"/>
    <w:rsid w:val="171E6442"/>
    <w:rsid w:val="17A80401"/>
    <w:rsid w:val="17AE706B"/>
    <w:rsid w:val="17E07B9B"/>
    <w:rsid w:val="1820443C"/>
    <w:rsid w:val="187D53EA"/>
    <w:rsid w:val="18803212"/>
    <w:rsid w:val="188624F1"/>
    <w:rsid w:val="18A3708E"/>
    <w:rsid w:val="18F51424"/>
    <w:rsid w:val="18F55FDC"/>
    <w:rsid w:val="19297FBA"/>
    <w:rsid w:val="19F81098"/>
    <w:rsid w:val="1A107607"/>
    <w:rsid w:val="1A1B310D"/>
    <w:rsid w:val="1A1C129C"/>
    <w:rsid w:val="1A1F2A96"/>
    <w:rsid w:val="1A2F4651"/>
    <w:rsid w:val="1A324E27"/>
    <w:rsid w:val="1A417308"/>
    <w:rsid w:val="1AF5557E"/>
    <w:rsid w:val="1B391A9C"/>
    <w:rsid w:val="1B397CEE"/>
    <w:rsid w:val="1B8076CB"/>
    <w:rsid w:val="1BAD248A"/>
    <w:rsid w:val="1BC73E16"/>
    <w:rsid w:val="1C2362A8"/>
    <w:rsid w:val="1CDF0421"/>
    <w:rsid w:val="1D210A3A"/>
    <w:rsid w:val="1D36397B"/>
    <w:rsid w:val="1D3648B1"/>
    <w:rsid w:val="1E116D00"/>
    <w:rsid w:val="1E5113B6"/>
    <w:rsid w:val="1E8A38F9"/>
    <w:rsid w:val="1E8E485C"/>
    <w:rsid w:val="1EA90CE7"/>
    <w:rsid w:val="1EA96F39"/>
    <w:rsid w:val="1EBC4DB7"/>
    <w:rsid w:val="1F0873E3"/>
    <w:rsid w:val="1F8D0609"/>
    <w:rsid w:val="1FA92F69"/>
    <w:rsid w:val="20074B60"/>
    <w:rsid w:val="201F1C02"/>
    <w:rsid w:val="2034611A"/>
    <w:rsid w:val="20691332"/>
    <w:rsid w:val="207E61A3"/>
    <w:rsid w:val="20846ED6"/>
    <w:rsid w:val="2087480D"/>
    <w:rsid w:val="2098432B"/>
    <w:rsid w:val="20C4005A"/>
    <w:rsid w:val="20EC3555"/>
    <w:rsid w:val="215F7D83"/>
    <w:rsid w:val="21871088"/>
    <w:rsid w:val="21BB03AA"/>
    <w:rsid w:val="222114EB"/>
    <w:rsid w:val="223E208E"/>
    <w:rsid w:val="22A937DB"/>
    <w:rsid w:val="22DC0519"/>
    <w:rsid w:val="231D2794"/>
    <w:rsid w:val="23944D5D"/>
    <w:rsid w:val="23CD191B"/>
    <w:rsid w:val="23F5078E"/>
    <w:rsid w:val="241412F8"/>
    <w:rsid w:val="24247062"/>
    <w:rsid w:val="242B03F0"/>
    <w:rsid w:val="242B4894"/>
    <w:rsid w:val="24303C58"/>
    <w:rsid w:val="2444279F"/>
    <w:rsid w:val="24CE7345"/>
    <w:rsid w:val="24DB0068"/>
    <w:rsid w:val="25262F8B"/>
    <w:rsid w:val="25B763DF"/>
    <w:rsid w:val="25CC7D1A"/>
    <w:rsid w:val="26267822"/>
    <w:rsid w:val="264659B5"/>
    <w:rsid w:val="267A740D"/>
    <w:rsid w:val="26C64CD5"/>
    <w:rsid w:val="275C1AD4"/>
    <w:rsid w:val="278A18D2"/>
    <w:rsid w:val="27A74232"/>
    <w:rsid w:val="27C900F4"/>
    <w:rsid w:val="27D66CC5"/>
    <w:rsid w:val="27F84A8D"/>
    <w:rsid w:val="28FD67FF"/>
    <w:rsid w:val="29015BC3"/>
    <w:rsid w:val="290F6532"/>
    <w:rsid w:val="291122AA"/>
    <w:rsid w:val="297E0FC2"/>
    <w:rsid w:val="299608EE"/>
    <w:rsid w:val="29EB1F0F"/>
    <w:rsid w:val="29FB0865"/>
    <w:rsid w:val="2A6F6DBF"/>
    <w:rsid w:val="2AF207B7"/>
    <w:rsid w:val="2BDF21EC"/>
    <w:rsid w:val="2BF612E4"/>
    <w:rsid w:val="2C041C52"/>
    <w:rsid w:val="2C22688D"/>
    <w:rsid w:val="2CA151A5"/>
    <w:rsid w:val="2CC44FA1"/>
    <w:rsid w:val="2CFC5E23"/>
    <w:rsid w:val="2DA706BF"/>
    <w:rsid w:val="2DA94B79"/>
    <w:rsid w:val="2DD40248"/>
    <w:rsid w:val="2E19750B"/>
    <w:rsid w:val="2E2F6D2F"/>
    <w:rsid w:val="2E47051C"/>
    <w:rsid w:val="2E8452CD"/>
    <w:rsid w:val="2F1033BF"/>
    <w:rsid w:val="2F3C203B"/>
    <w:rsid w:val="2F5B4CE0"/>
    <w:rsid w:val="2F6740E2"/>
    <w:rsid w:val="2F77098D"/>
    <w:rsid w:val="2F8F5CD7"/>
    <w:rsid w:val="2FA6164C"/>
    <w:rsid w:val="2FAE6CC2"/>
    <w:rsid w:val="2FB120F1"/>
    <w:rsid w:val="2FE2332B"/>
    <w:rsid w:val="30081198"/>
    <w:rsid w:val="30CC56F5"/>
    <w:rsid w:val="30E97669"/>
    <w:rsid w:val="30F73B34"/>
    <w:rsid w:val="31684A32"/>
    <w:rsid w:val="316A07AA"/>
    <w:rsid w:val="316E43A3"/>
    <w:rsid w:val="320229AC"/>
    <w:rsid w:val="320D7387"/>
    <w:rsid w:val="323B3EF4"/>
    <w:rsid w:val="326C2300"/>
    <w:rsid w:val="327546C5"/>
    <w:rsid w:val="3277732C"/>
    <w:rsid w:val="32807CEF"/>
    <w:rsid w:val="32A94879"/>
    <w:rsid w:val="32F25E89"/>
    <w:rsid w:val="33260525"/>
    <w:rsid w:val="33396FD8"/>
    <w:rsid w:val="33CB74FA"/>
    <w:rsid w:val="33EA1978"/>
    <w:rsid w:val="33ED7C29"/>
    <w:rsid w:val="33FC76B3"/>
    <w:rsid w:val="34000D04"/>
    <w:rsid w:val="3400642D"/>
    <w:rsid w:val="340071A3"/>
    <w:rsid w:val="34721DC0"/>
    <w:rsid w:val="34A22009"/>
    <w:rsid w:val="34A51AF9"/>
    <w:rsid w:val="35066FCA"/>
    <w:rsid w:val="350E6B8A"/>
    <w:rsid w:val="35205689"/>
    <w:rsid w:val="359A3628"/>
    <w:rsid w:val="360B0081"/>
    <w:rsid w:val="3619279E"/>
    <w:rsid w:val="368C4D1E"/>
    <w:rsid w:val="36C34C85"/>
    <w:rsid w:val="36F67115"/>
    <w:rsid w:val="374B6987"/>
    <w:rsid w:val="37677539"/>
    <w:rsid w:val="37712166"/>
    <w:rsid w:val="378325C5"/>
    <w:rsid w:val="379320DC"/>
    <w:rsid w:val="37A442EA"/>
    <w:rsid w:val="37B54749"/>
    <w:rsid w:val="37BD36D2"/>
    <w:rsid w:val="38525F74"/>
    <w:rsid w:val="39273042"/>
    <w:rsid w:val="396B35F2"/>
    <w:rsid w:val="396F14C1"/>
    <w:rsid w:val="397E17C8"/>
    <w:rsid w:val="39B747A8"/>
    <w:rsid w:val="39ED2F0C"/>
    <w:rsid w:val="3A0E0140"/>
    <w:rsid w:val="3A5A5133"/>
    <w:rsid w:val="3A8E63E2"/>
    <w:rsid w:val="3ABC194A"/>
    <w:rsid w:val="3B1654FE"/>
    <w:rsid w:val="3B2A2D58"/>
    <w:rsid w:val="3B8406BA"/>
    <w:rsid w:val="3BD916CB"/>
    <w:rsid w:val="3C410359"/>
    <w:rsid w:val="3CD967E3"/>
    <w:rsid w:val="3D033860"/>
    <w:rsid w:val="3D4A148F"/>
    <w:rsid w:val="3D6C3AFB"/>
    <w:rsid w:val="3D7824A0"/>
    <w:rsid w:val="3D915AF2"/>
    <w:rsid w:val="3DC41242"/>
    <w:rsid w:val="3DCC00F6"/>
    <w:rsid w:val="3DD12B04"/>
    <w:rsid w:val="3DEE62BF"/>
    <w:rsid w:val="3DFD3A5F"/>
    <w:rsid w:val="3E0C2CE4"/>
    <w:rsid w:val="3E4E063F"/>
    <w:rsid w:val="3E5A1BA6"/>
    <w:rsid w:val="3E7346C6"/>
    <w:rsid w:val="3E8409D1"/>
    <w:rsid w:val="3E971969"/>
    <w:rsid w:val="3EB734C6"/>
    <w:rsid w:val="3EB92D70"/>
    <w:rsid w:val="3EE6343A"/>
    <w:rsid w:val="3F033FEC"/>
    <w:rsid w:val="3F294E93"/>
    <w:rsid w:val="3F6F342F"/>
    <w:rsid w:val="3F8B5C08"/>
    <w:rsid w:val="3FDE5C0F"/>
    <w:rsid w:val="400224F5"/>
    <w:rsid w:val="403A3A3D"/>
    <w:rsid w:val="403B4325"/>
    <w:rsid w:val="404722ED"/>
    <w:rsid w:val="406E0A06"/>
    <w:rsid w:val="407F58F4"/>
    <w:rsid w:val="40842F0A"/>
    <w:rsid w:val="40963817"/>
    <w:rsid w:val="40A43A44"/>
    <w:rsid w:val="40C96B6F"/>
    <w:rsid w:val="40D479EE"/>
    <w:rsid w:val="40FC5196"/>
    <w:rsid w:val="410A1661"/>
    <w:rsid w:val="412D35A2"/>
    <w:rsid w:val="413D1A37"/>
    <w:rsid w:val="418C2076"/>
    <w:rsid w:val="41B33AA7"/>
    <w:rsid w:val="42622515"/>
    <w:rsid w:val="42B011E1"/>
    <w:rsid w:val="43043A6B"/>
    <w:rsid w:val="430B346F"/>
    <w:rsid w:val="432E715D"/>
    <w:rsid w:val="433330F0"/>
    <w:rsid w:val="43543068"/>
    <w:rsid w:val="435C03FF"/>
    <w:rsid w:val="43654AFE"/>
    <w:rsid w:val="44095C00"/>
    <w:rsid w:val="44953938"/>
    <w:rsid w:val="4530540F"/>
    <w:rsid w:val="45396B58"/>
    <w:rsid w:val="4568104C"/>
    <w:rsid w:val="45B44292"/>
    <w:rsid w:val="45C52038"/>
    <w:rsid w:val="45EF52CA"/>
    <w:rsid w:val="46470C62"/>
    <w:rsid w:val="465E008D"/>
    <w:rsid w:val="46641385"/>
    <w:rsid w:val="4669507C"/>
    <w:rsid w:val="469E66F5"/>
    <w:rsid w:val="46ED1809"/>
    <w:rsid w:val="471B43FC"/>
    <w:rsid w:val="472109DA"/>
    <w:rsid w:val="477E401C"/>
    <w:rsid w:val="47B70069"/>
    <w:rsid w:val="47BE4F54"/>
    <w:rsid w:val="47E758BF"/>
    <w:rsid w:val="47F84B3F"/>
    <w:rsid w:val="480F57AF"/>
    <w:rsid w:val="48697AB7"/>
    <w:rsid w:val="487321E2"/>
    <w:rsid w:val="48DA400F"/>
    <w:rsid w:val="48F43D21"/>
    <w:rsid w:val="490B41C9"/>
    <w:rsid w:val="49C76E6D"/>
    <w:rsid w:val="4A4756D4"/>
    <w:rsid w:val="4A6B1BCF"/>
    <w:rsid w:val="4A772E29"/>
    <w:rsid w:val="4A804A80"/>
    <w:rsid w:val="4A9D4BFE"/>
    <w:rsid w:val="4AC601E4"/>
    <w:rsid w:val="4AD4683C"/>
    <w:rsid w:val="4AE90539"/>
    <w:rsid w:val="4B385596"/>
    <w:rsid w:val="4B607956"/>
    <w:rsid w:val="4B6723EE"/>
    <w:rsid w:val="4BA83F51"/>
    <w:rsid w:val="4BAB1187"/>
    <w:rsid w:val="4C0373D9"/>
    <w:rsid w:val="4C20442F"/>
    <w:rsid w:val="4C435E69"/>
    <w:rsid w:val="4C83051A"/>
    <w:rsid w:val="4C9D5EA3"/>
    <w:rsid w:val="4CC21042"/>
    <w:rsid w:val="4CD83D2D"/>
    <w:rsid w:val="4CDB2F0A"/>
    <w:rsid w:val="4CFF4044"/>
    <w:rsid w:val="4D8E53C8"/>
    <w:rsid w:val="4DA93FB0"/>
    <w:rsid w:val="4DE8474D"/>
    <w:rsid w:val="4E0C18BF"/>
    <w:rsid w:val="4E772300"/>
    <w:rsid w:val="4E7C697C"/>
    <w:rsid w:val="4EC07803"/>
    <w:rsid w:val="4F563CC4"/>
    <w:rsid w:val="4F950C90"/>
    <w:rsid w:val="4FA72771"/>
    <w:rsid w:val="4FD25A40"/>
    <w:rsid w:val="4FE35D07"/>
    <w:rsid w:val="50666188"/>
    <w:rsid w:val="506765BF"/>
    <w:rsid w:val="509F58CF"/>
    <w:rsid w:val="50A665E1"/>
    <w:rsid w:val="50EE4AFC"/>
    <w:rsid w:val="51042DF4"/>
    <w:rsid w:val="51A965AC"/>
    <w:rsid w:val="51EC377C"/>
    <w:rsid w:val="51ED4637"/>
    <w:rsid w:val="51F0092F"/>
    <w:rsid w:val="521505A8"/>
    <w:rsid w:val="52337BDD"/>
    <w:rsid w:val="5256389E"/>
    <w:rsid w:val="527F7A65"/>
    <w:rsid w:val="52E361B6"/>
    <w:rsid w:val="52F641FD"/>
    <w:rsid w:val="5341532F"/>
    <w:rsid w:val="5382777D"/>
    <w:rsid w:val="538D0E34"/>
    <w:rsid w:val="53A63C46"/>
    <w:rsid w:val="53D4712F"/>
    <w:rsid w:val="54077F97"/>
    <w:rsid w:val="54102FDB"/>
    <w:rsid w:val="54A51975"/>
    <w:rsid w:val="54D12B53"/>
    <w:rsid w:val="54E3249D"/>
    <w:rsid w:val="551B39E5"/>
    <w:rsid w:val="558E2409"/>
    <w:rsid w:val="559A3EE9"/>
    <w:rsid w:val="55DA65F4"/>
    <w:rsid w:val="55F304BE"/>
    <w:rsid w:val="56912DFF"/>
    <w:rsid w:val="569257CE"/>
    <w:rsid w:val="56A874FB"/>
    <w:rsid w:val="56B91708"/>
    <w:rsid w:val="573615CD"/>
    <w:rsid w:val="578441F7"/>
    <w:rsid w:val="57892A6D"/>
    <w:rsid w:val="579655A5"/>
    <w:rsid w:val="57A852D8"/>
    <w:rsid w:val="57CA16F3"/>
    <w:rsid w:val="57CC4F2E"/>
    <w:rsid w:val="57DB56AE"/>
    <w:rsid w:val="57F624E8"/>
    <w:rsid w:val="582726A1"/>
    <w:rsid w:val="585A65D3"/>
    <w:rsid w:val="585F008D"/>
    <w:rsid w:val="58794677"/>
    <w:rsid w:val="5919023C"/>
    <w:rsid w:val="59205A6E"/>
    <w:rsid w:val="596F2552"/>
    <w:rsid w:val="59981AA8"/>
    <w:rsid w:val="5A3F1F24"/>
    <w:rsid w:val="5A556CD1"/>
    <w:rsid w:val="5A675BE5"/>
    <w:rsid w:val="5AE232B7"/>
    <w:rsid w:val="5B512B2C"/>
    <w:rsid w:val="5BA80B36"/>
    <w:rsid w:val="5C1D44E7"/>
    <w:rsid w:val="5C384E7D"/>
    <w:rsid w:val="5C3A0466"/>
    <w:rsid w:val="5C980114"/>
    <w:rsid w:val="5CA06784"/>
    <w:rsid w:val="5CE13766"/>
    <w:rsid w:val="5D465377"/>
    <w:rsid w:val="5D7A14C5"/>
    <w:rsid w:val="5D9F2CDA"/>
    <w:rsid w:val="5DA0717E"/>
    <w:rsid w:val="5E4F7943"/>
    <w:rsid w:val="5E697B64"/>
    <w:rsid w:val="5E742832"/>
    <w:rsid w:val="5E7A44C7"/>
    <w:rsid w:val="5E9D36BD"/>
    <w:rsid w:val="5ECC3FA2"/>
    <w:rsid w:val="5EDD1D0C"/>
    <w:rsid w:val="5EF43590"/>
    <w:rsid w:val="5F553F98"/>
    <w:rsid w:val="5F8B5C0B"/>
    <w:rsid w:val="60917251"/>
    <w:rsid w:val="60A056BD"/>
    <w:rsid w:val="60C211B9"/>
    <w:rsid w:val="617160D3"/>
    <w:rsid w:val="61730648"/>
    <w:rsid w:val="6196551D"/>
    <w:rsid w:val="61EF4230"/>
    <w:rsid w:val="62233ED9"/>
    <w:rsid w:val="624D6A2A"/>
    <w:rsid w:val="62BA6CA6"/>
    <w:rsid w:val="62FF18B4"/>
    <w:rsid w:val="631847DA"/>
    <w:rsid w:val="631D70E0"/>
    <w:rsid w:val="6330515E"/>
    <w:rsid w:val="63536EA5"/>
    <w:rsid w:val="63A07BF5"/>
    <w:rsid w:val="63FF0976"/>
    <w:rsid w:val="64017FB9"/>
    <w:rsid w:val="6410048D"/>
    <w:rsid w:val="64915A72"/>
    <w:rsid w:val="649B069F"/>
    <w:rsid w:val="64AA098E"/>
    <w:rsid w:val="64ED65BF"/>
    <w:rsid w:val="65E816C2"/>
    <w:rsid w:val="65F521F8"/>
    <w:rsid w:val="664F41DD"/>
    <w:rsid w:val="66552ACF"/>
    <w:rsid w:val="665F379E"/>
    <w:rsid w:val="667C005C"/>
    <w:rsid w:val="669C24AC"/>
    <w:rsid w:val="66AA2E1B"/>
    <w:rsid w:val="67090C80"/>
    <w:rsid w:val="67127E33"/>
    <w:rsid w:val="67A54E1F"/>
    <w:rsid w:val="67DA14DE"/>
    <w:rsid w:val="67DF08A2"/>
    <w:rsid w:val="68394457"/>
    <w:rsid w:val="688D6DD8"/>
    <w:rsid w:val="68993147"/>
    <w:rsid w:val="6949401F"/>
    <w:rsid w:val="694E2184"/>
    <w:rsid w:val="694F3806"/>
    <w:rsid w:val="69587641"/>
    <w:rsid w:val="699E7743"/>
    <w:rsid w:val="69B31AF3"/>
    <w:rsid w:val="69FD3262"/>
    <w:rsid w:val="6A0B64F1"/>
    <w:rsid w:val="6A2C2F99"/>
    <w:rsid w:val="6AA66D0E"/>
    <w:rsid w:val="6AC65D4A"/>
    <w:rsid w:val="6B264A3A"/>
    <w:rsid w:val="6C2F0A11"/>
    <w:rsid w:val="6C5975D6"/>
    <w:rsid w:val="6C8D2FC3"/>
    <w:rsid w:val="6CBD4F2A"/>
    <w:rsid w:val="6CD916A8"/>
    <w:rsid w:val="6CDE3082"/>
    <w:rsid w:val="6CE5773E"/>
    <w:rsid w:val="6CF7668E"/>
    <w:rsid w:val="6CFE6144"/>
    <w:rsid w:val="6D57537F"/>
    <w:rsid w:val="6D6D6950"/>
    <w:rsid w:val="6E2E60E0"/>
    <w:rsid w:val="6E6079FA"/>
    <w:rsid w:val="6E6C6C08"/>
    <w:rsid w:val="6EA61D4E"/>
    <w:rsid w:val="6ED8429D"/>
    <w:rsid w:val="6F103A37"/>
    <w:rsid w:val="6F1057E5"/>
    <w:rsid w:val="6F2E3EBD"/>
    <w:rsid w:val="6FF375E1"/>
    <w:rsid w:val="70182BA3"/>
    <w:rsid w:val="70822713"/>
    <w:rsid w:val="70D50A94"/>
    <w:rsid w:val="710C7BE6"/>
    <w:rsid w:val="7113780F"/>
    <w:rsid w:val="715E1726"/>
    <w:rsid w:val="717B5AE0"/>
    <w:rsid w:val="72444124"/>
    <w:rsid w:val="72944892"/>
    <w:rsid w:val="729C65B0"/>
    <w:rsid w:val="72B312A9"/>
    <w:rsid w:val="72EF6AD3"/>
    <w:rsid w:val="72F21DD2"/>
    <w:rsid w:val="730E028E"/>
    <w:rsid w:val="732B2E1C"/>
    <w:rsid w:val="73610D05"/>
    <w:rsid w:val="73661E78"/>
    <w:rsid w:val="737547B1"/>
    <w:rsid w:val="73E80A44"/>
    <w:rsid w:val="73F17840"/>
    <w:rsid w:val="740D2C3B"/>
    <w:rsid w:val="74DD260E"/>
    <w:rsid w:val="74EC7840"/>
    <w:rsid w:val="755B7094"/>
    <w:rsid w:val="756920F3"/>
    <w:rsid w:val="75D03F20"/>
    <w:rsid w:val="75EA6029"/>
    <w:rsid w:val="762101A7"/>
    <w:rsid w:val="76796ACA"/>
    <w:rsid w:val="76824C56"/>
    <w:rsid w:val="76E71522"/>
    <w:rsid w:val="76EF03D6"/>
    <w:rsid w:val="771A36A5"/>
    <w:rsid w:val="77732652"/>
    <w:rsid w:val="7826607A"/>
    <w:rsid w:val="78615304"/>
    <w:rsid w:val="78857244"/>
    <w:rsid w:val="789008F3"/>
    <w:rsid w:val="792720A9"/>
    <w:rsid w:val="793F73F3"/>
    <w:rsid w:val="79D12015"/>
    <w:rsid w:val="7A527ED6"/>
    <w:rsid w:val="7A8157E9"/>
    <w:rsid w:val="7A8C2B0C"/>
    <w:rsid w:val="7AE30252"/>
    <w:rsid w:val="7B4A3F5F"/>
    <w:rsid w:val="7BC938EC"/>
    <w:rsid w:val="7C501917"/>
    <w:rsid w:val="7C507B69"/>
    <w:rsid w:val="7C8E0F71"/>
    <w:rsid w:val="7D8950E1"/>
    <w:rsid w:val="7DFF1847"/>
    <w:rsid w:val="7E623564"/>
    <w:rsid w:val="7E7F64E4"/>
    <w:rsid w:val="7E8B30DA"/>
    <w:rsid w:val="7E987F4A"/>
    <w:rsid w:val="7EB76335"/>
    <w:rsid w:val="7FD4182B"/>
    <w:rsid w:val="7FDB5498"/>
    <w:rsid w:val="7FE501B7"/>
    <w:rsid w:val="7FFF5B2E"/>
    <w:rsid w:val="B6FE01E4"/>
    <w:rsid w:val="FC3F54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99"/>
    <w:pPr>
      <w:ind w:firstLine="420" w:firstLineChars="200"/>
    </w:pPr>
    <w:rPr>
      <w:rFonts w:eastAsia="宋体"/>
      <w:kern w:val="0"/>
    </w:rPr>
  </w:style>
  <w:style w:type="paragraph" w:styleId="4">
    <w:name w:val="Body Text Indent"/>
    <w:basedOn w:val="1"/>
    <w:next w:val="3"/>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kern w:val="0"/>
      <w:sz w:val="18"/>
      <w:szCs w:val="18"/>
      <w:lang w:val="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列表段落1"/>
    <w:basedOn w:val="1"/>
    <w:qFormat/>
    <w:uiPriority w:val="34"/>
    <w:pPr>
      <w:ind w:firstLine="420" w:firstLineChars="200"/>
    </w:pPr>
  </w:style>
  <w:style w:type="paragraph" w:customStyle="1" w:styleId="14">
    <w:name w:val="Other|1"/>
    <w:basedOn w:val="1"/>
    <w:qFormat/>
    <w:uiPriority w:val="99"/>
    <w:pPr>
      <w:jc w:val="left"/>
    </w:pPr>
    <w:rPr>
      <w:rFonts w:ascii="宋体" w:hAnsi="宋体" w:cs="宋体"/>
      <w:sz w:val="19"/>
      <w:szCs w:val="19"/>
      <w:lang w:val="zh-TW" w:eastAsia="zh-TW" w:bidi="zh-TW"/>
    </w:rPr>
  </w:style>
  <w:style w:type="paragraph" w:customStyle="1" w:styleId="15">
    <w:name w:val="风险隐患表格标准格式"/>
    <w:basedOn w:val="1"/>
    <w:qFormat/>
    <w:uiPriority w:val="0"/>
    <w:pPr>
      <w:snapToGrid w:val="0"/>
      <w:ind w:left="84" w:leftChars="40" w:right="84" w:rightChars="40"/>
      <w:jc w:val="left"/>
    </w:pPr>
    <w:rPr>
      <w:rFonts w:ascii="宋体" w:hAnsi="宋体"/>
      <w:color w:val="000000"/>
      <w:sz w:val="18"/>
      <w:szCs w:val="20"/>
      <w:lang w:bidi="mn-Mong-CN"/>
    </w:rPr>
  </w:style>
  <w:style w:type="table" w:customStyle="1" w:styleId="16">
    <w:name w:val="Table Normal2"/>
    <w:basedOn w:val="7"/>
    <w:qFormat/>
    <w:uiPriority w:val="0"/>
    <w:rPr>
      <w:rFonts w:eastAsia="Times New Roman"/>
    </w:rPr>
    <w:tblPr>
      <w:tblCellMar>
        <w:left w:w="0" w:type="dxa"/>
        <w:right w:w="0" w:type="dxa"/>
      </w:tblCellMar>
    </w:tblPr>
  </w:style>
  <w:style w:type="paragraph" w:customStyle="1" w:styleId="17">
    <w:name w:val="表内文字居中"/>
    <w:basedOn w:val="1"/>
    <w:qFormat/>
    <w:uiPriority w:val="0"/>
    <w:pPr>
      <w:snapToGrid w:val="0"/>
      <w:spacing w:line="280" w:lineRule="exact"/>
      <w:jc w:val="center"/>
    </w:pPr>
    <w:rPr>
      <w:rFonts w:ascii="Times New Roman" w:hAnsi="Times New Roman" w:eastAsia="方正书宋简体"/>
      <w:spacing w:val="4"/>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5016</Words>
  <Characters>5306</Characters>
  <Lines>0</Lines>
  <Paragraphs>0</Paragraphs>
  <TotalTime>4</TotalTime>
  <ScaleCrop>false</ScaleCrop>
  <LinksUpToDate>false</LinksUpToDate>
  <CharactersWithSpaces>5309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2023-04-30T03:50:00Z</dcterms:created>
  <dc:creator>admin</dc:creator>
  <cp:lastModifiedBy>匿名用户</cp:lastModifiedBy>
  <dcterms:modified xsi:type="dcterms:W3CDTF">2026-05-21T06:15:48Z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9D84E93DC28C4C3E901C799CA0671D99_13</vt:lpwstr>
  </property>
  <property fmtid="{D5CDD505-2E9C-101B-9397-08002B2CF9AE}" pid="4" name="KSOTemplateDocerSaveRecord">
    <vt:lpwstr>eyJoZGlkIjoiZTRmMmVkZThkZmZjNDk0ZWEzNzNkNWRmMDUzYmJiZDEiLCJ1c2VySWQiOiI3NjM2NDA2NTQifQ==</vt:lpwstr>
  </property>
</Properties>
</file>