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24FB1">
      <w:pPr>
        <w:bidi w:val="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3E5CAEBB">
      <w:pPr>
        <w:spacing w:line="540" w:lineRule="exact"/>
        <w:jc w:val="center"/>
        <w:outlineLvl w:val="1"/>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bidi="ar"/>
        </w:rPr>
        <w:t>10.4</w:t>
      </w:r>
      <w:r>
        <w:rPr>
          <w:rFonts w:hint="eastAsia" w:ascii="方正小标宋简体" w:hAnsi="方正小标宋简体" w:eastAsia="方正小标宋简体" w:cs="方正小标宋简体"/>
          <w:color w:val="000000"/>
          <w:sz w:val="44"/>
          <w:szCs w:val="44"/>
          <w:lang w:bidi="ar"/>
        </w:rPr>
        <w:t>北京市</w:t>
      </w:r>
      <w:r>
        <w:rPr>
          <w:rFonts w:hint="eastAsia" w:ascii="方正小标宋简体" w:hAnsi="方正小标宋简体" w:eastAsia="方正小标宋简体" w:cs="方正小标宋简体"/>
          <w:color w:val="000000"/>
          <w:sz w:val="44"/>
          <w:szCs w:val="44"/>
          <w:lang w:val="en-US" w:eastAsia="zh-CN" w:bidi="ar"/>
        </w:rPr>
        <w:t>健身房隐患自查清单</w:t>
      </w:r>
      <w:r>
        <w:rPr>
          <w:rFonts w:hint="eastAsia" w:ascii="方正小标宋简体" w:hAnsi="方正小标宋简体" w:eastAsia="方正小标宋简体" w:cs="方正小标宋简体"/>
          <w:color w:val="000000"/>
          <w:sz w:val="44"/>
          <w:szCs w:val="44"/>
          <w:lang w:bidi="ar"/>
        </w:rPr>
        <w:t>（202</w:t>
      </w:r>
      <w:r>
        <w:rPr>
          <w:rFonts w:hint="eastAsia" w:ascii="方正小标宋简体" w:hAnsi="方正小标宋简体" w:eastAsia="方正小标宋简体" w:cs="方正小标宋简体"/>
          <w:color w:val="000000"/>
          <w:sz w:val="44"/>
          <w:szCs w:val="44"/>
          <w:lang w:val="en-US" w:eastAsia="zh-CN" w:bidi="ar"/>
        </w:rPr>
        <w:t>6</w:t>
      </w:r>
      <w:r>
        <w:rPr>
          <w:rFonts w:hint="eastAsia" w:ascii="方正小标宋简体" w:hAnsi="方正小标宋简体" w:eastAsia="方正小标宋简体" w:cs="方正小标宋简体"/>
          <w:color w:val="000000"/>
          <w:sz w:val="44"/>
          <w:szCs w:val="44"/>
          <w:lang w:bidi="ar"/>
        </w:rPr>
        <w:t>年度</w:t>
      </w:r>
      <w:r>
        <w:rPr>
          <w:rFonts w:hint="eastAsia" w:ascii="方正小标宋简体" w:hAnsi="方正小标宋简体" w:eastAsia="方正小标宋简体" w:cs="方正小标宋简体"/>
          <w:color w:val="000000"/>
          <w:sz w:val="44"/>
          <w:szCs w:val="44"/>
          <w:lang w:eastAsia="zh-CN" w:bidi="ar"/>
        </w:rPr>
        <w:t>版</w:t>
      </w:r>
      <w:r>
        <w:rPr>
          <w:rFonts w:hint="eastAsia" w:ascii="方正小标宋简体" w:hAnsi="方正小标宋简体" w:eastAsia="方正小标宋简体" w:cs="方正小标宋简体"/>
          <w:color w:val="000000"/>
          <w:sz w:val="44"/>
          <w:szCs w:val="44"/>
          <w:lang w:bidi="ar"/>
        </w:rPr>
        <w:t>）</w:t>
      </w:r>
    </w:p>
    <w:tbl>
      <w:tblPr>
        <w:tblStyle w:val="6"/>
        <w:tblW w:w="532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12"/>
        <w:gridCol w:w="820"/>
        <w:gridCol w:w="805"/>
        <w:gridCol w:w="2639"/>
        <w:gridCol w:w="4074"/>
        <w:gridCol w:w="3976"/>
        <w:gridCol w:w="1077"/>
      </w:tblGrid>
      <w:tr w14:paraId="0ED42854">
        <w:trPr>
          <w:tblHeader/>
          <w:jc w:val="center"/>
        </w:trPr>
        <w:tc>
          <w:tcPr>
            <w:tcW w:w="507" w:type="pct"/>
            <w:vMerge w:val="restart"/>
            <w:tcBorders>
              <w:top w:val="single" w:color="auto" w:sz="12" w:space="0"/>
              <w:left w:val="single" w:color="auto" w:sz="12" w:space="0"/>
              <w:bottom w:val="single" w:color="auto" w:sz="6" w:space="0"/>
              <w:right w:val="single" w:color="auto" w:sz="6" w:space="0"/>
            </w:tcBorders>
            <w:shd w:val="clear" w:color="auto" w:fill="B8CCE4"/>
            <w:noWrap w:val="0"/>
            <w:tcMar>
              <w:left w:w="0" w:type="dxa"/>
              <w:right w:w="0" w:type="dxa"/>
            </w:tcMar>
            <w:vAlign w:val="center"/>
          </w:tcPr>
          <w:p w14:paraId="2267D9CB">
            <w:pPr>
              <w:widowControl/>
              <w:adjustRightInd w:val="0"/>
              <w:snapToGrid w:val="0"/>
              <w:spacing w:after="0" w:line="240" w:lineRule="auto"/>
              <w:jc w:val="center"/>
              <w:rPr>
                <w:rFonts w:hint="eastAsia" w:ascii="仿宋_GB2312" w:hAnsi="仿宋_GB2312" w:eastAsia="仿宋_GB2312" w:cs="仿宋_GB2312"/>
                <w:b/>
                <w:bCs/>
                <w:color w:val="000000"/>
                <w:spacing w:val="0"/>
                <w:sz w:val="20"/>
                <w:szCs w:val="20"/>
                <w:highlight w:val="none"/>
              </w:rPr>
            </w:pPr>
            <w:r>
              <w:rPr>
                <w:rFonts w:hint="eastAsia" w:ascii="仿宋_GB2312" w:hAnsi="仿宋_GB2312" w:eastAsia="仿宋_GB2312" w:cs="仿宋_GB2312"/>
                <w:b/>
                <w:bCs/>
                <w:kern w:val="0"/>
                <w:sz w:val="20"/>
                <w:szCs w:val="20"/>
                <w:highlight w:val="none"/>
              </w:rPr>
              <w:t>编号</w:t>
            </w:r>
          </w:p>
        </w:tc>
        <w:tc>
          <w:tcPr>
            <w:tcW w:w="545" w:type="pct"/>
            <w:gridSpan w:val="2"/>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58631148">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隐患分类</w:t>
            </w:r>
          </w:p>
        </w:tc>
        <w:tc>
          <w:tcPr>
            <w:tcW w:w="885" w:type="pct"/>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39214D19">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自查内容</w:t>
            </w:r>
          </w:p>
        </w:tc>
        <w:tc>
          <w:tcPr>
            <w:tcW w:w="1366" w:type="pct"/>
            <w:vMerge w:val="restart"/>
            <w:tcBorders>
              <w:top w:val="single" w:color="auto" w:sz="12" w:space="0"/>
              <w:left w:val="single" w:color="auto" w:sz="6" w:space="0"/>
              <w:right w:val="single" w:color="auto" w:sz="6" w:space="0"/>
            </w:tcBorders>
            <w:shd w:val="clear" w:color="auto" w:fill="B8CCE4"/>
            <w:noWrap w:val="0"/>
            <w:tcMar>
              <w:left w:w="0" w:type="dxa"/>
              <w:right w:w="0" w:type="dxa"/>
            </w:tcMar>
            <w:vAlign w:val="center"/>
          </w:tcPr>
          <w:p w14:paraId="74D33C1A">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自查标准</w:t>
            </w:r>
          </w:p>
        </w:tc>
        <w:tc>
          <w:tcPr>
            <w:tcW w:w="1333" w:type="pct"/>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538E517D">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设置依据</w:t>
            </w:r>
          </w:p>
        </w:tc>
        <w:tc>
          <w:tcPr>
            <w:tcW w:w="361" w:type="pct"/>
            <w:vMerge w:val="restart"/>
            <w:tcBorders>
              <w:top w:val="single" w:color="auto" w:sz="12" w:space="0"/>
              <w:left w:val="single" w:color="auto" w:sz="6" w:space="0"/>
              <w:bottom w:val="single" w:color="auto" w:sz="6" w:space="0"/>
              <w:right w:val="single" w:color="auto" w:sz="12" w:space="0"/>
            </w:tcBorders>
            <w:shd w:val="clear" w:color="auto" w:fill="B8CCE4"/>
            <w:noWrap w:val="0"/>
            <w:tcMar>
              <w:left w:w="0" w:type="dxa"/>
              <w:right w:w="0" w:type="dxa"/>
            </w:tcMar>
            <w:vAlign w:val="center"/>
          </w:tcPr>
          <w:p w14:paraId="58A60241">
            <w:pPr>
              <w:keepNext w:val="0"/>
              <w:keepLines w:val="0"/>
              <w:pageBreakBefore w:val="0"/>
              <w:kinsoku/>
              <w:wordWrap/>
              <w:overflowPunct/>
              <w:topLinePunct w:val="0"/>
              <w:autoSpaceDE/>
              <w:autoSpaceDN/>
              <w:bidi w:val="0"/>
              <w:snapToGrid w:val="0"/>
              <w:spacing w:line="300" w:lineRule="exact"/>
              <w:ind w:left="84" w:leftChars="40" w:right="84" w:rightChars="40"/>
              <w:jc w:val="center"/>
              <w:textAlignment w:val="auto"/>
              <w:rPr>
                <w:rFonts w:hint="eastAsia" w:ascii="仿宋_GB2312" w:hAnsi="仿宋_GB2312" w:eastAsia="仿宋_GB2312" w:cs="仿宋_GB2312"/>
                <w:b/>
                <w:bCs/>
                <w:color w:val="000000"/>
                <w:spacing w:val="0"/>
                <w:sz w:val="20"/>
                <w:szCs w:val="20"/>
                <w:highlight w:val="none"/>
              </w:rPr>
            </w:pPr>
            <w:r>
              <w:rPr>
                <w:rFonts w:hint="eastAsia" w:ascii="仿宋_GB2312" w:hAnsi="仿宋_GB2312" w:eastAsia="仿宋_GB2312" w:cs="仿宋_GB2312"/>
                <w:b/>
                <w:bCs/>
                <w:color w:val="000000"/>
                <w:spacing w:val="0"/>
                <w:sz w:val="20"/>
                <w:szCs w:val="20"/>
                <w:highlight w:val="none"/>
                <w:lang w:bidi="ar"/>
              </w:rPr>
              <w:t>备注</w:t>
            </w:r>
          </w:p>
        </w:tc>
      </w:tr>
      <w:tr w14:paraId="4659CF5D">
        <w:trPr>
          <w:tblHeader/>
          <w:jc w:val="center"/>
        </w:trPr>
        <w:tc>
          <w:tcPr>
            <w:tcW w:w="507" w:type="pct"/>
            <w:vMerge w:val="continue"/>
            <w:tcBorders>
              <w:top w:val="single" w:color="auto" w:sz="12" w:space="0"/>
              <w:left w:val="single" w:color="auto" w:sz="12" w:space="0"/>
              <w:bottom w:val="single" w:color="auto" w:sz="6" w:space="0"/>
              <w:right w:val="single" w:color="auto" w:sz="6" w:space="0"/>
            </w:tcBorders>
            <w:shd w:val="clear" w:color="auto" w:fill="B4C6E7"/>
            <w:noWrap w:val="0"/>
            <w:tcMar>
              <w:left w:w="0" w:type="dxa"/>
              <w:right w:w="0" w:type="dxa"/>
            </w:tcMar>
            <w:vAlign w:val="center"/>
          </w:tcPr>
          <w:p w14:paraId="3F99BBE7">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5" w:type="pct"/>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5859B199">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“一类”隐患</w:t>
            </w:r>
          </w:p>
        </w:tc>
        <w:tc>
          <w:tcPr>
            <w:tcW w:w="270" w:type="pct"/>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513518B6">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“二类”隐患</w:t>
            </w:r>
          </w:p>
        </w:tc>
        <w:tc>
          <w:tcPr>
            <w:tcW w:w="885" w:type="pct"/>
            <w:vMerge w:val="continue"/>
            <w:tcBorders>
              <w:top w:val="single" w:color="auto" w:sz="12" w:space="0"/>
              <w:left w:val="single" w:color="auto" w:sz="6" w:space="0"/>
              <w:bottom w:val="single" w:color="auto" w:sz="6" w:space="0"/>
              <w:right w:val="single" w:color="auto" w:sz="6" w:space="0"/>
            </w:tcBorders>
            <w:shd w:val="clear" w:color="auto" w:fill="B4C6E7"/>
            <w:noWrap w:val="0"/>
            <w:tcMar>
              <w:left w:w="0" w:type="dxa"/>
              <w:right w:w="0" w:type="dxa"/>
            </w:tcMar>
            <w:vAlign w:val="center"/>
          </w:tcPr>
          <w:p w14:paraId="58CF7B35">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1366" w:type="pct"/>
            <w:vMerge w:val="continue"/>
            <w:tcBorders>
              <w:left w:val="single" w:color="auto" w:sz="6" w:space="0"/>
              <w:bottom w:val="single" w:color="auto" w:sz="6" w:space="0"/>
              <w:right w:val="single" w:color="auto" w:sz="6" w:space="0"/>
            </w:tcBorders>
            <w:shd w:val="clear" w:color="auto" w:fill="B4C6E7"/>
            <w:noWrap w:val="0"/>
            <w:tcMar>
              <w:left w:w="0" w:type="dxa"/>
              <w:right w:w="0" w:type="dxa"/>
            </w:tcMar>
            <w:vAlign w:val="center"/>
          </w:tcPr>
          <w:p w14:paraId="396359C0">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1333" w:type="pct"/>
            <w:vMerge w:val="continue"/>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45C6115B">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361" w:type="pct"/>
            <w:vMerge w:val="continue"/>
            <w:tcBorders>
              <w:top w:val="single" w:color="auto" w:sz="12" w:space="0"/>
              <w:left w:val="single" w:color="auto" w:sz="6" w:space="0"/>
              <w:bottom w:val="single" w:color="auto" w:sz="6" w:space="0"/>
              <w:right w:val="single" w:color="auto" w:sz="12" w:space="0"/>
            </w:tcBorders>
            <w:shd w:val="clear" w:color="auto" w:fill="B8CCE4"/>
            <w:noWrap w:val="0"/>
            <w:tcMar>
              <w:left w:w="0" w:type="dxa"/>
              <w:right w:w="0" w:type="dxa"/>
            </w:tcMar>
            <w:vAlign w:val="center"/>
          </w:tcPr>
          <w:p w14:paraId="595E39FD">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pacing w:val="0"/>
                <w:sz w:val="20"/>
                <w:szCs w:val="20"/>
                <w:highlight w:val="none"/>
              </w:rPr>
            </w:pPr>
          </w:p>
        </w:tc>
      </w:tr>
      <w:tr w14:paraId="72E8CEBA">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2C2307E">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04.1.01.</w:t>
            </w:r>
            <w:r>
              <w:rPr>
                <w:rFonts w:hint="eastAsia" w:ascii="仿宋_GB2312" w:hAnsi="仿宋_GB2312" w:eastAsia="仿宋_GB2312" w:cs="仿宋_GB2312"/>
                <w:spacing w:val="0"/>
                <w:sz w:val="20"/>
                <w:szCs w:val="20"/>
                <w:highlight w:val="none"/>
              </w:rPr>
              <w:t>001</w:t>
            </w:r>
          </w:p>
        </w:tc>
        <w:tc>
          <w:tcPr>
            <w:tcW w:w="275" w:type="pct"/>
            <w:vMerge w:val="restart"/>
            <w:tcBorders>
              <w:top w:val="single" w:color="auto" w:sz="6" w:space="0"/>
              <w:left w:val="single" w:color="auto" w:sz="6" w:space="0"/>
              <w:right w:val="single" w:color="auto" w:sz="6" w:space="0"/>
            </w:tcBorders>
            <w:noWrap w:val="0"/>
            <w:tcMar>
              <w:left w:w="0" w:type="dxa"/>
              <w:right w:w="0" w:type="dxa"/>
            </w:tcMar>
            <w:vAlign w:val="center"/>
          </w:tcPr>
          <w:p w14:paraId="03A1835B">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基础资料类</w:t>
            </w:r>
          </w:p>
        </w:tc>
        <w:tc>
          <w:tcPr>
            <w:tcW w:w="2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35191F7">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资质证照类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3A734A8">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未取得有效的营业执照或超范围经营。</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07944B2">
            <w:pPr>
              <w:pStyle w:val="13"/>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kern w:val="2"/>
                <w:sz w:val="20"/>
                <w:szCs w:val="20"/>
                <w:highlight w:val="none"/>
                <w:lang w:eastAsia="zh-CN"/>
              </w:rPr>
            </w:pPr>
            <w:r>
              <w:rPr>
                <w:rFonts w:hint="eastAsia" w:ascii="仿宋_GB2312" w:hAnsi="仿宋_GB2312" w:eastAsia="仿宋_GB2312" w:cs="仿宋_GB2312"/>
                <w:spacing w:val="0"/>
                <w:kern w:val="2"/>
                <w:sz w:val="20"/>
                <w:szCs w:val="20"/>
                <w:highlight w:val="none"/>
                <w:lang w:eastAsia="zh-CN"/>
              </w:rPr>
              <w:t>市场主体应当办理登记。未经登记，不得以市场主体名义从事经营活动。</w:t>
            </w:r>
          </w:p>
          <w:p w14:paraId="4ADAF26C">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lang w:eastAsia="zh-CN"/>
              </w:rPr>
              <w:t>未经设立登记从事经营活动的，由登记机关责令改正，没收违法所得；拒不改正的，处1万元以上10万元以下的罚款；情节严重的，依法责令关闭停业，并处10万元以上50万元以下的罚款。</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BB8435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w:t>
            </w:r>
            <w:r>
              <w:rPr>
                <w:rFonts w:hint="eastAsia" w:ascii="仿宋_GB2312" w:hAnsi="仿宋_GB2312" w:eastAsia="仿宋_GB2312" w:cs="仿宋_GB2312"/>
                <w:i w:val="0"/>
                <w:iCs w:val="0"/>
                <w:caps w:val="0"/>
                <w:color w:val="060A26"/>
                <w:spacing w:val="0"/>
                <w:kern w:val="2"/>
                <w:sz w:val="20"/>
                <w:szCs w:val="20"/>
                <w:highlight w:val="none"/>
                <w:shd w:val="clear" w:color="auto" w:fill="FFFFFF"/>
              </w:rPr>
              <w:t>中华人民共和国市场主体登记管理条例</w:t>
            </w:r>
            <w:r>
              <w:rPr>
                <w:rFonts w:hint="eastAsia" w:ascii="仿宋_GB2312" w:hAnsi="仿宋_GB2312" w:eastAsia="仿宋_GB2312" w:cs="仿宋_GB2312"/>
                <w:spacing w:val="0"/>
                <w:kern w:val="2"/>
                <w:sz w:val="20"/>
                <w:szCs w:val="20"/>
                <w:highlight w:val="none"/>
              </w:rPr>
              <w:t>》第三、</w:t>
            </w:r>
            <w:r>
              <w:rPr>
                <w:rFonts w:hint="eastAsia" w:ascii="仿宋_GB2312" w:hAnsi="仿宋_GB2312" w:eastAsia="仿宋_GB2312" w:cs="仿宋_GB2312"/>
                <w:spacing w:val="0"/>
                <w:kern w:val="2"/>
                <w:sz w:val="20"/>
                <w:szCs w:val="20"/>
                <w:highlight w:val="none"/>
                <w:lang w:val="en-US" w:eastAsia="zh-CN"/>
              </w:rPr>
              <w:t>四十三</w:t>
            </w:r>
            <w:r>
              <w:rPr>
                <w:rFonts w:hint="eastAsia" w:ascii="仿宋_GB2312" w:hAnsi="仿宋_GB2312" w:eastAsia="仿宋_GB2312" w:cs="仿宋_GB2312"/>
                <w:spacing w:val="0"/>
                <w:kern w:val="2"/>
                <w:sz w:val="20"/>
                <w:szCs w:val="20"/>
                <w:highlight w:val="none"/>
              </w:rPr>
              <w:t>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D9F29CA">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768C20F9">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D0435C5">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.002</w:t>
            </w:r>
          </w:p>
        </w:tc>
        <w:tc>
          <w:tcPr>
            <w:tcW w:w="275" w:type="pct"/>
            <w:vMerge w:val="continue"/>
            <w:tcBorders>
              <w:left w:val="single" w:color="auto" w:sz="6" w:space="0"/>
              <w:right w:val="single" w:color="auto" w:sz="6" w:space="0"/>
            </w:tcBorders>
            <w:noWrap w:val="0"/>
            <w:tcMar>
              <w:left w:w="0" w:type="dxa"/>
              <w:right w:w="0" w:type="dxa"/>
            </w:tcMar>
            <w:vAlign w:val="center"/>
          </w:tcPr>
          <w:p w14:paraId="4FA6D5DC">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AA9B28B">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机构及人员配备类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D54EE5C">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未设置安全生产管理机构或配备安全生产管理人员。</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303FBCF">
            <w:pPr>
              <w:pStyle w:val="13"/>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kern w:val="2"/>
                <w:sz w:val="20"/>
                <w:szCs w:val="20"/>
                <w:highlight w:val="none"/>
              </w:rPr>
            </w:pPr>
            <w:r>
              <w:rPr>
                <w:rFonts w:hint="eastAsia" w:ascii="仿宋_GB2312" w:hAnsi="仿宋_GB2312" w:eastAsia="仿宋_GB2312" w:cs="仿宋_GB2312"/>
                <w:spacing w:val="0"/>
                <w:kern w:val="2"/>
                <w:sz w:val="20"/>
                <w:szCs w:val="20"/>
                <w:highlight w:val="none"/>
              </w:rPr>
              <w:t>（一）从业人员总数超过300人的，应当设置安全生产管理机构，按照不少于从业人员总数0.5%的比例配备专职安全生产管理人员，且最低不得少于3人；</w:t>
            </w:r>
          </w:p>
          <w:p w14:paraId="2DDA5A21">
            <w:pPr>
              <w:pStyle w:val="13"/>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kern w:val="2"/>
                <w:sz w:val="20"/>
                <w:szCs w:val="20"/>
                <w:highlight w:val="none"/>
              </w:rPr>
            </w:pPr>
            <w:r>
              <w:rPr>
                <w:rFonts w:hint="eastAsia" w:ascii="仿宋_GB2312" w:hAnsi="仿宋_GB2312" w:eastAsia="仿宋_GB2312" w:cs="仿宋_GB2312"/>
                <w:spacing w:val="0"/>
                <w:kern w:val="2"/>
                <w:sz w:val="20"/>
                <w:szCs w:val="20"/>
                <w:highlight w:val="none"/>
              </w:rPr>
              <w:t>（二）从业人员总数超过100人且在300人以下的，应当配备不少于2人的专职安全生产管理人员；</w:t>
            </w:r>
          </w:p>
          <w:p w14:paraId="61B881C5">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（三）从业人员总数在100人以下的，应当配备专职或者兼职安全生产管理人员，或者委托依法设立的安全生产技术、管理服务机构提供安全生产管理服务。</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C2EFF4C">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《中华人民共和国安全生产法》</w:t>
            </w:r>
            <w:r>
              <w:rPr>
                <w:rFonts w:hint="eastAsia" w:ascii="仿宋_GB2312" w:hAnsi="仿宋_GB2312" w:eastAsia="仿宋_GB2312" w:cs="仿宋_GB2312"/>
                <w:spacing w:val="0"/>
                <w:kern w:val="2"/>
                <w:sz w:val="20"/>
                <w:szCs w:val="20"/>
                <w:highlight w:val="none"/>
                <w:lang w:val="en-US" w:eastAsia="zh-CN"/>
              </w:rPr>
              <w:t>第二十四条；</w:t>
            </w:r>
            <w:r>
              <w:rPr>
                <w:rFonts w:hint="eastAsia" w:ascii="仿宋_GB2312" w:hAnsi="仿宋_GB2312" w:eastAsia="仿宋_GB2312" w:cs="仿宋_GB2312"/>
                <w:spacing w:val="0"/>
                <w:kern w:val="2"/>
                <w:sz w:val="20"/>
                <w:szCs w:val="20"/>
                <w:highlight w:val="none"/>
              </w:rPr>
              <w:t>《北京市安全生产条例》第</w:t>
            </w:r>
            <w:r>
              <w:rPr>
                <w:rFonts w:hint="eastAsia" w:ascii="仿宋_GB2312" w:hAnsi="仿宋_GB2312" w:eastAsia="仿宋_GB2312" w:cs="仿宋_GB2312"/>
                <w:spacing w:val="0"/>
                <w:kern w:val="2"/>
                <w:sz w:val="20"/>
                <w:szCs w:val="20"/>
                <w:highlight w:val="none"/>
                <w:lang w:val="en-US" w:eastAsia="zh-CN"/>
              </w:rPr>
              <w:t>二十条；</w:t>
            </w:r>
            <w:r>
              <w:rPr>
                <w:rFonts w:hint="eastAsia" w:ascii="仿宋_GB2312" w:hAnsi="仿宋_GB2312" w:eastAsia="仿宋_GB2312" w:cs="仿宋_GB2312"/>
                <w:spacing w:val="0"/>
                <w:kern w:val="2"/>
                <w:sz w:val="20"/>
                <w:szCs w:val="20"/>
                <w:highlight w:val="none"/>
              </w:rPr>
              <w:t>《北京市生产经营单位安全生产主体责任规定》第</w:t>
            </w:r>
            <w:r>
              <w:rPr>
                <w:rFonts w:hint="eastAsia" w:ascii="仿宋_GB2312" w:hAnsi="仿宋_GB2312" w:eastAsia="仿宋_GB2312" w:cs="仿宋_GB2312"/>
                <w:spacing w:val="0"/>
                <w:kern w:val="2"/>
                <w:sz w:val="20"/>
                <w:szCs w:val="20"/>
                <w:highlight w:val="none"/>
                <w:lang w:val="en-US" w:eastAsia="zh-CN"/>
              </w:rPr>
              <w:t>十二</w:t>
            </w:r>
            <w:r>
              <w:rPr>
                <w:rFonts w:hint="eastAsia" w:ascii="仿宋_GB2312" w:hAnsi="仿宋_GB2312" w:eastAsia="仿宋_GB2312" w:cs="仿宋_GB2312"/>
                <w:spacing w:val="0"/>
                <w:kern w:val="2"/>
                <w:sz w:val="20"/>
                <w:szCs w:val="20"/>
                <w:highlight w:val="none"/>
              </w:rPr>
              <w:t>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20F1201">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6E2E5B13">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16C1542">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.003</w:t>
            </w:r>
          </w:p>
        </w:tc>
        <w:tc>
          <w:tcPr>
            <w:tcW w:w="275" w:type="pct"/>
            <w:vMerge w:val="continue"/>
            <w:tcBorders>
              <w:left w:val="single" w:color="auto" w:sz="6" w:space="0"/>
              <w:right w:val="single" w:color="auto" w:sz="6" w:space="0"/>
            </w:tcBorders>
            <w:noWrap w:val="0"/>
            <w:tcMar>
              <w:left w:w="0" w:type="dxa"/>
              <w:right w:w="0" w:type="dxa"/>
            </w:tcMar>
            <w:vAlign w:val="center"/>
          </w:tcPr>
          <w:p w14:paraId="2E8CF676">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restart"/>
            <w:tcBorders>
              <w:top w:val="single" w:color="auto" w:sz="6" w:space="0"/>
              <w:left w:val="single" w:color="auto" w:sz="6" w:space="0"/>
              <w:right w:val="single" w:color="auto" w:sz="6" w:space="0"/>
            </w:tcBorders>
            <w:noWrap w:val="0"/>
            <w:tcMar>
              <w:left w:w="0" w:type="dxa"/>
              <w:right w:w="0" w:type="dxa"/>
            </w:tcMar>
            <w:vAlign w:val="center"/>
          </w:tcPr>
          <w:p w14:paraId="3995EFA2">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责任制类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543A902">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w:t>
            </w:r>
            <w:r>
              <w:rPr>
                <w:rFonts w:hint="eastAsia" w:ascii="仿宋_GB2312" w:hAnsi="仿宋_GB2312" w:eastAsia="仿宋_GB2312" w:cs="仿宋_GB2312"/>
                <w:spacing w:val="0"/>
                <w:sz w:val="20"/>
                <w:szCs w:val="20"/>
                <w:highlight w:val="none"/>
                <w:lang w:val="en-US" w:eastAsia="zh-CN"/>
              </w:rPr>
              <w:t>安全生产责任制</w:t>
            </w:r>
            <w:r>
              <w:rPr>
                <w:rFonts w:hint="eastAsia" w:ascii="仿宋_GB2312" w:hAnsi="仿宋_GB2312" w:eastAsia="仿宋_GB2312" w:cs="仿宋_GB2312"/>
                <w:spacing w:val="0"/>
                <w:sz w:val="20"/>
                <w:szCs w:val="20"/>
                <w:highlight w:val="none"/>
              </w:rPr>
              <w:t>。</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70CBD1F">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生产经营单位必须遵守安全生产法和其他有关安全生产的法律、法规，加强安全生产管理，建立健全全员安全生产责任制和安全生产规章制度。</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D67C266">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《中华人民共和国安全生产法》第四条、五条、二十一条；《北京市安全生产条例》第四、十四条；《北京市生产经营单位安全生产主体责任规定》第三、四条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C961855">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0C5C0F86">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3121EE8">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4</w:t>
            </w:r>
          </w:p>
        </w:tc>
        <w:tc>
          <w:tcPr>
            <w:tcW w:w="275" w:type="pct"/>
            <w:vMerge w:val="continue"/>
            <w:tcBorders>
              <w:left w:val="single" w:color="auto" w:sz="6" w:space="0"/>
              <w:right w:val="single" w:color="auto" w:sz="6" w:space="0"/>
            </w:tcBorders>
            <w:noWrap w:val="0"/>
            <w:tcMar>
              <w:left w:w="0" w:type="dxa"/>
              <w:right w:w="0" w:type="dxa"/>
            </w:tcMar>
            <w:vAlign w:val="center"/>
          </w:tcPr>
          <w:p w14:paraId="40CF28A0">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0E7A79A0">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6E95BD3">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安全生产责任制内容不全、不符合实际</w:t>
            </w:r>
            <w:r>
              <w:rPr>
                <w:rFonts w:hint="eastAsia" w:ascii="仿宋_GB2312" w:hAnsi="仿宋_GB2312" w:eastAsia="仿宋_GB2312" w:cs="仿宋_GB2312"/>
                <w:spacing w:val="0"/>
                <w:sz w:val="20"/>
                <w:szCs w:val="20"/>
                <w:highlight w:val="none"/>
              </w:rPr>
              <w:t>。</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0A3C739">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rPr>
              <w:t>生产经营单位的安全生产责任制应当明确主要负责人、其他负责人、各职能部门负责人、车间和班组负责人、其他从业人员等全体人员的安全生产责任范围和考核标准等内容。</w:t>
            </w:r>
          </w:p>
          <w:p w14:paraId="3FADF1DA">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生产经营单位应当每年对安全生产责任制落实情况进行考核，考核结果作为安全生产奖励和惩罚的依据</w:t>
            </w:r>
            <w:r>
              <w:rPr>
                <w:rFonts w:hint="eastAsia" w:ascii="仿宋_GB2312" w:hAnsi="仿宋_GB2312" w:eastAsia="仿宋_GB2312" w:cs="仿宋_GB2312"/>
                <w:spacing w:val="0"/>
                <w:sz w:val="20"/>
                <w:szCs w:val="20"/>
                <w:highlight w:val="none"/>
                <w:shd w:val="clear" w:color="auto" w:fill="auto"/>
                <w:lang w:eastAsia="zh-CN"/>
              </w:rPr>
              <w:t>。</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1C7C45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w:t>
            </w:r>
            <w:r>
              <w:rPr>
                <w:rFonts w:hint="eastAsia" w:ascii="仿宋_GB2312" w:hAnsi="仿宋_GB2312" w:eastAsia="仿宋_GB2312" w:cs="仿宋_GB2312"/>
                <w:spacing w:val="0"/>
                <w:sz w:val="20"/>
                <w:szCs w:val="20"/>
                <w:highlight w:val="none"/>
                <w:lang w:val="en-US" w:eastAsia="zh-CN"/>
              </w:rPr>
              <w:t>条、五条、</w:t>
            </w:r>
            <w:r>
              <w:rPr>
                <w:rFonts w:hint="eastAsia" w:ascii="仿宋_GB2312" w:hAnsi="仿宋_GB2312" w:eastAsia="仿宋_GB2312" w:cs="仿宋_GB2312"/>
                <w:spacing w:val="0"/>
                <w:sz w:val="20"/>
                <w:szCs w:val="20"/>
                <w:highlight w:val="none"/>
              </w:rPr>
              <w:t>二十</w:t>
            </w:r>
            <w:r>
              <w:rPr>
                <w:rFonts w:hint="eastAsia" w:ascii="仿宋_GB2312" w:hAnsi="仿宋_GB2312" w:eastAsia="仿宋_GB2312" w:cs="仿宋_GB2312"/>
                <w:spacing w:val="0"/>
                <w:sz w:val="20"/>
                <w:szCs w:val="20"/>
                <w:highlight w:val="none"/>
                <w:lang w:val="en-US" w:eastAsia="zh-CN"/>
              </w:rPr>
              <w:t>一条、二十二条、二十五</w:t>
            </w:r>
            <w:r>
              <w:rPr>
                <w:rFonts w:hint="eastAsia" w:ascii="仿宋_GB2312" w:hAnsi="仿宋_GB2312" w:eastAsia="仿宋_GB2312" w:cs="仿宋_GB2312"/>
                <w:spacing w:val="0"/>
                <w:sz w:val="20"/>
                <w:szCs w:val="20"/>
                <w:highlight w:val="none"/>
              </w:rPr>
              <w:t>条；《北京市安全生产条例》第四、</w:t>
            </w:r>
            <w:r>
              <w:rPr>
                <w:rFonts w:hint="eastAsia" w:ascii="仿宋_GB2312" w:hAnsi="仿宋_GB2312" w:eastAsia="仿宋_GB2312" w:cs="仿宋_GB2312"/>
                <w:spacing w:val="0"/>
                <w:sz w:val="20"/>
                <w:szCs w:val="20"/>
                <w:highlight w:val="none"/>
                <w:lang w:val="en-US" w:eastAsia="zh-CN"/>
              </w:rPr>
              <w:t>十三、十四、</w:t>
            </w:r>
            <w:r>
              <w:rPr>
                <w:rFonts w:hint="eastAsia" w:ascii="仿宋_GB2312" w:hAnsi="仿宋_GB2312" w:eastAsia="仿宋_GB2312" w:cs="仿宋_GB2312"/>
                <w:spacing w:val="0"/>
                <w:sz w:val="20"/>
                <w:szCs w:val="20"/>
                <w:highlight w:val="none"/>
              </w:rPr>
              <w:t>十六</w:t>
            </w:r>
            <w:r>
              <w:rPr>
                <w:rFonts w:hint="eastAsia" w:ascii="仿宋_GB2312" w:hAnsi="仿宋_GB2312" w:eastAsia="仿宋_GB2312" w:cs="仿宋_GB2312"/>
                <w:spacing w:val="0"/>
                <w:sz w:val="20"/>
                <w:szCs w:val="20"/>
                <w:highlight w:val="none"/>
                <w:lang w:val="en-US" w:eastAsia="zh-CN"/>
              </w:rPr>
              <w:t>条</w:t>
            </w:r>
            <w:r>
              <w:rPr>
                <w:rFonts w:hint="eastAsia" w:ascii="仿宋_GB2312" w:hAnsi="仿宋_GB2312" w:eastAsia="仿宋_GB2312" w:cs="仿宋_GB2312"/>
                <w:spacing w:val="0"/>
                <w:sz w:val="20"/>
                <w:szCs w:val="20"/>
                <w:highlight w:val="none"/>
              </w:rPr>
              <w:t>；《北京市生产经营单位安全生产主体责任规定》第三、</w:t>
            </w:r>
            <w:r>
              <w:rPr>
                <w:rFonts w:hint="eastAsia" w:ascii="仿宋_GB2312" w:hAnsi="仿宋_GB2312" w:eastAsia="仿宋_GB2312" w:cs="仿宋_GB2312"/>
                <w:spacing w:val="0"/>
                <w:sz w:val="20"/>
                <w:szCs w:val="20"/>
                <w:highlight w:val="none"/>
                <w:lang w:val="en-US" w:eastAsia="zh-CN"/>
              </w:rPr>
              <w:t>四、五、</w:t>
            </w:r>
            <w:r>
              <w:rPr>
                <w:rFonts w:hint="eastAsia" w:ascii="仿宋_GB2312" w:hAnsi="仿宋_GB2312" w:eastAsia="仿宋_GB2312" w:cs="仿宋_GB2312"/>
                <w:spacing w:val="0"/>
                <w:sz w:val="20"/>
                <w:szCs w:val="20"/>
                <w:highlight w:val="none"/>
              </w:rPr>
              <w:t>六条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130164C">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2A1802BB">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6A31FDD">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5</w:t>
            </w:r>
          </w:p>
        </w:tc>
        <w:tc>
          <w:tcPr>
            <w:tcW w:w="275" w:type="pct"/>
            <w:vMerge w:val="continue"/>
            <w:tcBorders>
              <w:left w:val="single" w:color="auto" w:sz="6" w:space="0"/>
              <w:right w:val="single" w:color="auto" w:sz="6" w:space="0"/>
            </w:tcBorders>
            <w:noWrap w:val="0"/>
            <w:tcMar>
              <w:left w:w="0" w:type="dxa"/>
              <w:right w:w="0" w:type="dxa"/>
            </w:tcMar>
            <w:vAlign w:val="center"/>
          </w:tcPr>
          <w:p w14:paraId="0C7AE757">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9B7975D">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制度类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E923211">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未制定相关安全生产规章制度。</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5F252D4">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应当组织制定下列安全生产规章制度：</w:t>
            </w:r>
          </w:p>
          <w:p w14:paraId="472BA9E5">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（一）安全生产教育和培训制度；</w:t>
            </w:r>
          </w:p>
          <w:p w14:paraId="547A9FE8">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（二）安全生产检查制度；</w:t>
            </w:r>
          </w:p>
          <w:p w14:paraId="367D7673">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（三）生产安全事故隐患排查和治理制度；</w:t>
            </w:r>
          </w:p>
          <w:p w14:paraId="75AEF6BF">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（四）具有较大危险因素的生产经营场所、设备和设施的安全管理制度；</w:t>
            </w:r>
          </w:p>
          <w:p w14:paraId="47D1E04B">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（五）安全生产资金投入或者安全生产费用提取、使用和管理制度；</w:t>
            </w:r>
          </w:p>
          <w:p w14:paraId="49F360B1">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（六）危险作业管理制度；</w:t>
            </w:r>
          </w:p>
          <w:p w14:paraId="69E7439C">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（七）特种作业人员管理制度；</w:t>
            </w:r>
          </w:p>
          <w:p w14:paraId="13514A12">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（八）劳动防护用品配备和使用制度；</w:t>
            </w:r>
          </w:p>
          <w:p w14:paraId="436B6169">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（九）安全生产奖励和惩罚制度；</w:t>
            </w:r>
          </w:p>
          <w:p w14:paraId="709BC634">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（十）生产安全事故报告和调查处理制度；</w:t>
            </w:r>
          </w:p>
          <w:p w14:paraId="47DBBCA3">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（十一）法律、法规、规章规定的其他安全生产制度。</w:t>
            </w:r>
          </w:p>
          <w:p w14:paraId="352B68B9">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小型、微型企业等规模较小的生产经营单位，根据本单位实际，可以制定综合性的安全生产规章制度。</w:t>
            </w:r>
          </w:p>
          <w:p w14:paraId="25E8F2E7">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从事危险作业或者生产经营场所、设备和设施存在较大危险因素的，生产经营单位还应当制定专项管理制度。</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2266B03">
            <w:pPr>
              <w:pStyle w:val="13"/>
              <w:keepNext w:val="0"/>
              <w:keepLines w:val="0"/>
              <w:pageBreakBefore w:val="0"/>
              <w:kinsoku/>
              <w:wordWrap/>
              <w:overflowPunct/>
              <w:topLinePunct w:val="0"/>
              <w:autoSpaceDE/>
              <w:autoSpaceDN/>
              <w:bidi w:val="0"/>
              <w:spacing w:line="300" w:lineRule="exact"/>
              <w:ind w:left="84" w:leftChars="40" w:right="84" w:rightChars="40" w:firstLine="0" w:firstLineChars="0"/>
              <w:textAlignment w:val="auto"/>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《中华人民共和国安全生产法》第四条；《北京市安全生产条例》第十五条；《北京市生产经营单位安全生产主体责任规定》第七条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5F57C2E">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2679114B">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D3073EA">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5</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6</w:t>
            </w:r>
          </w:p>
        </w:tc>
        <w:tc>
          <w:tcPr>
            <w:tcW w:w="275" w:type="pct"/>
            <w:vMerge w:val="continue"/>
            <w:tcBorders>
              <w:left w:val="single" w:color="auto" w:sz="6" w:space="0"/>
              <w:right w:val="single" w:color="auto" w:sz="6" w:space="0"/>
            </w:tcBorders>
            <w:noWrap w:val="0"/>
            <w:tcMar>
              <w:left w:w="0" w:type="dxa"/>
              <w:right w:w="0" w:type="dxa"/>
            </w:tcMar>
            <w:vAlign w:val="center"/>
          </w:tcPr>
          <w:p w14:paraId="52EADD61">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EBF1516">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风险辨识类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CD58800">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未开展安全风险分级管控工作，对安全风险进行有效管控。</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1C94BA9">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应按照下列规定开展安全风险分级管控：</w:t>
            </w:r>
          </w:p>
          <w:p w14:paraId="7A61D676">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（一）根据本单位生产经营活动的特点，制定安全风险辨识程序和方法，全面开展安全风险辨识和评估；</w:t>
            </w:r>
          </w:p>
          <w:p w14:paraId="3B949992">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（二）对辨识出的安全风险进行分类梳理，确定安全风险等级；</w:t>
            </w:r>
          </w:p>
          <w:p w14:paraId="07A19819">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（三）从制度、技术、应急等方面，对安全风险进行有效管控；</w:t>
            </w:r>
          </w:p>
          <w:p w14:paraId="6BD8E96C">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（四）建立安全风险公告制度，告知从业人员安全风险基本情况和防范措施。</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EA9653F">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《生产安全事故应急预案管理办法》第十条；《北京市安全生产条例》第二十七条；《北京市生产经营单位安全生产主体责任规定》第二十九条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EA9BB96">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78DD6DC5">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356F9FE">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6</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7</w:t>
            </w:r>
          </w:p>
        </w:tc>
        <w:tc>
          <w:tcPr>
            <w:tcW w:w="275" w:type="pct"/>
            <w:vMerge w:val="continue"/>
            <w:tcBorders>
              <w:left w:val="single" w:color="auto" w:sz="6" w:space="0"/>
              <w:right w:val="single" w:color="auto" w:sz="6" w:space="0"/>
            </w:tcBorders>
            <w:noWrap w:val="0"/>
            <w:tcMar>
              <w:left w:w="0" w:type="dxa"/>
              <w:right w:w="0" w:type="dxa"/>
            </w:tcMar>
            <w:vAlign w:val="center"/>
          </w:tcPr>
          <w:p w14:paraId="4AC3F60D">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682C30D">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隐患排查类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DFC9146">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color w:val="000000"/>
                <w:spacing w:val="0"/>
                <w:kern w:val="0"/>
                <w:sz w:val="20"/>
                <w:szCs w:val="20"/>
                <w:highlight w:val="none"/>
                <w:lang w:bidi="ar"/>
              </w:rPr>
              <w:t>未开展生产安全事故隐患排查治理工作，及时发现并消除事故隐患，并如实记录。</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01ED503">
            <w:pPr>
              <w:pStyle w:val="13"/>
              <w:keepNext w:val="0"/>
              <w:keepLines w:val="0"/>
              <w:pageBreakBefore w:val="0"/>
              <w:kinsoku/>
              <w:wordWrap/>
              <w:overflowPunct/>
              <w:topLinePunct w:val="0"/>
              <w:autoSpaceDE/>
              <w:autoSpaceDN/>
              <w:bidi w:val="0"/>
              <w:spacing w:line="300" w:lineRule="exact"/>
              <w:ind w:right="84" w:rightChars="4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按照国家和本市有关规定开展生产安全事故隐患排查治理</w:t>
            </w:r>
            <w:r>
              <w:rPr>
                <w:rFonts w:hint="eastAsia" w:ascii="仿宋_GB2312" w:hAnsi="仿宋_GB2312" w:eastAsia="仿宋_GB2312" w:cs="仿宋_GB2312"/>
                <w:spacing w:val="0"/>
                <w:sz w:val="20"/>
                <w:szCs w:val="20"/>
                <w:highlight w:val="none"/>
                <w:lang w:eastAsia="zh-CN"/>
              </w:rPr>
              <w:t>，制定并落实防范和应急措施</w:t>
            </w:r>
            <w:r>
              <w:rPr>
                <w:rFonts w:hint="eastAsia" w:ascii="仿宋_GB2312" w:hAnsi="仿宋_GB2312" w:eastAsia="仿宋_GB2312" w:cs="仿宋_GB2312"/>
                <w:spacing w:val="0"/>
                <w:sz w:val="20"/>
                <w:szCs w:val="20"/>
                <w:highlight w:val="none"/>
              </w:rPr>
              <w:t>。</w:t>
            </w:r>
          </w:p>
          <w:p w14:paraId="6072ED50">
            <w:pPr>
              <w:pStyle w:val="13"/>
              <w:keepNext w:val="0"/>
              <w:keepLines w:val="0"/>
              <w:pageBreakBefore w:val="0"/>
              <w:kinsoku/>
              <w:wordWrap/>
              <w:overflowPunct/>
              <w:topLinePunct w:val="0"/>
              <w:autoSpaceDE/>
              <w:autoSpaceDN/>
              <w:bidi w:val="0"/>
              <w:spacing w:line="300" w:lineRule="exact"/>
              <w:ind w:right="84" w:rightChars="4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应在每日营业开始前和结束后，对营业区域进行全面安全检查；营业期间每2小时至少进行1次安全巡查。检查和巡查应当做好记录。</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E29AC21">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《中华人民共和国安全生产法》第四十一条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《北京市生产经营单位安全生产主体责任规定》第二十九条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w:t>
            </w:r>
            <w:r>
              <w:rPr>
                <w:rFonts w:hint="eastAsia" w:ascii="仿宋_GB2312" w:hAnsi="仿宋_GB2312" w:eastAsia="仿宋_GB2312" w:cs="仿宋_GB2312"/>
                <w:color w:val="000000"/>
                <w:spacing w:val="0"/>
                <w:kern w:val="0"/>
                <w:sz w:val="20"/>
                <w:szCs w:val="20"/>
                <w:highlight w:val="none"/>
                <w:lang w:val="en-US" w:eastAsia="zh-CN" w:bidi="ar"/>
              </w:rPr>
              <w:t>第十一条、十二条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4C9D240">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78CBE3F6">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A73EC25">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7</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8</w:t>
            </w:r>
          </w:p>
        </w:tc>
        <w:tc>
          <w:tcPr>
            <w:tcW w:w="275" w:type="pct"/>
            <w:vMerge w:val="continue"/>
            <w:tcBorders>
              <w:left w:val="single" w:color="auto" w:sz="6" w:space="0"/>
              <w:right w:val="single" w:color="auto" w:sz="6" w:space="0"/>
            </w:tcBorders>
            <w:noWrap w:val="0"/>
            <w:tcMar>
              <w:left w:w="0" w:type="dxa"/>
              <w:right w:w="0" w:type="dxa"/>
            </w:tcMar>
            <w:vAlign w:val="center"/>
          </w:tcPr>
          <w:p w14:paraId="7B049705">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270" w:type="pct"/>
            <w:vMerge w:val="restart"/>
            <w:tcBorders>
              <w:top w:val="single" w:color="auto" w:sz="6" w:space="0"/>
              <w:left w:val="single" w:color="auto" w:sz="6" w:space="0"/>
              <w:right w:val="single" w:color="auto" w:sz="6" w:space="0"/>
            </w:tcBorders>
            <w:noWrap w:val="0"/>
            <w:tcMar>
              <w:left w:w="0" w:type="dxa"/>
              <w:right w:w="0" w:type="dxa"/>
            </w:tcMar>
            <w:vAlign w:val="center"/>
          </w:tcPr>
          <w:p w14:paraId="793875D2">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应急救援类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69CB733">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未按要求编制应急救援预案。</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200D68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45D5BA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w:t>
            </w:r>
            <w:r>
              <w:rPr>
                <w:rFonts w:hint="eastAsia" w:ascii="仿宋_GB2312" w:hAnsi="仿宋_GB2312" w:eastAsia="仿宋_GB2312" w:cs="仿宋_GB2312"/>
                <w:spacing w:val="0"/>
                <w:sz w:val="20"/>
                <w:szCs w:val="20"/>
                <w:highlight w:val="none"/>
                <w:lang w:val="en-US" w:eastAsia="zh-CN"/>
              </w:rPr>
              <w:t>八十一</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《生产安全事故应急条例》第七条；《生产安全事故应急预案管理办法》第</w:t>
            </w:r>
            <w:r>
              <w:rPr>
                <w:rFonts w:hint="eastAsia" w:ascii="仿宋_GB2312" w:hAnsi="仿宋_GB2312" w:eastAsia="仿宋_GB2312" w:cs="仿宋_GB2312"/>
                <w:spacing w:val="0"/>
                <w:sz w:val="20"/>
                <w:szCs w:val="20"/>
                <w:highlight w:val="none"/>
                <w:lang w:val="en-US" w:eastAsia="zh-CN"/>
              </w:rPr>
              <w:t>十二</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五十五</w:t>
            </w:r>
            <w:r>
              <w:rPr>
                <w:rFonts w:hint="eastAsia" w:ascii="仿宋_GB2312" w:hAnsi="仿宋_GB2312" w:eastAsia="仿宋_GB2312" w:cs="仿宋_GB2312"/>
                <w:spacing w:val="0"/>
                <w:sz w:val="20"/>
                <w:szCs w:val="20"/>
                <w:highlight w:val="none"/>
              </w:rPr>
              <w:t>条；《北京市生产经营单位安全生产主体责任规定》第三十条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6816DFC">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2153809D">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F407052">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spacing w:val="0"/>
                <w:sz w:val="20"/>
                <w:szCs w:val="20"/>
                <w:highlight w:val="none"/>
                <w:lang w:eastAsia="zh-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7</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09</w:t>
            </w:r>
          </w:p>
        </w:tc>
        <w:tc>
          <w:tcPr>
            <w:tcW w:w="275" w:type="pct"/>
            <w:vMerge w:val="continue"/>
            <w:tcBorders>
              <w:left w:val="single" w:color="auto" w:sz="6" w:space="0"/>
              <w:right w:val="single" w:color="auto" w:sz="6" w:space="0"/>
            </w:tcBorders>
            <w:noWrap w:val="0"/>
            <w:tcMar>
              <w:left w:w="0" w:type="dxa"/>
              <w:right w:w="0" w:type="dxa"/>
            </w:tcMar>
            <w:vAlign w:val="center"/>
          </w:tcPr>
          <w:p w14:paraId="550CBD6F">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270" w:type="pct"/>
            <w:vMerge w:val="continue"/>
            <w:tcBorders>
              <w:left w:val="single" w:color="auto" w:sz="6" w:space="0"/>
              <w:right w:val="single" w:color="auto" w:sz="6" w:space="0"/>
            </w:tcBorders>
            <w:noWrap w:val="0"/>
            <w:tcMar>
              <w:left w:w="0" w:type="dxa"/>
              <w:right w:w="0" w:type="dxa"/>
            </w:tcMar>
            <w:vAlign w:val="center"/>
          </w:tcPr>
          <w:p w14:paraId="0A0CEDEE">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1AF3365">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编制应急预案前，未进行事故风险评估和应急资源调查。</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A07F72B">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编制应急预案前，应进行事故风险辨识、评估和应急资源调查。</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1C30484">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《生产安全事故应急预案管理办法》第十条第一款</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D1A8E46">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0015F86E">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AFD7B72">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04.1.0</w:t>
            </w:r>
            <w:r>
              <w:rPr>
                <w:rFonts w:hint="eastAsia" w:ascii="仿宋_GB2312" w:hAnsi="仿宋_GB2312" w:eastAsia="仿宋_GB2312" w:cs="仿宋_GB2312"/>
                <w:spacing w:val="0"/>
                <w:sz w:val="20"/>
                <w:szCs w:val="20"/>
                <w:highlight w:val="none"/>
                <w:lang w:val="en-US" w:eastAsia="zh-CN"/>
              </w:rPr>
              <w:t>7</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10</w:t>
            </w:r>
          </w:p>
        </w:tc>
        <w:tc>
          <w:tcPr>
            <w:tcW w:w="275" w:type="pct"/>
            <w:vMerge w:val="continue"/>
            <w:tcBorders>
              <w:left w:val="single" w:color="auto" w:sz="6" w:space="0"/>
              <w:right w:val="single" w:color="auto" w:sz="6" w:space="0"/>
            </w:tcBorders>
            <w:noWrap w:val="0"/>
            <w:tcMar>
              <w:left w:w="0" w:type="dxa"/>
              <w:right w:w="0" w:type="dxa"/>
            </w:tcMar>
            <w:vAlign w:val="center"/>
          </w:tcPr>
          <w:p w14:paraId="5848A3DC">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5D55F59F">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1B83490">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未按规定组织应急演练。</w:t>
            </w:r>
          </w:p>
        </w:tc>
        <w:tc>
          <w:tcPr>
            <w:tcW w:w="4074"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AE29A44">
            <w:pPr>
              <w:pStyle w:val="13"/>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lang w:eastAsia="zh-CN"/>
              </w:rPr>
            </w:pPr>
            <w:r>
              <w:rPr>
                <w:rFonts w:hint="eastAsia" w:ascii="仿宋_GB2312" w:hAnsi="仿宋_GB2312" w:eastAsia="仿宋_GB2312" w:cs="仿宋_GB2312"/>
                <w:spacing w:val="0"/>
                <w:sz w:val="20"/>
                <w:szCs w:val="20"/>
                <w:highlight w:val="none"/>
                <w:shd w:val="clear" w:color="auto" w:fill="auto"/>
                <w:lang w:eastAsia="zh-CN"/>
              </w:rPr>
              <w:t>体育运动项目经营单位应当制定本单位的应急预案演练计划，应急救援预案应当每半年至少演练1次，并做好记录。</w:t>
            </w:r>
          </w:p>
          <w:p w14:paraId="48A324EA">
            <w:pPr>
              <w:pStyle w:val="13"/>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lang w:eastAsia="zh-CN"/>
              </w:rPr>
              <w:t>应急预案演练结束后，应急预案演练组织单位应当对应急预案演练效果进行评估，撰写应急预案演练评估报告，分析存在的问题，并对应急预案提出修订意见。</w:t>
            </w:r>
          </w:p>
        </w:tc>
        <w:tc>
          <w:tcPr>
            <w:tcW w:w="3976"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D20C17D">
            <w:pPr>
              <w:keepNext w:val="0"/>
              <w:keepLines w:val="0"/>
              <w:pageBreakBefore w:val="0"/>
              <w:widowControl/>
              <w:kinsoku/>
              <w:wordWrap/>
              <w:overflowPunct/>
              <w:topLinePunct w:val="0"/>
              <w:autoSpaceDE/>
              <w:autoSpaceDN/>
              <w:bidi w:val="0"/>
              <w:adjustRightInd/>
              <w:snapToGrid w:val="0"/>
              <w:spacing w:line="28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《中华人民共和国安全生产法》第八十一条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《生产安全事故应急预案管理办法》</w:t>
            </w:r>
            <w:r>
              <w:rPr>
                <w:rFonts w:hint="eastAsia" w:ascii="仿宋_GB2312" w:hAnsi="仿宋_GB2312" w:eastAsia="仿宋_GB2312" w:cs="仿宋_GB2312"/>
                <w:color w:val="000000"/>
                <w:spacing w:val="0"/>
                <w:kern w:val="0"/>
                <w:sz w:val="20"/>
                <w:szCs w:val="20"/>
                <w:highlight w:val="none"/>
                <w:lang w:eastAsia="zh-CN" w:bidi="ar"/>
              </w:rPr>
              <w:t>第三十三条、三十四条；</w:t>
            </w:r>
            <w:r>
              <w:rPr>
                <w:rFonts w:hint="eastAsia" w:ascii="仿宋_GB2312" w:hAnsi="仿宋_GB2312" w:eastAsia="仿宋_GB2312" w:cs="仿宋_GB2312"/>
                <w:color w:val="000000"/>
                <w:spacing w:val="0"/>
                <w:kern w:val="0"/>
                <w:sz w:val="20"/>
                <w:szCs w:val="20"/>
                <w:highlight w:val="none"/>
                <w:lang w:bidi="ar"/>
              </w:rPr>
              <w:t>《北京市安全生产条例》第五十五条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；《北京市体育运动项目经营单位安全生产规定》第</w:t>
            </w:r>
            <w:r>
              <w:rPr>
                <w:rFonts w:hint="eastAsia" w:ascii="仿宋_GB2312" w:hAnsi="仿宋_GB2312" w:eastAsia="仿宋_GB2312" w:cs="仿宋_GB2312"/>
                <w:color w:val="000000"/>
                <w:spacing w:val="0"/>
                <w:kern w:val="0"/>
                <w:sz w:val="20"/>
                <w:szCs w:val="20"/>
                <w:highlight w:val="none"/>
                <w:lang w:val="en-US" w:eastAsia="zh-CN" w:bidi="ar"/>
              </w:rPr>
              <w:t>二十九</w:t>
            </w:r>
            <w:r>
              <w:rPr>
                <w:rFonts w:hint="eastAsia" w:ascii="仿宋_GB2312" w:hAnsi="仿宋_GB2312" w:eastAsia="仿宋_GB2312" w:cs="仿宋_GB2312"/>
                <w:color w:val="000000"/>
                <w:spacing w:val="0"/>
                <w:kern w:val="0"/>
                <w:sz w:val="20"/>
                <w:szCs w:val="20"/>
                <w:highlight w:val="none"/>
                <w:lang w:eastAsia="zh-CN" w:bidi="ar"/>
              </w:rPr>
              <w:t>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86B8C73">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21967F24">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6086106">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w:t>
            </w:r>
            <w:r>
              <w:rPr>
                <w:rFonts w:hint="eastAsia" w:ascii="仿宋_GB2312" w:hAnsi="仿宋_GB2312" w:eastAsia="仿宋_GB2312" w:cs="仿宋_GB2312"/>
                <w:spacing w:val="0"/>
                <w:sz w:val="20"/>
                <w:szCs w:val="20"/>
                <w:highlight w:val="none"/>
                <w:lang w:val="en-US" w:eastAsia="zh-CN"/>
              </w:rPr>
              <w:t>08</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11</w:t>
            </w:r>
          </w:p>
        </w:tc>
        <w:tc>
          <w:tcPr>
            <w:tcW w:w="275" w:type="pct"/>
            <w:vMerge w:val="continue"/>
            <w:tcBorders>
              <w:left w:val="single" w:color="auto" w:sz="6" w:space="0"/>
              <w:right w:val="single" w:color="auto" w:sz="6" w:space="0"/>
            </w:tcBorders>
            <w:noWrap w:val="0"/>
            <w:tcMar>
              <w:left w:w="0" w:type="dxa"/>
              <w:right w:w="0" w:type="dxa"/>
            </w:tcMar>
            <w:vAlign w:val="center"/>
          </w:tcPr>
          <w:p w14:paraId="0F4A4622">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restart"/>
            <w:tcBorders>
              <w:top w:val="single" w:color="auto" w:sz="6" w:space="0"/>
              <w:left w:val="single" w:color="auto" w:sz="6" w:space="0"/>
              <w:right w:val="single" w:color="auto" w:sz="6" w:space="0"/>
            </w:tcBorders>
            <w:noWrap w:val="0"/>
            <w:tcMar>
              <w:left w:w="0" w:type="dxa"/>
              <w:right w:w="0" w:type="dxa"/>
            </w:tcMar>
            <w:vAlign w:val="center"/>
          </w:tcPr>
          <w:p w14:paraId="1268A669">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教育培训类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A79D7D6">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未开展安全生产教育培训。</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EC98067">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安全教育培训应符合下列要求：</w:t>
            </w:r>
          </w:p>
          <w:p w14:paraId="7A0D3EFA">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一）应对从业人员进行安全生产教育和培训，保证从业人员具备必要的安全生产知识，熟悉有关安全生产规章制度和安全操作规程，掌握本岗位安全操作技能，了解事故应急处理措施，知悉自身在安全生产方面的权利和义务；</w:t>
            </w:r>
          </w:p>
          <w:p w14:paraId="674D8079">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（二）对新招用、换岗、离岗6个月以上的人员，以及采用新工艺、新技术、新材料或者使用新设备的人员，进行安全生产教育和培训；</w:t>
            </w:r>
          </w:p>
          <w:p w14:paraId="1211A494">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（三）未经安全生产教育和培训合格的人员，不得安排上岗作业。</w:t>
            </w:r>
          </w:p>
          <w:p w14:paraId="55BEB2F6">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单位的主要负责人和安全生产管理人员初次安全培训时间不应少于32学时，每年再培训时间不应少于12学时；</w:t>
            </w:r>
          </w:p>
          <w:p w14:paraId="57192214">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新上岗的从业人员应进行“单位（厂）、部门（车间）、基层（班组）”三级安全培训教育，岗前安全培训时间不应少于24学时，每年再培训时间不应少于8学时。</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4F14260">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《中华人民共和国安全生产法》第二十八条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《北京市生产经营单位安全生产主体责任规定》第十七条</w:t>
            </w:r>
            <w:r>
              <w:rPr>
                <w:rFonts w:hint="eastAsia" w:ascii="仿宋_GB2312" w:hAnsi="仿宋_GB2312" w:eastAsia="仿宋_GB2312" w:cs="仿宋_GB2312"/>
                <w:color w:val="000000"/>
                <w:spacing w:val="0"/>
                <w:kern w:val="0"/>
                <w:sz w:val="20"/>
                <w:szCs w:val="20"/>
                <w:highlight w:val="none"/>
                <w:lang w:eastAsia="zh-CN" w:bidi="ar"/>
              </w:rPr>
              <w:t>；《生产经营单位安全培训规定》</w:t>
            </w:r>
            <w:r>
              <w:rPr>
                <w:rFonts w:hint="eastAsia" w:ascii="仿宋_GB2312" w:hAnsi="仿宋_GB2312" w:eastAsia="仿宋_GB2312" w:cs="仿宋_GB2312"/>
                <w:color w:val="000000"/>
                <w:spacing w:val="0"/>
                <w:kern w:val="0"/>
                <w:sz w:val="20"/>
                <w:szCs w:val="20"/>
                <w:highlight w:val="none"/>
                <w:lang w:val="en-US" w:eastAsia="zh-CN" w:bidi="ar"/>
              </w:rPr>
              <w:t>第九条、十二条、十三条、</w:t>
            </w:r>
            <w:r>
              <w:rPr>
                <w:rFonts w:hint="eastAsia" w:ascii="仿宋_GB2312" w:hAnsi="仿宋_GB2312" w:eastAsia="仿宋_GB2312" w:cs="仿宋_GB2312"/>
                <w:color w:val="000000"/>
                <w:spacing w:val="0"/>
                <w:kern w:val="0"/>
                <w:sz w:val="20"/>
                <w:szCs w:val="20"/>
                <w:highlight w:val="none"/>
                <w:lang w:eastAsia="zh-CN" w:bidi="ar"/>
              </w:rPr>
              <w:t>二十一条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1935A33">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0D51E8E1">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AC6399C">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w:t>
            </w:r>
            <w:r>
              <w:rPr>
                <w:rFonts w:hint="eastAsia" w:ascii="仿宋_GB2312" w:hAnsi="仿宋_GB2312" w:eastAsia="仿宋_GB2312" w:cs="仿宋_GB2312"/>
                <w:spacing w:val="0"/>
                <w:sz w:val="20"/>
                <w:szCs w:val="20"/>
                <w:highlight w:val="none"/>
                <w:lang w:val="en-US" w:eastAsia="zh-CN"/>
              </w:rPr>
              <w:t>08</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12</w:t>
            </w:r>
          </w:p>
        </w:tc>
        <w:tc>
          <w:tcPr>
            <w:tcW w:w="275" w:type="pct"/>
            <w:vMerge w:val="continue"/>
            <w:tcBorders>
              <w:left w:val="single" w:color="auto" w:sz="6" w:space="0"/>
              <w:right w:val="single" w:color="auto" w:sz="6" w:space="0"/>
            </w:tcBorders>
            <w:noWrap w:val="0"/>
            <w:tcMar>
              <w:left w:w="0" w:type="dxa"/>
              <w:right w:w="0" w:type="dxa"/>
            </w:tcMar>
            <w:vAlign w:val="center"/>
          </w:tcPr>
          <w:p w14:paraId="377F39DE">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5CE241AE">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lang w:val="en-US" w:eastAsia="zh-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B5056C3">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未建立安全生产教育和培训档案</w:t>
            </w:r>
            <w:r>
              <w:rPr>
                <w:rFonts w:hint="eastAsia" w:ascii="仿宋_GB2312" w:hAnsi="仿宋_GB2312" w:eastAsia="仿宋_GB2312" w:cs="仿宋_GB2312"/>
                <w:color w:val="000000"/>
                <w:spacing w:val="0"/>
                <w:kern w:val="0"/>
                <w:sz w:val="20"/>
                <w:szCs w:val="20"/>
                <w:highlight w:val="none"/>
                <w:lang w:eastAsia="zh-CN"/>
              </w:rPr>
              <w:t>，</w:t>
            </w:r>
            <w:r>
              <w:rPr>
                <w:rFonts w:hint="eastAsia" w:ascii="仿宋_GB2312" w:hAnsi="仿宋_GB2312" w:eastAsia="仿宋_GB2312" w:cs="仿宋_GB2312"/>
                <w:color w:val="000000"/>
                <w:spacing w:val="0"/>
                <w:kern w:val="0"/>
                <w:sz w:val="20"/>
                <w:szCs w:val="20"/>
                <w:highlight w:val="none"/>
                <w:lang w:val="en-US" w:eastAsia="zh-CN"/>
              </w:rPr>
              <w:t>或记录档案等不符合要求</w:t>
            </w:r>
            <w:r>
              <w:rPr>
                <w:rFonts w:hint="eastAsia" w:ascii="仿宋_GB2312" w:hAnsi="仿宋_GB2312" w:eastAsia="仿宋_GB2312" w:cs="仿宋_GB2312"/>
                <w:color w:val="000000"/>
                <w:spacing w:val="0"/>
                <w:kern w:val="0"/>
                <w:sz w:val="20"/>
                <w:szCs w:val="20"/>
                <w:highlight w:val="none"/>
              </w:rPr>
              <w:t>。</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A8392DD">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kern w:val="2"/>
                <w:sz w:val="20"/>
                <w:szCs w:val="20"/>
                <w:highlight w:val="none"/>
                <w:shd w:val="clear" w:color="auto" w:fill="auto"/>
              </w:rPr>
              <w:t>生产经营单位应当建立健全从业人员安全生产教育和培训档案，由生产经营单位的安全生产管理机构以及安全生产管理人员详细、准确记录培训的时间、内容、参加人员以及考核结果等</w:t>
            </w:r>
            <w:r>
              <w:rPr>
                <w:rFonts w:hint="eastAsia" w:ascii="仿宋_GB2312" w:hAnsi="仿宋_GB2312" w:eastAsia="仿宋_GB2312" w:cs="仿宋_GB2312"/>
                <w:spacing w:val="0"/>
                <w:kern w:val="2"/>
                <w:sz w:val="20"/>
                <w:szCs w:val="20"/>
                <w:highlight w:val="none"/>
                <w:shd w:val="clear" w:color="auto" w:fill="auto"/>
                <w:lang w:eastAsia="zh-CN"/>
              </w:rPr>
              <w:t>情况。</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EB79352">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ar"/>
              </w:rPr>
            </w:pPr>
            <w:r>
              <w:rPr>
                <w:rFonts w:hint="eastAsia" w:ascii="仿宋_GB2312" w:hAnsi="仿宋_GB2312" w:eastAsia="仿宋_GB2312" w:cs="仿宋_GB2312"/>
                <w:color w:val="000000"/>
                <w:spacing w:val="0"/>
                <w:kern w:val="2"/>
                <w:sz w:val="20"/>
                <w:szCs w:val="20"/>
                <w:highlight w:val="none"/>
                <w:lang w:bidi="ar"/>
              </w:rPr>
              <w:t>《中华人民共和国安全生产法》</w:t>
            </w:r>
            <w:r>
              <w:rPr>
                <w:rFonts w:hint="eastAsia" w:ascii="仿宋_GB2312" w:hAnsi="仿宋_GB2312" w:eastAsia="仿宋_GB2312" w:cs="仿宋_GB2312"/>
                <w:color w:val="000000"/>
                <w:spacing w:val="0"/>
                <w:kern w:val="2"/>
                <w:sz w:val="20"/>
                <w:szCs w:val="20"/>
                <w:highlight w:val="none"/>
                <w:lang w:eastAsia="zh-CN" w:bidi="ar"/>
              </w:rPr>
              <w:t>第二十八条；</w:t>
            </w:r>
            <w:r>
              <w:rPr>
                <w:rFonts w:hint="eastAsia" w:ascii="仿宋_GB2312" w:hAnsi="仿宋_GB2312" w:eastAsia="仿宋_GB2312" w:cs="仿宋_GB2312"/>
                <w:color w:val="000000"/>
                <w:spacing w:val="0"/>
                <w:kern w:val="2"/>
                <w:sz w:val="20"/>
                <w:szCs w:val="20"/>
                <w:highlight w:val="none"/>
                <w:lang w:bidi="ar"/>
              </w:rPr>
              <w:t>《生产经营单位安全培训规定》</w:t>
            </w:r>
            <w:r>
              <w:rPr>
                <w:rFonts w:hint="eastAsia" w:ascii="仿宋_GB2312" w:hAnsi="仿宋_GB2312" w:eastAsia="仿宋_GB2312" w:cs="仿宋_GB2312"/>
                <w:color w:val="000000"/>
                <w:spacing w:val="0"/>
                <w:kern w:val="2"/>
                <w:sz w:val="20"/>
                <w:szCs w:val="20"/>
                <w:highlight w:val="none"/>
                <w:lang w:eastAsia="zh-CN" w:bidi="ar"/>
              </w:rPr>
              <w:t>第二十二条；</w:t>
            </w:r>
            <w:r>
              <w:rPr>
                <w:rFonts w:hint="eastAsia" w:ascii="仿宋_GB2312" w:hAnsi="仿宋_GB2312" w:eastAsia="仿宋_GB2312" w:cs="仿宋_GB2312"/>
                <w:color w:val="000000"/>
                <w:spacing w:val="0"/>
                <w:kern w:val="2"/>
                <w:sz w:val="20"/>
                <w:szCs w:val="20"/>
                <w:highlight w:val="none"/>
                <w:lang w:bidi="ar"/>
              </w:rPr>
              <w:t>《北京市生产经营单位安全生产主体责任规定》第十七条、十八条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5175876">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74F4A4AA">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2F27A28">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13</w:t>
            </w:r>
          </w:p>
        </w:tc>
        <w:tc>
          <w:tcPr>
            <w:tcW w:w="275" w:type="pct"/>
            <w:vMerge w:val="continue"/>
            <w:tcBorders>
              <w:left w:val="single" w:color="auto" w:sz="6" w:space="0"/>
              <w:right w:val="single" w:color="auto" w:sz="6" w:space="0"/>
            </w:tcBorders>
            <w:noWrap w:val="0"/>
            <w:tcMar>
              <w:left w:w="0" w:type="dxa"/>
              <w:right w:w="0" w:type="dxa"/>
            </w:tcMar>
            <w:vAlign w:val="center"/>
          </w:tcPr>
          <w:p w14:paraId="36464621">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restart"/>
            <w:tcBorders>
              <w:top w:val="single" w:color="auto" w:sz="6" w:space="0"/>
              <w:left w:val="single" w:color="auto" w:sz="6" w:space="0"/>
              <w:right w:val="single" w:color="auto" w:sz="6" w:space="0"/>
            </w:tcBorders>
            <w:noWrap w:val="0"/>
            <w:tcMar>
              <w:left w:w="0" w:type="dxa"/>
              <w:right w:w="0" w:type="dxa"/>
            </w:tcMar>
            <w:vAlign w:val="center"/>
          </w:tcPr>
          <w:p w14:paraId="6E194E49">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相关方管理类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8817B2D">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选用未取得相应资质的承包（承租）单位的。</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A458655">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不得将生产经营项目、场所、设备发包或者出租给不具备安全生产条件或者相应资质的单位或者个人。对供应单位选用和续用等过程进行管理，对承包（承租）单位选择、服务前准备、作业过程监督、续用等过程进行管理</w:t>
            </w:r>
            <w:r>
              <w:rPr>
                <w:rFonts w:hint="eastAsia" w:ascii="仿宋_GB2312" w:hAnsi="仿宋_GB2312" w:eastAsia="仿宋_GB2312" w:cs="仿宋_GB2312"/>
                <w:spacing w:val="0"/>
                <w:sz w:val="20"/>
                <w:szCs w:val="20"/>
                <w:highlight w:val="none"/>
                <w:shd w:val="clear" w:color="auto" w:fill="auto"/>
                <w:lang w:eastAsia="zh-CN"/>
              </w:rPr>
              <w:t>。</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E467DA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E5DFA21">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32033875">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08A477A">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14</w:t>
            </w:r>
          </w:p>
        </w:tc>
        <w:tc>
          <w:tcPr>
            <w:tcW w:w="275" w:type="pct"/>
            <w:vMerge w:val="continue"/>
            <w:tcBorders>
              <w:left w:val="single" w:color="auto" w:sz="6" w:space="0"/>
              <w:right w:val="single" w:color="auto" w:sz="6" w:space="0"/>
            </w:tcBorders>
            <w:noWrap w:val="0"/>
            <w:tcMar>
              <w:left w:w="0" w:type="dxa"/>
              <w:right w:w="0" w:type="dxa"/>
            </w:tcMar>
            <w:vAlign w:val="center"/>
          </w:tcPr>
          <w:p w14:paraId="4BB7CEC5">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right w:val="single" w:color="auto" w:sz="6" w:space="0"/>
            </w:tcBorders>
            <w:noWrap w:val="0"/>
            <w:tcMar>
              <w:left w:w="0" w:type="dxa"/>
              <w:right w:w="0" w:type="dxa"/>
            </w:tcMar>
            <w:vAlign w:val="center"/>
          </w:tcPr>
          <w:p w14:paraId="4A93A819">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EBF8112">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未与承包、承租单位签订专门的安全生产管理协议或在承包、</w:t>
            </w:r>
            <w:r>
              <w:rPr>
                <w:rFonts w:hint="eastAsia" w:ascii="仿宋_GB2312" w:hAnsi="仿宋_GB2312" w:eastAsia="仿宋_GB2312" w:cs="仿宋_GB2312"/>
                <w:spacing w:val="0"/>
                <w:sz w:val="20"/>
                <w:szCs w:val="20"/>
                <w:highlight w:val="none"/>
                <w:lang w:val="en-US" w:eastAsia="zh-CN"/>
              </w:rPr>
              <w:t>承租</w:t>
            </w:r>
            <w:r>
              <w:rPr>
                <w:rFonts w:hint="eastAsia" w:ascii="仿宋_GB2312" w:hAnsi="仿宋_GB2312" w:eastAsia="仿宋_GB2312" w:cs="仿宋_GB2312"/>
                <w:spacing w:val="0"/>
                <w:sz w:val="20"/>
                <w:szCs w:val="20"/>
                <w:highlight w:val="none"/>
              </w:rPr>
              <w:t>合同中明确各自的安全生产管理职责。</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0807B7C">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应与承包、承租单位签订专门的安全生产管理协议，或者在承包合同、</w:t>
            </w:r>
            <w:r>
              <w:rPr>
                <w:rFonts w:hint="eastAsia" w:ascii="仿宋_GB2312" w:hAnsi="仿宋_GB2312" w:eastAsia="仿宋_GB2312" w:cs="仿宋_GB2312"/>
                <w:spacing w:val="0"/>
                <w:sz w:val="20"/>
                <w:szCs w:val="20"/>
                <w:highlight w:val="none"/>
                <w:lang w:val="en-US" w:eastAsia="zh-CN"/>
              </w:rPr>
              <w:t>承租</w:t>
            </w:r>
            <w:r>
              <w:rPr>
                <w:rFonts w:hint="eastAsia" w:ascii="仿宋_GB2312" w:hAnsi="仿宋_GB2312" w:eastAsia="仿宋_GB2312" w:cs="仿宋_GB2312"/>
                <w:spacing w:val="0"/>
                <w:sz w:val="20"/>
                <w:szCs w:val="20"/>
                <w:highlight w:val="none"/>
              </w:rPr>
              <w:t>合同中约定各自的安全生产管理职责</w:t>
            </w:r>
            <w:r>
              <w:rPr>
                <w:rFonts w:hint="eastAsia" w:ascii="仿宋_GB2312" w:hAnsi="仿宋_GB2312" w:eastAsia="仿宋_GB2312" w:cs="仿宋_GB2312"/>
                <w:spacing w:val="0"/>
                <w:sz w:val="20"/>
                <w:szCs w:val="20"/>
                <w:highlight w:val="none"/>
                <w:lang w:eastAsia="zh-CN"/>
              </w:rPr>
              <w:t>，不得在安全生产管理协议中要求安全生产责任全部由承包、承租单位承担。</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E10428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eastAsia="zh-CN"/>
              </w:rPr>
              <w:t>第二十六条</w:t>
            </w:r>
            <w:r>
              <w:rPr>
                <w:rFonts w:hint="eastAsia" w:ascii="仿宋_GB2312" w:hAnsi="仿宋_GB2312" w:eastAsia="仿宋_GB2312" w:cs="仿宋_GB2312"/>
                <w:spacing w:val="0"/>
                <w:sz w:val="20"/>
                <w:szCs w:val="20"/>
                <w:highlight w:val="none"/>
                <w:lang w:val="en-US" w:eastAsia="zh-CN"/>
              </w:rPr>
              <w:t>、第二十七条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6DE69B9">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3A7EF08B">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FFB2C0A">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15</w:t>
            </w:r>
          </w:p>
        </w:tc>
        <w:tc>
          <w:tcPr>
            <w:tcW w:w="275" w:type="pct"/>
            <w:vMerge w:val="continue"/>
            <w:tcBorders>
              <w:left w:val="single" w:color="auto" w:sz="6" w:space="0"/>
              <w:right w:val="single" w:color="auto" w:sz="6" w:space="0"/>
            </w:tcBorders>
            <w:noWrap w:val="0"/>
            <w:tcMar>
              <w:left w:w="0" w:type="dxa"/>
              <w:right w:w="0" w:type="dxa"/>
            </w:tcMar>
            <w:vAlign w:val="center"/>
          </w:tcPr>
          <w:p w14:paraId="3B79281B">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right w:val="single" w:color="auto" w:sz="6" w:space="0"/>
            </w:tcBorders>
            <w:noWrap w:val="0"/>
            <w:tcMar>
              <w:left w:w="0" w:type="dxa"/>
              <w:right w:w="0" w:type="dxa"/>
            </w:tcMar>
            <w:vAlign w:val="center"/>
          </w:tcPr>
          <w:p w14:paraId="534A2405">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A4BC0D9">
            <w:pPr>
              <w:pStyle w:val="13"/>
              <w:keepNext w:val="0"/>
              <w:keepLines w:val="0"/>
              <w:pageBreakBefore w:val="0"/>
              <w:tabs>
                <w:tab w:val="left" w:pos="898"/>
              </w:tabs>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安全管理协议内容不符合要求。</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1DB3081">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eastAsia="zh-CN"/>
              </w:rPr>
              <w:t>安全生产管理协议</w:t>
            </w:r>
            <w:r>
              <w:rPr>
                <w:rFonts w:hint="eastAsia" w:ascii="仿宋_GB2312" w:hAnsi="仿宋_GB2312" w:eastAsia="仿宋_GB2312" w:cs="仿宋_GB2312"/>
                <w:spacing w:val="0"/>
                <w:sz w:val="20"/>
                <w:szCs w:val="20"/>
                <w:highlight w:val="none"/>
                <w:lang w:val="en-US" w:eastAsia="zh-CN"/>
              </w:rPr>
              <w:t>内容应包括：双方安全生产职责、各自管理的区域范围；作业场所和人员、设备设施的安全生产管理责任；双方有关安全生产的权利和义务；生产安全事故报告和应急救援责任等主要内容。</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166DFA4">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val="en-US" w:eastAsia="zh-CN"/>
              </w:rPr>
              <w:t>第二十七条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66B4A88">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spacing w:val="0"/>
                <w:sz w:val="20"/>
                <w:szCs w:val="20"/>
                <w:highlight w:val="none"/>
              </w:rPr>
            </w:pPr>
          </w:p>
        </w:tc>
      </w:tr>
      <w:tr w14:paraId="6D835288">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51CD558">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16</w:t>
            </w:r>
          </w:p>
        </w:tc>
        <w:tc>
          <w:tcPr>
            <w:tcW w:w="275" w:type="pct"/>
            <w:vMerge w:val="continue"/>
            <w:tcBorders>
              <w:left w:val="single" w:color="auto" w:sz="6" w:space="0"/>
              <w:right w:val="single" w:color="auto" w:sz="6" w:space="0"/>
            </w:tcBorders>
            <w:noWrap w:val="0"/>
            <w:tcMar>
              <w:left w:w="0" w:type="dxa"/>
              <w:right w:w="0" w:type="dxa"/>
            </w:tcMar>
            <w:vAlign w:val="center"/>
          </w:tcPr>
          <w:p w14:paraId="4C03AAF4">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270" w:type="pct"/>
            <w:vMerge w:val="continue"/>
            <w:tcBorders>
              <w:left w:val="single" w:color="auto" w:sz="6" w:space="0"/>
              <w:right w:val="single" w:color="auto" w:sz="6" w:space="0"/>
            </w:tcBorders>
            <w:noWrap w:val="0"/>
            <w:tcMar>
              <w:left w:w="0" w:type="dxa"/>
              <w:right w:w="0" w:type="dxa"/>
            </w:tcMar>
            <w:vAlign w:val="center"/>
          </w:tcPr>
          <w:p w14:paraId="5C0DFE70">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13E8014">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未对承包、承租单位的安全生产统一协调、管理</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未定期进行安全检查。</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79B4029">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对承包单位、承租单位的安全生产工作统一协调、管理，定期进行安全检查，发现安全问题的，应当及时督促整改。</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D747D6B">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7766A12">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496A472B">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BD5BE35">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17</w:t>
            </w:r>
          </w:p>
        </w:tc>
        <w:tc>
          <w:tcPr>
            <w:tcW w:w="275" w:type="pct"/>
            <w:vMerge w:val="continue"/>
            <w:tcBorders>
              <w:left w:val="single" w:color="auto" w:sz="6" w:space="0"/>
              <w:right w:val="single" w:color="auto" w:sz="6" w:space="0"/>
            </w:tcBorders>
            <w:noWrap w:val="0"/>
            <w:tcMar>
              <w:left w:w="0" w:type="dxa"/>
              <w:right w:w="0" w:type="dxa"/>
            </w:tcMar>
            <w:vAlign w:val="center"/>
          </w:tcPr>
          <w:p w14:paraId="2F828F06">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270"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7E2D095C">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6C99E2F">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w:t>
            </w:r>
            <w:r>
              <w:rPr>
                <w:rFonts w:hint="eastAsia" w:ascii="仿宋_GB2312" w:hAnsi="仿宋_GB2312" w:eastAsia="仿宋_GB2312" w:cs="仿宋_GB2312"/>
                <w:spacing w:val="0"/>
                <w:sz w:val="20"/>
                <w:szCs w:val="20"/>
                <w:highlight w:val="none"/>
                <w:lang w:val="en-US" w:eastAsia="zh-CN"/>
              </w:rPr>
              <w:t>危险</w:t>
            </w:r>
            <w:r>
              <w:rPr>
                <w:rFonts w:hint="eastAsia" w:ascii="仿宋_GB2312" w:hAnsi="仿宋_GB2312" w:eastAsia="仿宋_GB2312" w:cs="仿宋_GB2312"/>
                <w:spacing w:val="0"/>
                <w:sz w:val="20"/>
                <w:szCs w:val="20"/>
                <w:highlight w:val="none"/>
              </w:rPr>
              <w:t>作业的，</w:t>
            </w:r>
            <w:r>
              <w:rPr>
                <w:rFonts w:hint="eastAsia" w:ascii="仿宋_GB2312" w:hAnsi="仿宋_GB2312" w:eastAsia="仿宋_GB2312" w:cs="仿宋_GB2312"/>
                <w:spacing w:val="0"/>
                <w:sz w:val="20"/>
                <w:szCs w:val="20"/>
                <w:highlight w:val="none"/>
                <w:lang w:val="en-US" w:eastAsia="zh-CN"/>
              </w:rPr>
              <w:t>未督促</w:t>
            </w: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承租单位进行作业审批，制定作业方案，落实安全防范措施，加强现场安全管理</w:t>
            </w:r>
            <w:r>
              <w:rPr>
                <w:rFonts w:hint="eastAsia" w:ascii="仿宋_GB2312" w:hAnsi="仿宋_GB2312" w:eastAsia="仿宋_GB2312" w:cs="仿宋_GB2312"/>
                <w:spacing w:val="0"/>
                <w:sz w:val="20"/>
                <w:szCs w:val="20"/>
                <w:highlight w:val="none"/>
                <w:lang w:eastAsia="zh-CN"/>
              </w:rPr>
              <w:t>。</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2CF81AF">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bookmarkStart w:id="0" w:name="_GoBack"/>
            <w:bookmarkEnd w:id="0"/>
            <w:r>
              <w:rPr>
                <w:rFonts w:hint="eastAsia" w:ascii="仿宋_GB2312" w:hAnsi="仿宋_GB2312" w:eastAsia="仿宋_GB2312" w:cs="仿宋_GB2312"/>
                <w:spacing w:val="0"/>
                <w:sz w:val="20"/>
                <w:szCs w:val="20"/>
                <w:highlight w:val="none"/>
                <w:lang w:val="en-US" w:eastAsia="zh-CN"/>
              </w:rPr>
              <w:t>进行有限空间内作业、动火作业、高处作业、带电作业等，应当遵守下列规定：</w:t>
            </w:r>
          </w:p>
          <w:p w14:paraId="43EA9CBD">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（一）制定作业方案，按照本单位内部批准权限审批；</w:t>
            </w:r>
          </w:p>
          <w:p w14:paraId="4FF2782A">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（二）落实安全交底，向作业人员详细说明作业内容、主要危险因素、作业安全要求和应急措施等内容；</w:t>
            </w:r>
          </w:p>
          <w:p w14:paraId="3FA0E8C9">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（三）安排专门人员进行现场管理，确认现场作业条件、作业人员上岗资格、身体状况符合安全作业要求，监督作业人员遵守操作规程，落实安全措施；</w:t>
            </w:r>
          </w:p>
          <w:p w14:paraId="7697ED81">
            <w:pPr>
              <w:pStyle w:val="13"/>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（四）配备与现场作业活动相适应的劳动防护用品，以及相应的安全警示标志、安全防护设备、应急救援装备；</w:t>
            </w:r>
          </w:p>
          <w:p w14:paraId="3758A2A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（五）发现直接危及人身安全的紧急情况，立即采取应急措施，停止作业或者撤出作业人员。</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95F4E09">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w:t>
            </w:r>
            <w:r>
              <w:rPr>
                <w:rFonts w:hint="eastAsia" w:ascii="仿宋_GB2312" w:hAnsi="仿宋_GB2312" w:eastAsia="仿宋_GB2312" w:cs="仿宋_GB2312"/>
                <w:spacing w:val="0"/>
                <w:sz w:val="20"/>
                <w:szCs w:val="20"/>
                <w:highlight w:val="none"/>
                <w:lang w:val="en-US" w:eastAsia="zh-CN"/>
              </w:rPr>
              <w:t>四十三条</w:t>
            </w:r>
            <w:r>
              <w:rPr>
                <w:rFonts w:hint="eastAsia" w:ascii="仿宋_GB2312" w:hAnsi="仿宋_GB2312" w:eastAsia="仿宋_GB2312" w:cs="仿宋_GB2312"/>
                <w:spacing w:val="0"/>
                <w:sz w:val="20"/>
                <w:szCs w:val="20"/>
                <w:highlight w:val="none"/>
              </w:rPr>
              <w:t>；《北京市生产经营单位安全生产主体责任规定》第</w:t>
            </w:r>
            <w:r>
              <w:rPr>
                <w:rFonts w:hint="eastAsia" w:ascii="仿宋_GB2312" w:hAnsi="仿宋_GB2312" w:eastAsia="仿宋_GB2312" w:cs="仿宋_GB2312"/>
                <w:spacing w:val="0"/>
                <w:sz w:val="20"/>
                <w:szCs w:val="20"/>
                <w:highlight w:val="none"/>
                <w:lang w:val="en-US" w:eastAsia="zh-CN"/>
              </w:rPr>
              <w:t>二十五条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1F7C783">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spacing w:val="0"/>
                <w:sz w:val="20"/>
                <w:szCs w:val="20"/>
                <w:highlight w:val="none"/>
              </w:rPr>
            </w:pPr>
          </w:p>
        </w:tc>
      </w:tr>
      <w:tr w14:paraId="3A8E0EC6">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FCEDB0D">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04.2.0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18</w:t>
            </w:r>
          </w:p>
        </w:tc>
        <w:tc>
          <w:tcPr>
            <w:tcW w:w="275" w:type="pct"/>
            <w:vMerge w:val="restart"/>
            <w:tcBorders>
              <w:left w:val="single" w:color="auto" w:sz="6" w:space="0"/>
              <w:right w:val="single" w:color="auto" w:sz="6" w:space="0"/>
            </w:tcBorders>
            <w:noWrap w:val="0"/>
            <w:tcMar>
              <w:left w:w="0" w:type="dxa"/>
              <w:right w:w="0" w:type="dxa"/>
            </w:tcMar>
            <w:vAlign w:val="center"/>
          </w:tcPr>
          <w:p w14:paraId="0B1B781A">
            <w:pPr>
              <w:keepNext w:val="0"/>
              <w:keepLines w:val="0"/>
              <w:pageBreakBefore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sz w:val="20"/>
                <w:szCs w:val="20"/>
                <w:highlight w:val="none"/>
                <w:lang w:val="en-US" w:eastAsia="zh-CN"/>
              </w:rPr>
              <w:t>设备设施及物料类</w:t>
            </w:r>
          </w:p>
        </w:tc>
        <w:tc>
          <w:tcPr>
            <w:tcW w:w="270" w:type="pct"/>
            <w:vMerge w:val="restart"/>
            <w:tcBorders>
              <w:top w:val="single" w:color="auto" w:sz="6" w:space="0"/>
              <w:left w:val="single" w:color="auto" w:sz="6" w:space="0"/>
              <w:right w:val="single" w:color="auto" w:sz="6" w:space="0"/>
            </w:tcBorders>
            <w:noWrap w:val="0"/>
            <w:tcMar>
              <w:left w:w="0" w:type="dxa"/>
              <w:right w:w="0" w:type="dxa"/>
            </w:tcMar>
            <w:vAlign w:val="center"/>
          </w:tcPr>
          <w:p w14:paraId="5E857B49">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工艺及生产设备设施类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B5612D5">
            <w:pPr>
              <w:keepNext w:val="0"/>
              <w:keepLines w:val="0"/>
              <w:pageBreakBefore w:val="0"/>
              <w:kinsoku/>
              <w:wordWrap/>
              <w:overflowPunct/>
              <w:topLinePunct w:val="0"/>
              <w:autoSpaceDE/>
              <w:autoSpaceDN/>
              <w:bidi w:val="0"/>
              <w:snapToGrid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健身器材无产品质量检验合格书。</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858C4D8">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产品或者其包装上的标识必须真实，并有产品质量检验合格</w:t>
            </w:r>
            <w:r>
              <w:rPr>
                <w:rFonts w:hint="eastAsia" w:ascii="仿宋_GB2312" w:hAnsi="仿宋_GB2312" w:eastAsia="仿宋_GB2312" w:cs="仿宋_GB2312"/>
                <w:spacing w:val="0"/>
                <w:kern w:val="2"/>
                <w:sz w:val="20"/>
                <w:szCs w:val="20"/>
                <w:highlight w:val="none"/>
                <w:lang w:eastAsia="zh-CN"/>
              </w:rPr>
              <w:t>证明。</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7D1436B">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《中华人民共和国产品质量法》第二十七条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30E7F76">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1EC8ECC0">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4F0EE06">
            <w:pPr>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04.2.01.019</w:t>
            </w:r>
          </w:p>
        </w:tc>
        <w:tc>
          <w:tcPr>
            <w:tcW w:w="275" w:type="pct"/>
            <w:vMerge w:val="continue"/>
            <w:tcBorders>
              <w:left w:val="single" w:color="auto" w:sz="6" w:space="0"/>
              <w:right w:val="single" w:color="auto" w:sz="6" w:space="0"/>
            </w:tcBorders>
            <w:noWrap w:val="0"/>
            <w:tcMar>
              <w:left w:w="0" w:type="dxa"/>
              <w:right w:w="0" w:type="dxa"/>
            </w:tcMar>
            <w:vAlign w:val="center"/>
          </w:tcPr>
          <w:p w14:paraId="3E028661">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right w:val="single" w:color="auto" w:sz="6" w:space="0"/>
            </w:tcBorders>
            <w:noWrap w:val="0"/>
            <w:tcMar>
              <w:left w:w="0" w:type="dxa"/>
              <w:right w:w="0" w:type="dxa"/>
            </w:tcMar>
            <w:vAlign w:val="center"/>
          </w:tcPr>
          <w:p w14:paraId="6F1F51CC">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9A7B3CA">
            <w:pPr>
              <w:keepNext w:val="0"/>
              <w:keepLines w:val="0"/>
              <w:pageBreakBefore w:val="0"/>
              <w:kinsoku/>
              <w:wordWrap/>
              <w:overflowPunct/>
              <w:topLinePunct w:val="0"/>
              <w:autoSpaceDE/>
              <w:autoSpaceDN/>
              <w:bidi w:val="0"/>
              <w:snapToGrid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健身器材未按其使用功能和特点合理摆放。</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35F0325">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各类全民健身中心的基础健身区</w:t>
            </w:r>
            <w:r>
              <w:rPr>
                <w:rFonts w:hint="eastAsia" w:ascii="仿宋_GB2312" w:hAnsi="仿宋_GB2312" w:eastAsia="仿宋_GB2312" w:cs="仿宋_GB2312"/>
                <w:spacing w:val="0"/>
                <w:kern w:val="2"/>
                <w:sz w:val="20"/>
                <w:szCs w:val="20"/>
                <w:highlight w:val="none"/>
                <w:lang w:eastAsia="zh-CN"/>
              </w:rPr>
              <w:t>（</w:t>
            </w:r>
            <w:r>
              <w:rPr>
                <w:rFonts w:hint="eastAsia" w:ascii="仿宋_GB2312" w:hAnsi="仿宋_GB2312" w:eastAsia="仿宋_GB2312" w:cs="仿宋_GB2312"/>
                <w:spacing w:val="0"/>
                <w:kern w:val="2"/>
                <w:sz w:val="20"/>
                <w:szCs w:val="20"/>
                <w:highlight w:val="none"/>
              </w:rPr>
              <w:t>有氧、抗阻</w:t>
            </w:r>
            <w:r>
              <w:rPr>
                <w:rFonts w:hint="eastAsia" w:ascii="仿宋_GB2312" w:hAnsi="仿宋_GB2312" w:eastAsia="仿宋_GB2312" w:cs="仿宋_GB2312"/>
                <w:spacing w:val="0"/>
                <w:kern w:val="2"/>
                <w:sz w:val="20"/>
                <w:szCs w:val="20"/>
                <w:highlight w:val="none"/>
                <w:lang w:eastAsia="zh-CN"/>
              </w:rPr>
              <w:t>、伸</w:t>
            </w:r>
            <w:r>
              <w:rPr>
                <w:rFonts w:hint="eastAsia" w:ascii="仿宋_GB2312" w:hAnsi="仿宋_GB2312" w:eastAsia="仿宋_GB2312" w:cs="仿宋_GB2312"/>
                <w:spacing w:val="0"/>
                <w:kern w:val="2"/>
                <w:sz w:val="20"/>
                <w:szCs w:val="20"/>
                <w:highlight w:val="none"/>
              </w:rPr>
              <w:t>展</w:t>
            </w:r>
            <w:r>
              <w:rPr>
                <w:rFonts w:hint="eastAsia" w:ascii="仿宋_GB2312" w:hAnsi="仿宋_GB2312" w:eastAsia="仿宋_GB2312" w:cs="仿宋_GB2312"/>
                <w:spacing w:val="0"/>
                <w:kern w:val="2"/>
                <w:sz w:val="20"/>
                <w:szCs w:val="20"/>
                <w:highlight w:val="none"/>
                <w:lang w:eastAsia="zh-CN"/>
              </w:rPr>
              <w:t>），</w:t>
            </w:r>
            <w:r>
              <w:rPr>
                <w:rFonts w:hint="eastAsia" w:ascii="仿宋_GB2312" w:hAnsi="仿宋_GB2312" w:eastAsia="仿宋_GB2312" w:cs="仿宋_GB2312"/>
                <w:spacing w:val="0"/>
                <w:kern w:val="2"/>
                <w:sz w:val="20"/>
                <w:szCs w:val="20"/>
                <w:highlight w:val="none"/>
              </w:rPr>
              <w:t>应根据</w:t>
            </w:r>
            <w:r>
              <w:rPr>
                <w:rFonts w:hint="eastAsia" w:ascii="仿宋_GB2312" w:hAnsi="仿宋_GB2312" w:eastAsia="仿宋_GB2312" w:cs="仿宋_GB2312"/>
                <w:spacing w:val="0"/>
                <w:kern w:val="2"/>
                <w:sz w:val="20"/>
                <w:szCs w:val="20"/>
                <w:highlight w:val="none"/>
                <w:lang w:eastAsia="zh-CN"/>
              </w:rPr>
              <w:t>空间面积</w:t>
            </w:r>
            <w:r>
              <w:rPr>
                <w:rFonts w:hint="eastAsia" w:ascii="仿宋_GB2312" w:hAnsi="仿宋_GB2312" w:eastAsia="仿宋_GB2312" w:cs="仿宋_GB2312"/>
                <w:spacing w:val="0"/>
                <w:kern w:val="2"/>
                <w:sz w:val="20"/>
                <w:szCs w:val="20"/>
                <w:highlight w:val="none"/>
              </w:rPr>
              <w:t>和健身人群使用习惯，按照有氧器械、固定训练器械、自由力量器械分区分功能进行合理配置。</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B5E1264">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GB/T 34281-2017《全民健身活动中心分类配置要求》</w:t>
            </w:r>
            <w:r>
              <w:rPr>
                <w:rFonts w:hint="eastAsia" w:ascii="仿宋_GB2312" w:hAnsi="仿宋_GB2312" w:eastAsia="仿宋_GB2312" w:cs="仿宋_GB2312"/>
                <w:spacing w:val="0"/>
                <w:kern w:val="2"/>
                <w:sz w:val="20"/>
                <w:szCs w:val="20"/>
                <w:highlight w:val="none"/>
                <w:lang w:val="en-US" w:eastAsia="zh-CN"/>
              </w:rPr>
              <w:t>第6.3.7条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36BC866">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3EA81411">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0674B52">
            <w:pPr>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04.2.01.020</w:t>
            </w:r>
          </w:p>
        </w:tc>
        <w:tc>
          <w:tcPr>
            <w:tcW w:w="275" w:type="pct"/>
            <w:vMerge w:val="continue"/>
            <w:tcBorders>
              <w:left w:val="single" w:color="auto" w:sz="6" w:space="0"/>
              <w:right w:val="single" w:color="auto" w:sz="6" w:space="0"/>
            </w:tcBorders>
            <w:noWrap w:val="0"/>
            <w:tcMar>
              <w:left w:w="0" w:type="dxa"/>
              <w:right w:w="0" w:type="dxa"/>
            </w:tcMar>
            <w:vAlign w:val="center"/>
          </w:tcPr>
          <w:p w14:paraId="1C7AED3E">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7343311F">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59FC4E0">
            <w:pPr>
              <w:keepNext w:val="0"/>
              <w:keepLines w:val="0"/>
              <w:pageBreakBefore w:val="0"/>
              <w:kinsoku/>
              <w:wordWrap/>
              <w:overflowPunct/>
              <w:topLinePunct w:val="0"/>
              <w:autoSpaceDE/>
              <w:autoSpaceDN/>
              <w:bidi w:val="0"/>
              <w:snapToGrid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lang w:bidi="ar"/>
              </w:rPr>
              <w:t>未在健身器材具有潜在危险位置上标注安全警示标签</w:t>
            </w:r>
            <w:r>
              <w:rPr>
                <w:rFonts w:hint="eastAsia" w:ascii="仿宋_GB2312" w:hAnsi="仿宋_GB2312" w:eastAsia="仿宋_GB2312" w:cs="仿宋_GB2312"/>
                <w:color w:val="000000"/>
                <w:spacing w:val="0"/>
                <w:sz w:val="20"/>
                <w:szCs w:val="20"/>
                <w:highlight w:val="none"/>
                <w:lang w:eastAsia="zh-CN" w:bidi="ar"/>
              </w:rPr>
              <w:t>，</w:t>
            </w:r>
            <w:r>
              <w:rPr>
                <w:rFonts w:hint="eastAsia" w:ascii="仿宋_GB2312" w:hAnsi="仿宋_GB2312" w:eastAsia="仿宋_GB2312" w:cs="仿宋_GB2312"/>
                <w:color w:val="000000"/>
                <w:spacing w:val="0"/>
                <w:sz w:val="20"/>
                <w:szCs w:val="20"/>
                <w:highlight w:val="none"/>
                <w:lang w:bidi="ar"/>
              </w:rPr>
              <w:t>或警示标签设置不符合标准规范；或警示标志仅为</w:t>
            </w:r>
            <w:r>
              <w:rPr>
                <w:rFonts w:hint="eastAsia" w:ascii="仿宋_GB2312" w:hAnsi="仿宋_GB2312" w:eastAsia="仿宋_GB2312" w:cs="仿宋_GB2312"/>
                <w:color w:val="000000"/>
                <w:spacing w:val="0"/>
                <w:sz w:val="20"/>
                <w:szCs w:val="20"/>
                <w:highlight w:val="none"/>
                <w:lang w:val="en-US" w:eastAsia="zh-CN" w:bidi="ar"/>
              </w:rPr>
              <w:t>外</w:t>
            </w:r>
            <w:r>
              <w:rPr>
                <w:rFonts w:hint="eastAsia" w:ascii="仿宋_GB2312" w:hAnsi="仿宋_GB2312" w:eastAsia="仿宋_GB2312" w:cs="仿宋_GB2312"/>
                <w:color w:val="000000"/>
                <w:spacing w:val="0"/>
                <w:sz w:val="20"/>
                <w:szCs w:val="20"/>
                <w:highlight w:val="none"/>
                <w:lang w:bidi="ar"/>
              </w:rPr>
              <w:t>文。</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8D02B55">
            <w:pPr>
              <w:pStyle w:val="13"/>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kern w:val="2"/>
                <w:sz w:val="20"/>
                <w:szCs w:val="20"/>
                <w:highlight w:val="none"/>
                <w:lang w:eastAsia="zh-CN"/>
              </w:rPr>
            </w:pPr>
            <w:r>
              <w:rPr>
                <w:rFonts w:hint="eastAsia" w:ascii="仿宋_GB2312" w:hAnsi="仿宋_GB2312" w:eastAsia="仿宋_GB2312" w:cs="仿宋_GB2312"/>
                <w:spacing w:val="0"/>
                <w:kern w:val="2"/>
                <w:sz w:val="20"/>
                <w:szCs w:val="20"/>
                <w:highlight w:val="none"/>
              </w:rPr>
              <w:t>健身器材</w:t>
            </w:r>
            <w:r>
              <w:rPr>
                <w:rFonts w:hint="eastAsia" w:ascii="仿宋_GB2312" w:hAnsi="仿宋_GB2312" w:eastAsia="仿宋_GB2312" w:cs="仿宋_GB2312"/>
                <w:spacing w:val="0"/>
                <w:kern w:val="2"/>
                <w:sz w:val="20"/>
                <w:szCs w:val="20"/>
                <w:highlight w:val="none"/>
                <w:lang w:val="en-US" w:eastAsia="zh-CN"/>
              </w:rPr>
              <w:t>应在</w:t>
            </w:r>
            <w:r>
              <w:rPr>
                <w:rFonts w:hint="eastAsia" w:ascii="仿宋_GB2312" w:hAnsi="仿宋_GB2312" w:eastAsia="仿宋_GB2312" w:cs="仿宋_GB2312"/>
                <w:spacing w:val="0"/>
                <w:kern w:val="2"/>
                <w:sz w:val="20"/>
                <w:szCs w:val="20"/>
                <w:highlight w:val="none"/>
              </w:rPr>
              <w:t>具有潜在危险位置上标注安全警示标签</w:t>
            </w:r>
            <w:r>
              <w:rPr>
                <w:rFonts w:hint="eastAsia" w:ascii="仿宋_GB2312" w:hAnsi="仿宋_GB2312" w:eastAsia="仿宋_GB2312" w:cs="仿宋_GB2312"/>
                <w:spacing w:val="0"/>
                <w:kern w:val="2"/>
                <w:sz w:val="20"/>
                <w:szCs w:val="20"/>
                <w:highlight w:val="none"/>
                <w:lang w:eastAsia="zh-CN"/>
              </w:rPr>
              <w:t>，标签使用的语言应为中文或中英文对照。根据健身器材在使用过程中可能存在的潜在危险性严重程度分为三个等级：危险、警告和小心：</w:t>
            </w:r>
          </w:p>
          <w:p w14:paraId="77E3F804">
            <w:pPr>
              <w:pStyle w:val="13"/>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kern w:val="2"/>
                <w:sz w:val="20"/>
                <w:szCs w:val="20"/>
                <w:highlight w:val="none"/>
                <w:lang w:eastAsia="zh-CN"/>
              </w:rPr>
            </w:pPr>
            <w:r>
              <w:rPr>
                <w:rFonts w:hint="eastAsia" w:ascii="仿宋_GB2312" w:hAnsi="仿宋_GB2312" w:eastAsia="仿宋_GB2312" w:cs="仿宋_GB2312"/>
                <w:spacing w:val="0"/>
                <w:kern w:val="2"/>
                <w:sz w:val="20"/>
                <w:szCs w:val="20"/>
                <w:highlight w:val="none"/>
                <w:lang w:eastAsia="zh-CN"/>
              </w:rPr>
              <w:t>危险：红色背景 + 白色文字；</w:t>
            </w:r>
          </w:p>
          <w:p w14:paraId="4DD86EA5">
            <w:pPr>
              <w:pStyle w:val="13"/>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kern w:val="2"/>
                <w:sz w:val="20"/>
                <w:szCs w:val="20"/>
                <w:highlight w:val="none"/>
                <w:lang w:eastAsia="zh-CN"/>
              </w:rPr>
            </w:pPr>
            <w:r>
              <w:rPr>
                <w:rFonts w:hint="eastAsia" w:ascii="仿宋_GB2312" w:hAnsi="仿宋_GB2312" w:eastAsia="仿宋_GB2312" w:cs="仿宋_GB2312"/>
                <w:spacing w:val="0"/>
                <w:kern w:val="2"/>
                <w:sz w:val="20"/>
                <w:szCs w:val="20"/>
                <w:highlight w:val="none"/>
                <w:lang w:eastAsia="zh-CN"/>
              </w:rPr>
              <w:t>警告：橙色背景 + 黑色文字；</w:t>
            </w:r>
          </w:p>
          <w:p w14:paraId="41EFDBCC">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lang w:eastAsia="zh-CN"/>
              </w:rPr>
              <w:t>小心：黄色背景 + 黑色文字。</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7C3AA12">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GB/T 34289-2017《健身器材和健身场所安全标志和标签》第4.5条</w:t>
            </w:r>
            <w:r>
              <w:rPr>
                <w:rFonts w:hint="eastAsia" w:ascii="仿宋_GB2312" w:hAnsi="仿宋_GB2312" w:eastAsia="仿宋_GB2312" w:cs="仿宋_GB2312"/>
                <w:spacing w:val="0"/>
                <w:kern w:val="2"/>
                <w:sz w:val="20"/>
                <w:szCs w:val="20"/>
                <w:highlight w:val="none"/>
                <w:lang w:eastAsia="zh-CN"/>
              </w:rPr>
              <w:t>、</w:t>
            </w:r>
            <w:r>
              <w:rPr>
                <w:rFonts w:hint="eastAsia" w:ascii="仿宋_GB2312" w:hAnsi="仿宋_GB2312" w:eastAsia="仿宋_GB2312" w:cs="仿宋_GB2312"/>
                <w:spacing w:val="0"/>
                <w:kern w:val="2"/>
                <w:sz w:val="20"/>
                <w:szCs w:val="20"/>
                <w:highlight w:val="none"/>
              </w:rPr>
              <w:t>4.6条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889C506">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54320003">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AF6936C">
            <w:pPr>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04.2.02.021</w:t>
            </w:r>
          </w:p>
        </w:tc>
        <w:tc>
          <w:tcPr>
            <w:tcW w:w="275" w:type="pct"/>
            <w:vMerge w:val="continue"/>
            <w:tcBorders>
              <w:left w:val="single" w:color="auto" w:sz="6" w:space="0"/>
              <w:right w:val="single" w:color="auto" w:sz="6" w:space="0"/>
            </w:tcBorders>
            <w:noWrap w:val="0"/>
            <w:tcMar>
              <w:left w:w="0" w:type="dxa"/>
              <w:right w:w="0" w:type="dxa"/>
            </w:tcMar>
            <w:vAlign w:val="center"/>
          </w:tcPr>
          <w:p w14:paraId="6AD99C07">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EBFC32E">
            <w:pPr>
              <w:pStyle w:val="13"/>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辅助系统设备设施类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2EDE642">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未设置</w:t>
            </w:r>
            <w:r>
              <w:rPr>
                <w:rFonts w:hint="eastAsia" w:ascii="仿宋_GB2312" w:hAnsi="仿宋_GB2312" w:eastAsia="仿宋_GB2312" w:cs="仿宋_GB2312"/>
                <w:spacing w:val="0"/>
                <w:sz w:val="20"/>
                <w:szCs w:val="20"/>
                <w:highlight w:val="none"/>
                <w:lang w:val="en-US" w:eastAsia="zh-CN"/>
              </w:rPr>
              <w:t>应急</w:t>
            </w:r>
            <w:r>
              <w:rPr>
                <w:rFonts w:hint="eastAsia" w:ascii="仿宋_GB2312" w:hAnsi="仿宋_GB2312" w:eastAsia="仿宋_GB2312" w:cs="仿宋_GB2312"/>
                <w:spacing w:val="0"/>
                <w:sz w:val="20"/>
                <w:szCs w:val="20"/>
                <w:highlight w:val="none"/>
              </w:rPr>
              <w:t>广播系统</w:t>
            </w:r>
            <w:r>
              <w:rPr>
                <w:rFonts w:hint="eastAsia" w:ascii="仿宋_GB2312" w:hAnsi="仿宋_GB2312" w:eastAsia="仿宋_GB2312" w:cs="仿宋_GB2312"/>
                <w:spacing w:val="0"/>
                <w:sz w:val="20"/>
                <w:szCs w:val="20"/>
                <w:highlight w:val="none"/>
                <w:lang w:eastAsia="zh-CN"/>
              </w:rPr>
              <w:t>，有关负责人不会使用</w:t>
            </w:r>
            <w:r>
              <w:rPr>
                <w:rFonts w:hint="eastAsia" w:ascii="仿宋_GB2312" w:hAnsi="仿宋_GB2312" w:eastAsia="仿宋_GB2312" w:cs="仿宋_GB2312"/>
                <w:spacing w:val="0"/>
                <w:sz w:val="20"/>
                <w:szCs w:val="20"/>
                <w:highlight w:val="none"/>
                <w:lang w:val="en-US" w:eastAsia="zh-CN"/>
              </w:rPr>
              <w:t>应急</w:t>
            </w:r>
            <w:r>
              <w:rPr>
                <w:rFonts w:hint="eastAsia" w:ascii="仿宋_GB2312" w:hAnsi="仿宋_GB2312" w:eastAsia="仿宋_GB2312" w:cs="仿宋_GB2312"/>
                <w:spacing w:val="0"/>
                <w:sz w:val="20"/>
                <w:szCs w:val="20"/>
                <w:highlight w:val="none"/>
                <w:lang w:eastAsia="zh-CN"/>
              </w:rPr>
              <w:t>广播</w:t>
            </w:r>
            <w:r>
              <w:rPr>
                <w:rFonts w:hint="eastAsia" w:ascii="仿宋_GB2312" w:hAnsi="仿宋_GB2312" w:eastAsia="仿宋_GB2312" w:cs="仿宋_GB2312"/>
                <w:spacing w:val="0"/>
                <w:sz w:val="20"/>
                <w:szCs w:val="20"/>
                <w:highlight w:val="none"/>
                <w:lang w:val="en-US" w:eastAsia="zh-CN"/>
              </w:rPr>
              <w:t>系统</w:t>
            </w:r>
            <w:r>
              <w:rPr>
                <w:rFonts w:hint="eastAsia" w:ascii="仿宋_GB2312" w:hAnsi="仿宋_GB2312" w:eastAsia="仿宋_GB2312" w:cs="仿宋_GB2312"/>
                <w:spacing w:val="0"/>
                <w:sz w:val="20"/>
                <w:szCs w:val="20"/>
                <w:highlight w:val="none"/>
              </w:rPr>
              <w:t>。</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D48B186">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应设置能够覆盖全部营业区域的应急广播，并能够使用中英文两种语言播放</w:t>
            </w:r>
            <w:r>
              <w:rPr>
                <w:rFonts w:hint="eastAsia" w:ascii="仿宋_GB2312" w:hAnsi="仿宋_GB2312" w:eastAsia="仿宋_GB2312" w:cs="仿宋_GB2312"/>
                <w:spacing w:val="0"/>
                <w:sz w:val="20"/>
                <w:szCs w:val="20"/>
                <w:highlight w:val="none"/>
                <w:lang w:eastAsia="zh-CN"/>
              </w:rPr>
              <w:t>，有关负责人</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lang w:eastAsia="zh-CN"/>
              </w:rPr>
              <w:t>会使用广播</w:t>
            </w:r>
            <w:r>
              <w:rPr>
                <w:rFonts w:hint="eastAsia" w:ascii="仿宋_GB2312" w:hAnsi="仿宋_GB2312" w:eastAsia="仿宋_GB2312" w:cs="仿宋_GB2312"/>
                <w:spacing w:val="0"/>
                <w:sz w:val="20"/>
                <w:szCs w:val="20"/>
                <w:highlight w:val="none"/>
                <w:lang w:val="en-US" w:eastAsia="zh-CN"/>
              </w:rPr>
              <w:t>系统</w:t>
            </w:r>
            <w:r>
              <w:rPr>
                <w:rFonts w:hint="eastAsia" w:ascii="仿宋_GB2312" w:hAnsi="仿宋_GB2312" w:eastAsia="仿宋_GB2312" w:cs="仿宋_GB2312"/>
                <w:spacing w:val="0"/>
                <w:sz w:val="20"/>
                <w:szCs w:val="20"/>
                <w:highlight w:val="none"/>
              </w:rPr>
              <w:t>。</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B3F8E1F">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《北京市体育运动项目经营单位安全生产规定》第三十一条</w:t>
            </w:r>
            <w:r>
              <w:rPr>
                <w:rFonts w:hint="eastAsia" w:ascii="仿宋_GB2312" w:hAnsi="仿宋_GB2312" w:eastAsia="仿宋_GB2312" w:cs="仿宋_GB2312"/>
                <w:spacing w:val="0"/>
                <w:sz w:val="20"/>
                <w:szCs w:val="20"/>
                <w:highlight w:val="none"/>
                <w:lang w:eastAsia="zh-CN"/>
              </w:rPr>
              <w:t>；《北京市安全生产条例》第三十四条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04CB017">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354C83DC">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641851C">
            <w:pPr>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04.2.03.022</w:t>
            </w:r>
          </w:p>
        </w:tc>
        <w:tc>
          <w:tcPr>
            <w:tcW w:w="275" w:type="pct"/>
            <w:vMerge w:val="continue"/>
            <w:tcBorders>
              <w:left w:val="single" w:color="auto" w:sz="6" w:space="0"/>
              <w:right w:val="single" w:color="auto" w:sz="6" w:space="0"/>
            </w:tcBorders>
            <w:noWrap w:val="0"/>
            <w:tcMar>
              <w:left w:w="0" w:type="dxa"/>
              <w:right w:w="0" w:type="dxa"/>
            </w:tcMar>
            <w:vAlign w:val="center"/>
          </w:tcPr>
          <w:p w14:paraId="789E5D8A">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restart"/>
            <w:tcBorders>
              <w:top w:val="single" w:color="auto" w:sz="6" w:space="0"/>
              <w:left w:val="single" w:color="auto" w:sz="6" w:space="0"/>
              <w:right w:val="single" w:color="auto" w:sz="6" w:space="0"/>
            </w:tcBorders>
            <w:noWrap w:val="0"/>
            <w:tcMar>
              <w:left w:w="0" w:type="dxa"/>
              <w:right w:w="0" w:type="dxa"/>
            </w:tcMar>
            <w:vAlign w:val="center"/>
          </w:tcPr>
          <w:p w14:paraId="041E0FD0">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用电安全类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5382A2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线路裸露，出入配电箱（柜）未采取防止电缆损伤的措施。</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7B26C65">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线路接头不得裸露，出入配电箱（柜）应采取防止电缆损伤的措施。</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F13B509">
            <w:pPr>
              <w:pStyle w:val="13"/>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第8.7.9条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1AC5A9F">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457E4215">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CB75B88">
            <w:pPr>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04.2.03.023</w:t>
            </w:r>
          </w:p>
        </w:tc>
        <w:tc>
          <w:tcPr>
            <w:tcW w:w="275" w:type="pct"/>
            <w:vMerge w:val="continue"/>
            <w:tcBorders>
              <w:left w:val="single" w:color="auto" w:sz="6" w:space="0"/>
              <w:right w:val="single" w:color="auto" w:sz="6" w:space="0"/>
            </w:tcBorders>
            <w:noWrap w:val="0"/>
            <w:tcMar>
              <w:left w:w="0" w:type="dxa"/>
              <w:right w:w="0" w:type="dxa"/>
            </w:tcMar>
            <w:vAlign w:val="center"/>
          </w:tcPr>
          <w:p w14:paraId="71F7F58E">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right w:val="single" w:color="auto" w:sz="6" w:space="0"/>
            </w:tcBorders>
            <w:noWrap w:val="0"/>
            <w:tcMar>
              <w:left w:w="0" w:type="dxa"/>
              <w:right w:w="0" w:type="dxa"/>
            </w:tcMar>
            <w:vAlign w:val="center"/>
          </w:tcPr>
          <w:p w14:paraId="53656AAA">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CD3E1A0">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配电箱（柜）周边0.3m内有可燃物，箱（柜）体内和下方搁置和堆放可燃物。</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AFD3728">
            <w:pPr>
              <w:pStyle w:val="13"/>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配电箱（柜）体内和</w:t>
            </w:r>
            <w:r>
              <w:rPr>
                <w:rFonts w:hint="eastAsia" w:ascii="仿宋_GB2312" w:hAnsi="仿宋_GB2312" w:eastAsia="仿宋_GB2312" w:cs="仿宋_GB2312"/>
                <w:spacing w:val="0"/>
                <w:sz w:val="20"/>
                <w:szCs w:val="20"/>
                <w:highlight w:val="none"/>
                <w:shd w:val="clear" w:color="auto" w:fill="auto"/>
                <w:lang w:val="en-US" w:eastAsia="zh-CN"/>
              </w:rPr>
              <w:t>周围0.3m范围内不应</w:t>
            </w:r>
            <w:r>
              <w:rPr>
                <w:rFonts w:hint="eastAsia" w:ascii="仿宋_GB2312" w:hAnsi="仿宋_GB2312" w:eastAsia="仿宋_GB2312" w:cs="仿宋_GB2312"/>
                <w:spacing w:val="0"/>
                <w:sz w:val="20"/>
                <w:szCs w:val="20"/>
                <w:highlight w:val="none"/>
                <w:shd w:val="clear" w:color="auto" w:fill="auto"/>
              </w:rPr>
              <w:t>搁置和堆放</w:t>
            </w:r>
            <w:r>
              <w:rPr>
                <w:rFonts w:hint="eastAsia" w:ascii="仿宋_GB2312" w:hAnsi="仿宋_GB2312" w:eastAsia="仿宋_GB2312" w:cs="仿宋_GB2312"/>
                <w:spacing w:val="0"/>
                <w:sz w:val="20"/>
                <w:szCs w:val="20"/>
                <w:highlight w:val="none"/>
                <w:shd w:val="clear" w:color="auto" w:fill="auto"/>
                <w:lang w:eastAsia="zh-CN"/>
              </w:rPr>
              <w:t>可燃物。</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6EE25A1">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kern w:val="0"/>
                <w:sz w:val="20"/>
                <w:szCs w:val="20"/>
                <w:highlight w:val="none"/>
              </w:rPr>
              <w:t>DB11/T 065—2022《电气防火检测技术规范》</w:t>
            </w:r>
            <w:r>
              <w:rPr>
                <w:rFonts w:hint="eastAsia" w:ascii="仿宋_GB2312" w:hAnsi="仿宋_GB2312" w:eastAsia="仿宋_GB2312" w:cs="仿宋_GB2312"/>
                <w:kern w:val="0"/>
                <w:sz w:val="20"/>
                <w:szCs w:val="20"/>
                <w:highlight w:val="none"/>
                <w:lang w:val="en-US" w:eastAsia="zh-CN"/>
              </w:rPr>
              <w:t>附录B.2</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9AC17E7">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756809C4">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8CD5D27">
            <w:pPr>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04.2.03.024</w:t>
            </w:r>
          </w:p>
        </w:tc>
        <w:tc>
          <w:tcPr>
            <w:tcW w:w="275" w:type="pct"/>
            <w:vMerge w:val="continue"/>
            <w:tcBorders>
              <w:left w:val="single" w:color="auto" w:sz="6" w:space="0"/>
              <w:right w:val="single" w:color="auto" w:sz="6" w:space="0"/>
            </w:tcBorders>
            <w:noWrap w:val="0"/>
            <w:tcMar>
              <w:left w:w="0" w:type="dxa"/>
              <w:right w:w="0" w:type="dxa"/>
            </w:tcMar>
            <w:vAlign w:val="center"/>
          </w:tcPr>
          <w:p w14:paraId="218BCAFF">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270" w:type="pct"/>
            <w:vMerge w:val="continue"/>
            <w:tcBorders>
              <w:left w:val="single" w:color="auto" w:sz="6" w:space="0"/>
              <w:right w:val="single" w:color="auto" w:sz="6" w:space="0"/>
            </w:tcBorders>
            <w:noWrap w:val="0"/>
            <w:tcMar>
              <w:left w:w="0" w:type="dxa"/>
              <w:right w:w="0" w:type="dxa"/>
            </w:tcMar>
            <w:vAlign w:val="center"/>
          </w:tcPr>
          <w:p w14:paraId="0C150228">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spacing w:val="0"/>
                <w:sz w:val="20"/>
                <w:szCs w:val="20"/>
                <w:highlight w:val="none"/>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00A4C4D">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bidi="ar"/>
              </w:rPr>
              <w:t>配电箱（柜）</w:t>
            </w:r>
            <w:r>
              <w:rPr>
                <w:rFonts w:hint="eastAsia" w:ascii="仿宋_GB2312" w:hAnsi="仿宋_GB2312" w:eastAsia="仿宋_GB2312" w:cs="仿宋_GB2312"/>
                <w:color w:val="000000"/>
                <w:spacing w:val="0"/>
                <w:kern w:val="0"/>
                <w:sz w:val="20"/>
                <w:szCs w:val="20"/>
                <w:highlight w:val="none"/>
                <w:lang w:val="en-US" w:eastAsia="zh-CN" w:bidi="ar"/>
              </w:rPr>
              <w:t>未</w:t>
            </w:r>
            <w:r>
              <w:rPr>
                <w:rFonts w:hint="eastAsia" w:ascii="仿宋_GB2312" w:hAnsi="仿宋_GB2312" w:eastAsia="仿宋_GB2312" w:cs="仿宋_GB2312"/>
                <w:color w:val="000000"/>
                <w:spacing w:val="0"/>
                <w:kern w:val="0"/>
                <w:sz w:val="20"/>
                <w:szCs w:val="20"/>
                <w:highlight w:val="none"/>
                <w:lang w:bidi="ar"/>
              </w:rPr>
              <w:t>标识所控对象的名称，</w:t>
            </w:r>
            <w:r>
              <w:rPr>
                <w:rFonts w:hint="eastAsia" w:ascii="仿宋_GB2312" w:hAnsi="仿宋_GB2312" w:eastAsia="仿宋_GB2312" w:cs="仿宋_GB2312"/>
                <w:color w:val="000000"/>
                <w:spacing w:val="0"/>
                <w:kern w:val="0"/>
                <w:sz w:val="20"/>
                <w:szCs w:val="20"/>
                <w:highlight w:val="none"/>
                <w:lang w:val="en-US" w:eastAsia="zh-CN" w:bidi="ar"/>
              </w:rPr>
              <w:t>或</w:t>
            </w:r>
            <w:r>
              <w:rPr>
                <w:rFonts w:hint="eastAsia" w:ascii="仿宋_GB2312" w:hAnsi="仿宋_GB2312" w:eastAsia="仿宋_GB2312" w:cs="仿宋_GB2312"/>
                <w:color w:val="000000"/>
                <w:spacing w:val="0"/>
                <w:kern w:val="0"/>
                <w:sz w:val="20"/>
                <w:szCs w:val="20"/>
                <w:highlight w:val="none"/>
                <w:lang w:bidi="ar"/>
              </w:rPr>
              <w:t>与实际</w:t>
            </w:r>
            <w:r>
              <w:rPr>
                <w:rFonts w:hint="eastAsia" w:ascii="仿宋_GB2312" w:hAnsi="仿宋_GB2312" w:eastAsia="仿宋_GB2312" w:cs="仿宋_GB2312"/>
                <w:color w:val="000000"/>
                <w:spacing w:val="0"/>
                <w:kern w:val="0"/>
                <w:sz w:val="20"/>
                <w:szCs w:val="20"/>
                <w:highlight w:val="none"/>
                <w:lang w:val="en-US" w:eastAsia="zh-CN" w:bidi="ar"/>
              </w:rPr>
              <w:t>不</w:t>
            </w:r>
            <w:r>
              <w:rPr>
                <w:rFonts w:hint="eastAsia" w:ascii="仿宋_GB2312" w:hAnsi="仿宋_GB2312" w:eastAsia="仿宋_GB2312" w:cs="仿宋_GB2312"/>
                <w:color w:val="000000"/>
                <w:spacing w:val="0"/>
                <w:kern w:val="0"/>
                <w:sz w:val="20"/>
                <w:szCs w:val="20"/>
                <w:highlight w:val="none"/>
                <w:lang w:bidi="ar"/>
              </w:rPr>
              <w:t>符</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val="en-US" w:eastAsia="zh-CN" w:bidi="ar"/>
              </w:rPr>
              <w:t>箱门门锁失效。</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F665808">
            <w:pPr>
              <w:pStyle w:val="13"/>
              <w:keepNext w:val="0"/>
              <w:keepLines w:val="0"/>
              <w:pageBreakBefore w:val="0"/>
              <w:kinsoku/>
              <w:wordWrap/>
              <w:overflowPunct/>
              <w:topLinePunct w:val="0"/>
              <w:autoSpaceDE/>
              <w:autoSpaceDN/>
              <w:bidi w:val="0"/>
              <w:spacing w:line="300" w:lineRule="exact"/>
              <w:ind w:right="84" w:rightChars="40"/>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配电箱（柜）</w:t>
            </w:r>
            <w:r>
              <w:rPr>
                <w:rFonts w:hint="eastAsia" w:ascii="仿宋_GB2312" w:hAnsi="仿宋_GB2312" w:eastAsia="仿宋_GB2312" w:cs="仿宋_GB2312"/>
                <w:color w:val="000000"/>
                <w:spacing w:val="0"/>
                <w:kern w:val="0"/>
                <w:sz w:val="20"/>
                <w:szCs w:val="20"/>
                <w:highlight w:val="none"/>
                <w:lang w:val="en-US" w:eastAsia="zh-CN" w:bidi="ar"/>
              </w:rPr>
              <w:t>应按回路用途</w:t>
            </w:r>
            <w:r>
              <w:rPr>
                <w:rFonts w:hint="eastAsia" w:ascii="仿宋_GB2312" w:hAnsi="仿宋_GB2312" w:eastAsia="仿宋_GB2312" w:cs="仿宋_GB2312"/>
                <w:color w:val="000000"/>
                <w:spacing w:val="0"/>
                <w:kern w:val="0"/>
                <w:sz w:val="20"/>
                <w:szCs w:val="20"/>
                <w:highlight w:val="none"/>
                <w:lang w:bidi="ar"/>
              </w:rPr>
              <w:t>标识所控对象的名称，且与实际</w:t>
            </w:r>
            <w:r>
              <w:rPr>
                <w:rFonts w:hint="eastAsia" w:ascii="仿宋_GB2312" w:hAnsi="仿宋_GB2312" w:eastAsia="仿宋_GB2312" w:cs="仿宋_GB2312"/>
                <w:color w:val="000000"/>
                <w:spacing w:val="0"/>
                <w:kern w:val="0"/>
                <w:sz w:val="20"/>
                <w:szCs w:val="20"/>
                <w:highlight w:val="none"/>
                <w:lang w:val="en-US" w:eastAsia="zh-CN" w:bidi="ar"/>
              </w:rPr>
              <w:t>相</w:t>
            </w:r>
            <w:r>
              <w:rPr>
                <w:rFonts w:hint="eastAsia" w:ascii="仿宋_GB2312" w:hAnsi="仿宋_GB2312" w:eastAsia="仿宋_GB2312" w:cs="仿宋_GB2312"/>
                <w:color w:val="000000"/>
                <w:spacing w:val="0"/>
                <w:kern w:val="0"/>
                <w:sz w:val="20"/>
                <w:szCs w:val="20"/>
                <w:highlight w:val="none"/>
                <w:lang w:bidi="ar"/>
              </w:rPr>
              <w:t>符</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val="en-US" w:eastAsia="zh-CN" w:bidi="ar"/>
              </w:rPr>
              <w:t>箱门门锁完好。</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99ACC09">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第8.4.1、8.7.10条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E7A971C">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3C6B7C2F">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08705F5">
            <w:pPr>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04.2.03.025</w:t>
            </w:r>
          </w:p>
        </w:tc>
        <w:tc>
          <w:tcPr>
            <w:tcW w:w="275" w:type="pct"/>
            <w:vMerge w:val="continue"/>
            <w:tcBorders>
              <w:left w:val="single" w:color="auto" w:sz="6" w:space="0"/>
              <w:right w:val="single" w:color="auto" w:sz="6" w:space="0"/>
            </w:tcBorders>
            <w:noWrap w:val="0"/>
            <w:tcMar>
              <w:left w:w="0" w:type="dxa"/>
              <w:right w:w="0" w:type="dxa"/>
            </w:tcMar>
            <w:vAlign w:val="center"/>
          </w:tcPr>
          <w:p w14:paraId="2B83A834">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right w:val="single" w:color="auto" w:sz="6" w:space="0"/>
            </w:tcBorders>
            <w:noWrap w:val="0"/>
            <w:tcMar>
              <w:left w:w="0" w:type="dxa"/>
              <w:right w:w="0" w:type="dxa"/>
            </w:tcMar>
            <w:vAlign w:val="center"/>
          </w:tcPr>
          <w:p w14:paraId="6B348633">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975D4D3">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剩余电流保护装置</w:t>
            </w:r>
            <w:r>
              <w:rPr>
                <w:rFonts w:hint="eastAsia" w:ascii="仿宋_GB2312" w:hAnsi="仿宋_GB2312" w:eastAsia="仿宋_GB2312" w:cs="仿宋_GB2312"/>
                <w:spacing w:val="0"/>
                <w:sz w:val="20"/>
                <w:szCs w:val="20"/>
                <w:highlight w:val="none"/>
                <w:lang w:val="en-US" w:eastAsia="zh-CN"/>
              </w:rPr>
              <w:t>设置不符合要求。</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9FA79D0">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rPr>
              <w:t>剩余电流保护装置</w:t>
            </w:r>
            <w:r>
              <w:rPr>
                <w:rFonts w:hint="eastAsia" w:ascii="仿宋_GB2312" w:hAnsi="仿宋_GB2312" w:eastAsia="仿宋_GB2312" w:cs="仿宋_GB2312"/>
                <w:spacing w:val="0"/>
                <w:sz w:val="20"/>
                <w:szCs w:val="20"/>
                <w:highlight w:val="none"/>
                <w:lang w:val="en-US" w:eastAsia="zh-CN"/>
              </w:rPr>
              <w:t>设置应符合下列要求：</w:t>
            </w:r>
          </w:p>
          <w:p w14:paraId="5B100D3B">
            <w:pPr>
              <w:pStyle w:val="13"/>
              <w:keepNext w:val="0"/>
              <w:keepLines w:val="0"/>
              <w:pageBreakBefore w:val="0"/>
              <w:kinsoku/>
              <w:wordWrap/>
              <w:overflowPunct/>
              <w:topLinePunct w:val="0"/>
              <w:autoSpaceDE/>
              <w:autoSpaceDN/>
              <w:bidi w:val="0"/>
              <w:spacing w:line="300" w:lineRule="exact"/>
              <w:ind w:right="84" w:rightChars="40"/>
              <w:jc w:val="left"/>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（一）安装在户外的电气装置、临时用电的电气设备应安装剩余电流保护装置；</w:t>
            </w:r>
          </w:p>
          <w:p w14:paraId="64FA0E12">
            <w:pPr>
              <w:pStyle w:val="13"/>
              <w:keepNext w:val="0"/>
              <w:keepLines w:val="0"/>
              <w:pageBreakBefore w:val="0"/>
              <w:kinsoku/>
              <w:wordWrap/>
              <w:overflowPunct/>
              <w:topLinePunct w:val="0"/>
              <w:autoSpaceDE/>
              <w:autoSpaceDN/>
              <w:bidi w:val="0"/>
              <w:spacing w:line="300" w:lineRule="exact"/>
              <w:ind w:right="84" w:rightChars="40"/>
              <w:jc w:val="left"/>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二</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安装在潮湿场所的电气设备</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选用额定剩余动作电流</w:t>
            </w:r>
            <w:r>
              <w:rPr>
                <w:rFonts w:hint="eastAsia" w:ascii="仿宋_GB2312" w:hAnsi="仿宋_GB2312" w:eastAsia="仿宋_GB2312" w:cs="仿宋_GB2312"/>
                <w:spacing w:val="0"/>
                <w:sz w:val="20"/>
                <w:szCs w:val="20"/>
                <w:highlight w:val="none"/>
                <w:lang w:val="en-US" w:eastAsia="zh-CN"/>
              </w:rPr>
              <w:t>小于</w:t>
            </w:r>
            <w:r>
              <w:rPr>
                <w:rFonts w:hint="eastAsia" w:ascii="仿宋_GB2312" w:hAnsi="仿宋_GB2312" w:eastAsia="仿宋_GB2312" w:cs="仿宋_GB2312"/>
                <w:spacing w:val="0"/>
                <w:sz w:val="20"/>
                <w:szCs w:val="20"/>
                <w:highlight w:val="none"/>
              </w:rPr>
              <w:t>30mA</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无延时的剩余电流保护装置</w:t>
            </w:r>
            <w:r>
              <w:rPr>
                <w:rFonts w:hint="eastAsia" w:ascii="仿宋_GB2312" w:hAnsi="仿宋_GB2312" w:eastAsia="仿宋_GB2312" w:cs="仿宋_GB2312"/>
                <w:spacing w:val="0"/>
                <w:sz w:val="20"/>
                <w:szCs w:val="20"/>
                <w:highlight w:val="none"/>
                <w:lang w:eastAsia="zh-CN"/>
              </w:rPr>
              <w:t>。</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8855A75">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GB</w:t>
            </w:r>
            <w:r>
              <w:rPr>
                <w:rFonts w:hint="eastAsia" w:ascii="仿宋_GB2312" w:hAnsi="仿宋_GB2312" w:eastAsia="仿宋_GB2312" w:cs="仿宋_GB2312"/>
                <w:color w:val="000000"/>
                <w:spacing w:val="0"/>
                <w:kern w:val="0"/>
                <w:sz w:val="20"/>
                <w:szCs w:val="20"/>
                <w:highlight w:val="none"/>
                <w:lang w:val="en-US" w:eastAsia="zh-CN"/>
              </w:rPr>
              <w:t xml:space="preserve">/T </w:t>
            </w:r>
            <w:r>
              <w:rPr>
                <w:rFonts w:hint="eastAsia" w:ascii="仿宋_GB2312" w:hAnsi="仿宋_GB2312" w:eastAsia="仿宋_GB2312" w:cs="仿宋_GB2312"/>
                <w:color w:val="000000"/>
                <w:spacing w:val="0"/>
                <w:kern w:val="0"/>
                <w:sz w:val="20"/>
                <w:szCs w:val="20"/>
                <w:highlight w:val="none"/>
              </w:rPr>
              <w:t>13955-2017《剩余电流动作保护装置安装和运行》第</w:t>
            </w:r>
            <w:r>
              <w:rPr>
                <w:rFonts w:hint="eastAsia" w:ascii="仿宋_GB2312" w:hAnsi="仿宋_GB2312" w:eastAsia="仿宋_GB2312" w:cs="仿宋_GB2312"/>
                <w:color w:val="000000"/>
                <w:spacing w:val="0"/>
                <w:kern w:val="0"/>
                <w:sz w:val="20"/>
                <w:szCs w:val="20"/>
                <w:highlight w:val="none"/>
                <w:lang w:val="en-US" w:eastAsia="zh-CN"/>
              </w:rPr>
              <w:t>4.4.1、5.8</w:t>
            </w:r>
            <w:r>
              <w:rPr>
                <w:rFonts w:hint="eastAsia" w:ascii="仿宋_GB2312" w:hAnsi="仿宋_GB2312" w:eastAsia="仿宋_GB2312" w:cs="仿宋_GB2312"/>
                <w:color w:val="000000"/>
                <w:spacing w:val="0"/>
                <w:kern w:val="0"/>
                <w:sz w:val="20"/>
                <w:szCs w:val="20"/>
                <w:highlight w:val="none"/>
              </w:rPr>
              <w:t>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67D5070">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0D309B2C">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788AE5C">
            <w:pPr>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04.2.03.026</w:t>
            </w:r>
          </w:p>
        </w:tc>
        <w:tc>
          <w:tcPr>
            <w:tcW w:w="275" w:type="pct"/>
            <w:vMerge w:val="continue"/>
            <w:tcBorders>
              <w:left w:val="single" w:color="auto" w:sz="6" w:space="0"/>
              <w:right w:val="single" w:color="auto" w:sz="6" w:space="0"/>
            </w:tcBorders>
            <w:noWrap w:val="0"/>
            <w:tcMar>
              <w:left w:w="0" w:type="dxa"/>
              <w:right w:w="0" w:type="dxa"/>
            </w:tcMar>
            <w:vAlign w:val="center"/>
          </w:tcPr>
          <w:p w14:paraId="3CF81D16">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right w:val="single" w:color="auto" w:sz="6" w:space="0"/>
            </w:tcBorders>
            <w:noWrap w:val="0"/>
            <w:tcMar>
              <w:left w:w="0" w:type="dxa"/>
              <w:right w:w="0" w:type="dxa"/>
            </w:tcMar>
            <w:vAlign w:val="center"/>
          </w:tcPr>
          <w:p w14:paraId="76C36EDF">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008F623">
            <w:pPr>
              <w:pStyle w:val="13"/>
              <w:keepNext w:val="0"/>
              <w:keepLines w:val="0"/>
              <w:pageBreakBefore w:val="0"/>
              <w:kinsoku/>
              <w:wordWrap/>
              <w:overflowPunct/>
              <w:topLinePunct w:val="0"/>
              <w:autoSpaceDE/>
              <w:autoSpaceDN/>
              <w:bidi w:val="0"/>
              <w:spacing w:line="300" w:lineRule="exact"/>
              <w:ind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剩余电流保护装置投入运行后，未每月按动按钮1次，检查其动作特性是否正常，无检查记录。</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D804097">
            <w:pPr>
              <w:pStyle w:val="13"/>
              <w:keepNext w:val="0"/>
              <w:keepLines w:val="0"/>
              <w:pageBreakBefore w:val="0"/>
              <w:kinsoku/>
              <w:wordWrap/>
              <w:overflowPunct/>
              <w:topLinePunct w:val="0"/>
              <w:autoSpaceDE/>
              <w:autoSpaceDN/>
              <w:bidi w:val="0"/>
              <w:spacing w:line="300" w:lineRule="exact"/>
              <w:ind w:right="84" w:rightChars="40"/>
              <w:jc w:val="left"/>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剩余电流保护装置投入运行后，每月</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按动按钮1次，检查其动作特性是否正常，</w:t>
            </w:r>
            <w:r>
              <w:rPr>
                <w:rFonts w:hint="eastAsia" w:ascii="仿宋_GB2312" w:hAnsi="仿宋_GB2312" w:eastAsia="仿宋_GB2312" w:cs="仿宋_GB2312"/>
                <w:spacing w:val="0"/>
                <w:sz w:val="20"/>
                <w:szCs w:val="20"/>
                <w:highlight w:val="none"/>
                <w:lang w:val="en-US" w:eastAsia="zh-CN"/>
              </w:rPr>
              <w:t>并保存</w:t>
            </w:r>
            <w:r>
              <w:rPr>
                <w:rFonts w:hint="eastAsia" w:ascii="仿宋_GB2312" w:hAnsi="仿宋_GB2312" w:eastAsia="仿宋_GB2312" w:cs="仿宋_GB2312"/>
                <w:spacing w:val="0"/>
                <w:sz w:val="20"/>
                <w:szCs w:val="20"/>
                <w:highlight w:val="none"/>
              </w:rPr>
              <w:t>检查记录。</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5AAC27A">
            <w:pPr>
              <w:pStyle w:val="13"/>
              <w:keepNext w:val="0"/>
              <w:keepLines w:val="0"/>
              <w:pageBreakBefore w:val="0"/>
              <w:kinsoku/>
              <w:wordWrap/>
              <w:overflowPunct/>
              <w:topLinePunct w:val="0"/>
              <w:autoSpaceDE/>
              <w:autoSpaceDN/>
              <w:bidi w:val="0"/>
              <w:spacing w:line="300" w:lineRule="exact"/>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val="en-US" w:eastAsia="zh-CN"/>
              </w:rPr>
              <w:t>G</w:t>
            </w:r>
            <w:r>
              <w:rPr>
                <w:rFonts w:hint="eastAsia" w:ascii="仿宋_GB2312" w:hAnsi="仿宋_GB2312" w:eastAsia="仿宋_GB2312" w:cs="仿宋_GB2312"/>
                <w:color w:val="000000"/>
                <w:spacing w:val="0"/>
                <w:kern w:val="0"/>
                <w:sz w:val="20"/>
                <w:szCs w:val="20"/>
                <w:highlight w:val="none"/>
              </w:rPr>
              <w:t>B</w:t>
            </w:r>
            <w:r>
              <w:rPr>
                <w:rFonts w:hint="eastAsia" w:ascii="仿宋_GB2312" w:hAnsi="仿宋_GB2312" w:eastAsia="仿宋_GB2312" w:cs="仿宋_GB2312"/>
                <w:color w:val="000000"/>
                <w:spacing w:val="0"/>
                <w:kern w:val="0"/>
                <w:sz w:val="20"/>
                <w:szCs w:val="20"/>
                <w:highlight w:val="none"/>
                <w:lang w:val="en-US" w:eastAsia="zh-CN"/>
              </w:rPr>
              <w:t xml:space="preserve">/T </w:t>
            </w:r>
            <w:r>
              <w:rPr>
                <w:rFonts w:hint="eastAsia" w:ascii="仿宋_GB2312" w:hAnsi="仿宋_GB2312" w:eastAsia="仿宋_GB2312" w:cs="仿宋_GB2312"/>
                <w:color w:val="000000"/>
                <w:spacing w:val="0"/>
                <w:kern w:val="0"/>
                <w:sz w:val="20"/>
                <w:szCs w:val="20"/>
                <w:highlight w:val="none"/>
              </w:rPr>
              <w:t>13955-2017《剩余电流动作保护装置安装和运行》第</w:t>
            </w:r>
            <w:r>
              <w:rPr>
                <w:rFonts w:hint="eastAsia" w:ascii="仿宋_GB2312" w:hAnsi="仿宋_GB2312" w:eastAsia="仿宋_GB2312" w:cs="仿宋_GB2312"/>
                <w:color w:val="000000"/>
                <w:spacing w:val="0"/>
                <w:kern w:val="0"/>
                <w:sz w:val="20"/>
                <w:szCs w:val="20"/>
                <w:highlight w:val="none"/>
                <w:lang w:val="en-US" w:eastAsia="zh-CN"/>
              </w:rPr>
              <w:t>7</w:t>
            </w:r>
            <w:r>
              <w:rPr>
                <w:rFonts w:hint="eastAsia" w:ascii="仿宋_GB2312" w:hAnsi="仿宋_GB2312" w:eastAsia="仿宋_GB2312" w:cs="仿宋_GB2312"/>
                <w:color w:val="000000"/>
                <w:spacing w:val="0"/>
                <w:kern w:val="0"/>
                <w:sz w:val="20"/>
                <w:szCs w:val="20"/>
                <w:highlight w:val="none"/>
              </w:rPr>
              <w:t>条</w:t>
            </w:r>
            <w:r>
              <w:rPr>
                <w:rFonts w:hint="eastAsia" w:ascii="仿宋_GB2312" w:hAnsi="仿宋_GB2312" w:eastAsia="仿宋_GB2312" w:cs="仿宋_GB2312"/>
                <w:color w:val="000000"/>
                <w:spacing w:val="0"/>
                <w:kern w:val="0"/>
                <w:sz w:val="20"/>
                <w:szCs w:val="20"/>
                <w:highlight w:val="none"/>
                <w:lang w:eastAsia="zh-CN"/>
              </w:rPr>
              <w:t>；</w:t>
            </w: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第10.3.1条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488B41D">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6D752553">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60E23D7">
            <w:pPr>
              <w:keepNext w:val="0"/>
              <w:keepLines w:val="0"/>
              <w:pageBreakBefore w:val="0"/>
              <w:numPr>
                <w:ilvl w:val="0"/>
                <w:numId w:val="0"/>
              </w:numPr>
              <w:kinsoku/>
              <w:wordWrap/>
              <w:overflowPunct/>
              <w:topLinePunct w:val="0"/>
              <w:autoSpaceDE/>
              <w:autoSpaceDN/>
              <w:bidi w:val="0"/>
              <w:spacing w:line="300" w:lineRule="exact"/>
              <w:ind w:left="425" w:leftChars="0" w:right="84" w:rightChars="40" w:hanging="425" w:firstLine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04.2.03.027</w:t>
            </w:r>
          </w:p>
        </w:tc>
        <w:tc>
          <w:tcPr>
            <w:tcW w:w="275" w:type="pct"/>
            <w:vMerge w:val="continue"/>
            <w:tcBorders>
              <w:left w:val="single" w:color="auto" w:sz="6" w:space="0"/>
              <w:right w:val="single" w:color="auto" w:sz="6" w:space="0"/>
            </w:tcBorders>
            <w:noWrap w:val="0"/>
            <w:tcMar>
              <w:left w:w="0" w:type="dxa"/>
              <w:right w:w="0" w:type="dxa"/>
            </w:tcMar>
            <w:vAlign w:val="center"/>
          </w:tcPr>
          <w:p w14:paraId="7EE7798E">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right w:val="single" w:color="auto" w:sz="6" w:space="0"/>
            </w:tcBorders>
            <w:noWrap w:val="0"/>
            <w:tcMar>
              <w:left w:w="0" w:type="dxa"/>
              <w:right w:w="0" w:type="dxa"/>
            </w:tcMar>
            <w:vAlign w:val="center"/>
          </w:tcPr>
          <w:p w14:paraId="2CAE7901">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C0C1717">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在易撞、易碰、浸水场所等易造成绝缘损坏的危险地方敷设临时低压电气线路，未采取保护措施。</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A5B0D4B">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在易撞、易碰、浸水场所等易造成绝缘损坏的危险地方敷设临时低压电气线路，</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采取保护措施。</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7066C06">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GB 26164.1-2010《电业安全工作规程第1部分：热力和机械》第3.5.6条、第</w:t>
            </w:r>
            <w:r>
              <w:rPr>
                <w:rFonts w:hint="eastAsia" w:ascii="仿宋_GB2312" w:hAnsi="仿宋_GB2312" w:eastAsia="仿宋_GB2312" w:cs="仿宋_GB2312"/>
                <w:spacing w:val="0"/>
                <w:sz w:val="20"/>
                <w:szCs w:val="20"/>
                <w:highlight w:val="none"/>
              </w:rPr>
              <w:fldChar w:fldCharType="begin"/>
            </w:r>
            <w:r>
              <w:rPr>
                <w:rFonts w:hint="eastAsia" w:ascii="仿宋_GB2312" w:hAnsi="仿宋_GB2312" w:eastAsia="仿宋_GB2312" w:cs="仿宋_GB2312"/>
                <w:spacing w:val="0"/>
                <w:sz w:val="20"/>
                <w:szCs w:val="20"/>
                <w:highlight w:val="none"/>
              </w:rPr>
              <w:instrText xml:space="preserve"> HYPERLINK "https://3.6.5.4" </w:instrText>
            </w:r>
            <w:r>
              <w:rPr>
                <w:rFonts w:hint="eastAsia" w:ascii="仿宋_GB2312" w:hAnsi="仿宋_GB2312" w:eastAsia="仿宋_GB2312" w:cs="仿宋_GB2312"/>
                <w:spacing w:val="0"/>
                <w:sz w:val="20"/>
                <w:szCs w:val="20"/>
                <w:highlight w:val="none"/>
              </w:rPr>
              <w:fldChar w:fldCharType="separate"/>
            </w:r>
            <w:r>
              <w:rPr>
                <w:rFonts w:hint="eastAsia" w:ascii="仿宋_GB2312" w:hAnsi="仿宋_GB2312" w:eastAsia="仿宋_GB2312" w:cs="仿宋_GB2312"/>
                <w:spacing w:val="0"/>
                <w:sz w:val="20"/>
                <w:szCs w:val="20"/>
                <w:highlight w:val="none"/>
              </w:rPr>
              <w:t>3.6.5.4</w:t>
            </w:r>
            <w:r>
              <w:rPr>
                <w:rFonts w:hint="eastAsia" w:ascii="仿宋_GB2312" w:hAnsi="仿宋_GB2312" w:eastAsia="仿宋_GB2312" w:cs="仿宋_GB2312"/>
                <w:spacing w:val="0"/>
                <w:sz w:val="20"/>
                <w:szCs w:val="20"/>
                <w:highlight w:val="none"/>
              </w:rPr>
              <w:fldChar w:fldCharType="end"/>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GB 50194-2014《建设工程施工现场供用电安全规范》第7.1.1条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7596762">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52A344AC">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7AFC8FF">
            <w:pPr>
              <w:keepNext w:val="0"/>
              <w:keepLines w:val="0"/>
              <w:pageBreakBefore w:val="0"/>
              <w:numPr>
                <w:ilvl w:val="0"/>
                <w:numId w:val="0"/>
              </w:numPr>
              <w:kinsoku/>
              <w:wordWrap/>
              <w:overflowPunct/>
              <w:topLinePunct w:val="0"/>
              <w:autoSpaceDE/>
              <w:autoSpaceDN/>
              <w:bidi w:val="0"/>
              <w:spacing w:line="300" w:lineRule="exact"/>
              <w:ind w:left="425" w:leftChars="0" w:right="84" w:rightChars="40" w:hanging="425" w:firstLine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04.2.03.028</w:t>
            </w:r>
          </w:p>
        </w:tc>
        <w:tc>
          <w:tcPr>
            <w:tcW w:w="275" w:type="pct"/>
            <w:vMerge w:val="continue"/>
            <w:tcBorders>
              <w:left w:val="single" w:color="auto" w:sz="6" w:space="0"/>
              <w:right w:val="single" w:color="auto" w:sz="6" w:space="0"/>
            </w:tcBorders>
            <w:noWrap w:val="0"/>
            <w:tcMar>
              <w:left w:w="0" w:type="dxa"/>
              <w:right w:w="0" w:type="dxa"/>
            </w:tcMar>
            <w:vAlign w:val="center"/>
          </w:tcPr>
          <w:p w14:paraId="7C9225F1">
            <w:pPr>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sz w:val="20"/>
                <w:szCs w:val="20"/>
                <w:highlight w:val="none"/>
              </w:rPr>
            </w:pPr>
          </w:p>
        </w:tc>
        <w:tc>
          <w:tcPr>
            <w:tcW w:w="270" w:type="pct"/>
            <w:vMerge w:val="continue"/>
            <w:tcBorders>
              <w:left w:val="single" w:color="auto" w:sz="6" w:space="0"/>
              <w:right w:val="single" w:color="auto" w:sz="6" w:space="0"/>
            </w:tcBorders>
            <w:noWrap w:val="0"/>
            <w:tcMar>
              <w:left w:w="0" w:type="dxa"/>
              <w:right w:w="0" w:type="dxa"/>
            </w:tcMar>
            <w:vAlign w:val="center"/>
          </w:tcPr>
          <w:p w14:paraId="108D739C">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201FBCD">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潮湿场所未采用防溅型插座。</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4DC3BDC">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在潮湿场所，应采用具有防溅电器附件的插座，安装高度距地不应低于1.5m。</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EB2E7E4">
            <w:pPr>
              <w:pStyle w:val="13"/>
              <w:keepNext w:val="0"/>
              <w:keepLines w:val="0"/>
              <w:pageBreakBefore w:val="0"/>
              <w:kinsoku/>
              <w:wordWrap/>
              <w:overflowPunct/>
              <w:topLinePunct w:val="0"/>
              <w:autoSpaceDE/>
              <w:autoSpaceDN/>
              <w:bidi w:val="0"/>
              <w:spacing w:line="300" w:lineRule="exact"/>
              <w:ind w:left="84" w:leftChars="40" w:right="84" w:rightChars="40"/>
              <w:jc w:val="left"/>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GB 50055-2011《通用用电设备配电设计规范》第8.0.6条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6C1247D">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0E4355EE">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4617C9C">
            <w:pPr>
              <w:keepNext w:val="0"/>
              <w:keepLines w:val="0"/>
              <w:pageBreakBefore w:val="0"/>
              <w:numPr>
                <w:ilvl w:val="0"/>
                <w:numId w:val="0"/>
              </w:numPr>
              <w:kinsoku/>
              <w:wordWrap/>
              <w:overflowPunct/>
              <w:topLinePunct w:val="0"/>
              <w:autoSpaceDE/>
              <w:autoSpaceDN/>
              <w:bidi w:val="0"/>
              <w:spacing w:line="300" w:lineRule="exact"/>
              <w:ind w:left="425" w:leftChars="0" w:right="84" w:rightChars="40" w:hanging="425" w:firstLine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04.2.03.029</w:t>
            </w:r>
          </w:p>
        </w:tc>
        <w:tc>
          <w:tcPr>
            <w:tcW w:w="275" w:type="pct"/>
            <w:vMerge w:val="continue"/>
            <w:tcBorders>
              <w:left w:val="single" w:color="auto" w:sz="6" w:space="0"/>
              <w:right w:val="single" w:color="auto" w:sz="6" w:space="0"/>
            </w:tcBorders>
            <w:noWrap w:val="0"/>
            <w:tcMar>
              <w:left w:w="0" w:type="dxa"/>
              <w:right w:w="0" w:type="dxa"/>
            </w:tcMar>
            <w:vAlign w:val="center"/>
          </w:tcPr>
          <w:p w14:paraId="0B6F2251">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270"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197E235A">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F69DF3B">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移动式插座串接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超负荷、放置在可燃物上</w:t>
            </w:r>
            <w:r>
              <w:rPr>
                <w:rFonts w:hint="eastAsia" w:ascii="仿宋_GB2312" w:hAnsi="仿宋_GB2312" w:eastAsia="仿宋_GB2312" w:cs="仿宋_GB2312"/>
                <w:spacing w:val="0"/>
                <w:sz w:val="20"/>
                <w:szCs w:val="20"/>
                <w:highlight w:val="none"/>
              </w:rPr>
              <w:t>使用</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属于非国标插座。</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A399559">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移动式插座</w:t>
            </w:r>
            <w:r>
              <w:rPr>
                <w:rFonts w:hint="eastAsia" w:ascii="仿宋_GB2312" w:hAnsi="仿宋_GB2312" w:eastAsia="仿宋_GB2312" w:cs="仿宋_GB2312"/>
                <w:spacing w:val="0"/>
                <w:sz w:val="20"/>
                <w:szCs w:val="20"/>
                <w:highlight w:val="none"/>
                <w:lang w:val="en-US" w:eastAsia="zh-CN"/>
              </w:rPr>
              <w:t>不得</w:t>
            </w:r>
            <w:r>
              <w:rPr>
                <w:rFonts w:hint="eastAsia" w:ascii="仿宋_GB2312" w:hAnsi="仿宋_GB2312" w:eastAsia="仿宋_GB2312" w:cs="仿宋_GB2312"/>
                <w:spacing w:val="0"/>
                <w:sz w:val="20"/>
                <w:szCs w:val="20"/>
                <w:highlight w:val="none"/>
              </w:rPr>
              <w:t>串接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超负荷、放置在可燃物上</w:t>
            </w:r>
            <w:r>
              <w:rPr>
                <w:rFonts w:hint="eastAsia" w:ascii="仿宋_GB2312" w:hAnsi="仿宋_GB2312" w:eastAsia="仿宋_GB2312" w:cs="仿宋_GB2312"/>
                <w:spacing w:val="0"/>
                <w:sz w:val="20"/>
                <w:szCs w:val="20"/>
                <w:highlight w:val="none"/>
              </w:rPr>
              <w:t>使用</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不得使用非国标插座。</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8E32DE7">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DB11</w:t>
            </w:r>
            <w:r>
              <w:rPr>
                <w:rFonts w:hint="eastAsia" w:ascii="仿宋_GB2312" w:hAnsi="仿宋_GB2312" w:eastAsia="仿宋_GB2312" w:cs="仿宋_GB2312"/>
                <w:spacing w:val="0"/>
                <w:sz w:val="20"/>
                <w:szCs w:val="20"/>
                <w:highlight w:val="none"/>
                <w:lang w:val="en-US" w:eastAsia="zh-CN"/>
              </w:rPr>
              <w:t xml:space="preserve">/T </w:t>
            </w:r>
            <w:r>
              <w:rPr>
                <w:rFonts w:hint="eastAsia" w:ascii="仿宋_GB2312" w:hAnsi="仿宋_GB2312" w:eastAsia="仿宋_GB2312" w:cs="仿宋_GB2312"/>
                <w:spacing w:val="0"/>
                <w:sz w:val="20"/>
                <w:szCs w:val="20"/>
                <w:highlight w:val="none"/>
              </w:rPr>
              <w:t>065-20</w:t>
            </w:r>
            <w:r>
              <w:rPr>
                <w:rFonts w:hint="eastAsia" w:ascii="仿宋_GB2312" w:hAnsi="仿宋_GB2312" w:eastAsia="仿宋_GB2312" w:cs="仿宋_GB2312"/>
                <w:spacing w:val="0"/>
                <w:sz w:val="20"/>
                <w:szCs w:val="20"/>
                <w:highlight w:val="none"/>
                <w:lang w:val="en-US" w:eastAsia="zh-CN"/>
              </w:rPr>
              <w:t>22</w:t>
            </w:r>
            <w:r>
              <w:rPr>
                <w:rFonts w:hint="eastAsia" w:ascii="仿宋_GB2312" w:hAnsi="仿宋_GB2312" w:eastAsia="仿宋_GB2312" w:cs="仿宋_GB2312"/>
                <w:spacing w:val="0"/>
                <w:sz w:val="20"/>
                <w:szCs w:val="20"/>
                <w:highlight w:val="none"/>
              </w:rPr>
              <w:t>《电气防火检测技术规范》</w:t>
            </w:r>
            <w:r>
              <w:rPr>
                <w:rFonts w:hint="eastAsia" w:ascii="仿宋_GB2312" w:hAnsi="仿宋_GB2312" w:eastAsia="仿宋_GB2312" w:cs="仿宋_GB2312"/>
                <w:spacing w:val="0"/>
                <w:sz w:val="20"/>
                <w:szCs w:val="20"/>
                <w:highlight w:val="none"/>
                <w:lang w:val="en-US" w:eastAsia="zh-CN"/>
              </w:rPr>
              <w:t>附录B.2</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7121F51">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r w14:paraId="2E35D32B">
        <w:trPr>
          <w:jc w:val="center"/>
        </w:trPr>
        <w:tc>
          <w:tcPr>
            <w:tcW w:w="50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0D3507D">
            <w:pPr>
              <w:keepNext w:val="0"/>
              <w:keepLines w:val="0"/>
              <w:pageBreakBefore w:val="0"/>
              <w:numPr>
                <w:ilvl w:val="0"/>
                <w:numId w:val="0"/>
              </w:numPr>
              <w:kinsoku/>
              <w:wordWrap/>
              <w:overflowPunct/>
              <w:topLinePunct w:val="0"/>
              <w:autoSpaceDE/>
              <w:autoSpaceDN/>
              <w:bidi w:val="0"/>
              <w:spacing w:line="300" w:lineRule="exact"/>
              <w:ind w:left="425" w:leftChars="0" w:right="84" w:rightChars="40" w:hanging="425" w:firstLineChars="0"/>
              <w:jc w:val="center"/>
              <w:textAlignment w:val="auto"/>
              <w:rPr>
                <w:rFonts w:hint="eastAsia" w:ascii="仿宋_GB2312" w:hAnsi="仿宋_GB2312" w:eastAsia="仿宋_GB2312" w:cs="仿宋_GB2312"/>
                <w:b w:val="0"/>
                <w:bCs w:val="0"/>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04.3.01.030</w:t>
            </w:r>
          </w:p>
        </w:tc>
        <w:tc>
          <w:tcPr>
            <w:tcW w:w="275" w:type="pct"/>
            <w:tcBorders>
              <w:left w:val="single" w:color="auto" w:sz="6" w:space="0"/>
              <w:right w:val="single" w:color="auto" w:sz="6" w:space="0"/>
            </w:tcBorders>
            <w:noWrap w:val="0"/>
            <w:tcMar>
              <w:left w:w="0" w:type="dxa"/>
              <w:right w:w="0" w:type="dxa"/>
            </w:tcMar>
            <w:vAlign w:val="center"/>
          </w:tcPr>
          <w:p w14:paraId="5954392D">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场所环境类</w:t>
            </w:r>
          </w:p>
        </w:tc>
        <w:tc>
          <w:tcPr>
            <w:tcW w:w="270" w:type="pct"/>
            <w:tcBorders>
              <w:left w:val="single" w:color="auto" w:sz="6" w:space="0"/>
              <w:bottom w:val="single" w:color="auto" w:sz="6" w:space="0"/>
              <w:right w:val="single" w:color="auto" w:sz="6" w:space="0"/>
            </w:tcBorders>
            <w:noWrap w:val="0"/>
            <w:tcMar>
              <w:left w:w="0" w:type="dxa"/>
              <w:right w:w="0" w:type="dxa"/>
            </w:tcMar>
            <w:vAlign w:val="center"/>
          </w:tcPr>
          <w:p w14:paraId="3861E6C5">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安全疏散类</w:t>
            </w:r>
          </w:p>
        </w:tc>
        <w:tc>
          <w:tcPr>
            <w:tcW w:w="88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AF66C4E">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占用、堵塞、封闭疏散通道</w:t>
            </w:r>
            <w:r>
              <w:rPr>
                <w:rFonts w:hint="eastAsia" w:ascii="仿宋_GB2312" w:hAnsi="仿宋_GB2312" w:eastAsia="仿宋_GB2312" w:cs="仿宋_GB2312"/>
                <w:spacing w:val="0"/>
                <w:sz w:val="20"/>
                <w:szCs w:val="20"/>
                <w:highlight w:val="none"/>
                <w:lang w:eastAsia="zh-CN"/>
              </w:rPr>
              <w:t>。</w:t>
            </w:r>
          </w:p>
        </w:tc>
        <w:tc>
          <w:tcPr>
            <w:tcW w:w="136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614DCB6">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安全出口、疏散通道畅通，</w:t>
            </w:r>
            <w:r>
              <w:rPr>
                <w:rFonts w:hint="eastAsia" w:ascii="仿宋_GB2312" w:hAnsi="仿宋_GB2312" w:eastAsia="仿宋_GB2312" w:cs="仿宋_GB2312"/>
                <w:spacing w:val="0"/>
                <w:sz w:val="20"/>
                <w:szCs w:val="20"/>
                <w:highlight w:val="none"/>
                <w:lang w:val="en-US" w:eastAsia="zh-CN"/>
              </w:rPr>
              <w:t>无</w:t>
            </w:r>
            <w:r>
              <w:rPr>
                <w:rFonts w:hint="eastAsia" w:ascii="仿宋_GB2312" w:hAnsi="仿宋_GB2312" w:eastAsia="仿宋_GB2312" w:cs="仿宋_GB2312"/>
                <w:spacing w:val="0"/>
                <w:sz w:val="20"/>
                <w:szCs w:val="20"/>
                <w:highlight w:val="none"/>
              </w:rPr>
              <w:t>占用、堵塞、封闭安全出口和疏散</w:t>
            </w:r>
            <w:r>
              <w:rPr>
                <w:rFonts w:hint="eastAsia" w:ascii="仿宋_GB2312" w:hAnsi="仿宋_GB2312" w:eastAsia="仿宋_GB2312" w:cs="仿宋_GB2312"/>
                <w:spacing w:val="0"/>
                <w:sz w:val="20"/>
                <w:szCs w:val="20"/>
                <w:highlight w:val="none"/>
                <w:lang w:eastAsia="zh-CN"/>
              </w:rPr>
              <w:t>通道</w:t>
            </w:r>
            <w:r>
              <w:rPr>
                <w:rFonts w:hint="eastAsia" w:ascii="仿宋_GB2312" w:hAnsi="仿宋_GB2312" w:eastAsia="仿宋_GB2312" w:cs="仿宋_GB2312"/>
                <w:spacing w:val="0"/>
                <w:sz w:val="20"/>
                <w:szCs w:val="20"/>
                <w:highlight w:val="none"/>
              </w:rPr>
              <w:t>或者有其他妨碍安全疏散的行为</w:t>
            </w:r>
            <w:r>
              <w:rPr>
                <w:rFonts w:hint="eastAsia" w:ascii="仿宋_GB2312" w:hAnsi="仿宋_GB2312" w:eastAsia="仿宋_GB2312" w:cs="仿宋_GB2312"/>
                <w:spacing w:val="0"/>
                <w:sz w:val="20"/>
                <w:szCs w:val="20"/>
                <w:highlight w:val="none"/>
                <w:lang w:eastAsia="zh-CN"/>
              </w:rPr>
              <w:t>。</w:t>
            </w:r>
          </w:p>
        </w:tc>
        <w:tc>
          <w:tcPr>
            <w:tcW w:w="1333"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E36079D">
            <w:pPr>
              <w:pStyle w:val="13"/>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《中华人民共和国消防法》第十六条</w:t>
            </w:r>
          </w:p>
        </w:tc>
        <w:tc>
          <w:tcPr>
            <w:tcW w:w="361"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F1EB750">
            <w:pPr>
              <w:pStyle w:val="13"/>
              <w:keepNext w:val="0"/>
              <w:keepLines w:val="0"/>
              <w:pageBreakBefore w:val="0"/>
              <w:kinsoku/>
              <w:wordWrap/>
              <w:overflowPunct/>
              <w:topLinePunct w:val="0"/>
              <w:autoSpaceDE/>
              <w:autoSpaceDN/>
              <w:bidi w:val="0"/>
              <w:spacing w:line="300" w:lineRule="exact"/>
              <w:ind w:left="84" w:leftChars="40" w:right="84" w:rightChars="40"/>
              <w:jc w:val="center"/>
              <w:textAlignment w:val="auto"/>
              <w:rPr>
                <w:rFonts w:hint="eastAsia" w:ascii="仿宋_GB2312" w:hAnsi="仿宋_GB2312" w:eastAsia="仿宋_GB2312" w:cs="仿宋_GB2312"/>
                <w:color w:val="000000"/>
                <w:spacing w:val="0"/>
                <w:kern w:val="2"/>
                <w:sz w:val="20"/>
                <w:szCs w:val="20"/>
                <w:highlight w:val="none"/>
                <w:lang w:val="en-US" w:eastAsia="zh-CN" w:bidi="mn-Mong-CN"/>
              </w:rPr>
            </w:pPr>
          </w:p>
        </w:tc>
      </w:tr>
    </w:tbl>
    <w:p w14:paraId="179C2834"/>
    <w:sectPr>
      <w:footerReference r:id="rId3" w:type="default"/>
      <w:pgSz w:w="16838" w:h="11906" w:orient="landscape"/>
      <w:pgMar w:top="1349" w:right="1440" w:bottom="1576"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E2AA">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DE3ZDJjYTFlNWYxZWJiNGJjZmVkN2ViZjk5YzgifQ=="/>
  </w:docVars>
  <w:rsids>
    <w:rsidRoot w:val="2AF207B7"/>
    <w:rsid w:val="00225378"/>
    <w:rsid w:val="00643BE3"/>
    <w:rsid w:val="007C07E6"/>
    <w:rsid w:val="00A641FB"/>
    <w:rsid w:val="01D77E69"/>
    <w:rsid w:val="023B0215"/>
    <w:rsid w:val="026C6D7F"/>
    <w:rsid w:val="03092A98"/>
    <w:rsid w:val="032901FD"/>
    <w:rsid w:val="033F3AD3"/>
    <w:rsid w:val="036363D4"/>
    <w:rsid w:val="03B66504"/>
    <w:rsid w:val="03C31DCA"/>
    <w:rsid w:val="03CE7CF1"/>
    <w:rsid w:val="04206237"/>
    <w:rsid w:val="046645BB"/>
    <w:rsid w:val="04A647CA"/>
    <w:rsid w:val="056159F6"/>
    <w:rsid w:val="057A6C73"/>
    <w:rsid w:val="058700BA"/>
    <w:rsid w:val="05C26A0B"/>
    <w:rsid w:val="05F15F19"/>
    <w:rsid w:val="05F67F28"/>
    <w:rsid w:val="062F6A41"/>
    <w:rsid w:val="065B5A88"/>
    <w:rsid w:val="069468A4"/>
    <w:rsid w:val="06F105E8"/>
    <w:rsid w:val="07225B1E"/>
    <w:rsid w:val="075077D4"/>
    <w:rsid w:val="0764271A"/>
    <w:rsid w:val="078801B7"/>
    <w:rsid w:val="07AB7594"/>
    <w:rsid w:val="07D911AC"/>
    <w:rsid w:val="07F7533D"/>
    <w:rsid w:val="083D71F3"/>
    <w:rsid w:val="085C20B1"/>
    <w:rsid w:val="08CE42EF"/>
    <w:rsid w:val="092E1232"/>
    <w:rsid w:val="094A2C12"/>
    <w:rsid w:val="098A290C"/>
    <w:rsid w:val="09EE625E"/>
    <w:rsid w:val="0A535350"/>
    <w:rsid w:val="0A9A1616"/>
    <w:rsid w:val="0B1E276C"/>
    <w:rsid w:val="0B325009"/>
    <w:rsid w:val="0B574A70"/>
    <w:rsid w:val="0B5A7BE7"/>
    <w:rsid w:val="0B754EF6"/>
    <w:rsid w:val="0B91736F"/>
    <w:rsid w:val="0BAC37A5"/>
    <w:rsid w:val="0BDB744F"/>
    <w:rsid w:val="0C2435D0"/>
    <w:rsid w:val="0C6531BD"/>
    <w:rsid w:val="0CF90E74"/>
    <w:rsid w:val="0D0E34A6"/>
    <w:rsid w:val="0D335069"/>
    <w:rsid w:val="0DD74EA9"/>
    <w:rsid w:val="0E5E6115"/>
    <w:rsid w:val="0EA224A6"/>
    <w:rsid w:val="0EDE00E9"/>
    <w:rsid w:val="0EE92BE4"/>
    <w:rsid w:val="0EEF6D6E"/>
    <w:rsid w:val="0F452E31"/>
    <w:rsid w:val="0F7B6853"/>
    <w:rsid w:val="0F7D7472"/>
    <w:rsid w:val="0F985657"/>
    <w:rsid w:val="10263F10"/>
    <w:rsid w:val="107C5A41"/>
    <w:rsid w:val="11667743"/>
    <w:rsid w:val="117417AC"/>
    <w:rsid w:val="119F5E84"/>
    <w:rsid w:val="11EC4BE0"/>
    <w:rsid w:val="12260B7B"/>
    <w:rsid w:val="12266F4A"/>
    <w:rsid w:val="135F0966"/>
    <w:rsid w:val="13741F37"/>
    <w:rsid w:val="137F7918"/>
    <w:rsid w:val="13806B2E"/>
    <w:rsid w:val="13C47570"/>
    <w:rsid w:val="13DB383B"/>
    <w:rsid w:val="13F13F47"/>
    <w:rsid w:val="14447B5C"/>
    <w:rsid w:val="14BA1BCC"/>
    <w:rsid w:val="14F43330"/>
    <w:rsid w:val="152F25BA"/>
    <w:rsid w:val="1585042C"/>
    <w:rsid w:val="15B14D7D"/>
    <w:rsid w:val="15FF1F8C"/>
    <w:rsid w:val="16F77107"/>
    <w:rsid w:val="17A80401"/>
    <w:rsid w:val="17AE706B"/>
    <w:rsid w:val="17E07B9B"/>
    <w:rsid w:val="17FE0021"/>
    <w:rsid w:val="187D53EA"/>
    <w:rsid w:val="18803212"/>
    <w:rsid w:val="189D337C"/>
    <w:rsid w:val="18A3708E"/>
    <w:rsid w:val="18A53FD8"/>
    <w:rsid w:val="18DC65B5"/>
    <w:rsid w:val="18F55FDC"/>
    <w:rsid w:val="19297FBA"/>
    <w:rsid w:val="19C808E7"/>
    <w:rsid w:val="19F81098"/>
    <w:rsid w:val="1A1C129C"/>
    <w:rsid w:val="1A1F2A96"/>
    <w:rsid w:val="1A2F4651"/>
    <w:rsid w:val="1A324E27"/>
    <w:rsid w:val="1A417308"/>
    <w:rsid w:val="1AD25EC1"/>
    <w:rsid w:val="1B397CEE"/>
    <w:rsid w:val="1B8076CB"/>
    <w:rsid w:val="1CDF0421"/>
    <w:rsid w:val="1D3648B1"/>
    <w:rsid w:val="1E116D00"/>
    <w:rsid w:val="1E5113B6"/>
    <w:rsid w:val="1E8A38F9"/>
    <w:rsid w:val="1E8E485C"/>
    <w:rsid w:val="1EA90CE7"/>
    <w:rsid w:val="1EBC4DB7"/>
    <w:rsid w:val="1F0873E3"/>
    <w:rsid w:val="1F2061B6"/>
    <w:rsid w:val="1F8D0609"/>
    <w:rsid w:val="1FA92F69"/>
    <w:rsid w:val="201F1C02"/>
    <w:rsid w:val="20691332"/>
    <w:rsid w:val="207E61A3"/>
    <w:rsid w:val="2098432B"/>
    <w:rsid w:val="20EC3555"/>
    <w:rsid w:val="215F7D83"/>
    <w:rsid w:val="21BB03AA"/>
    <w:rsid w:val="21FC1A76"/>
    <w:rsid w:val="222114EB"/>
    <w:rsid w:val="223E208E"/>
    <w:rsid w:val="22A937DB"/>
    <w:rsid w:val="22DC0519"/>
    <w:rsid w:val="22E26EBD"/>
    <w:rsid w:val="23592A0C"/>
    <w:rsid w:val="23CD191B"/>
    <w:rsid w:val="23F5078E"/>
    <w:rsid w:val="241412F8"/>
    <w:rsid w:val="24247062"/>
    <w:rsid w:val="243B4AD7"/>
    <w:rsid w:val="2444279F"/>
    <w:rsid w:val="244D54D8"/>
    <w:rsid w:val="249D7540"/>
    <w:rsid w:val="24CE7345"/>
    <w:rsid w:val="24DB0068"/>
    <w:rsid w:val="25CC7D1A"/>
    <w:rsid w:val="264659B5"/>
    <w:rsid w:val="267A740D"/>
    <w:rsid w:val="26C64CD5"/>
    <w:rsid w:val="275C1AD4"/>
    <w:rsid w:val="278A18D2"/>
    <w:rsid w:val="27C900F4"/>
    <w:rsid w:val="27D66CC5"/>
    <w:rsid w:val="27F84A8D"/>
    <w:rsid w:val="283261F1"/>
    <w:rsid w:val="28C130D1"/>
    <w:rsid w:val="29015BC3"/>
    <w:rsid w:val="291122AA"/>
    <w:rsid w:val="29521D2F"/>
    <w:rsid w:val="296A3EE2"/>
    <w:rsid w:val="297B5976"/>
    <w:rsid w:val="299608EE"/>
    <w:rsid w:val="29EB1F0F"/>
    <w:rsid w:val="2A1F09F7"/>
    <w:rsid w:val="2A6F6DBF"/>
    <w:rsid w:val="2AED15D5"/>
    <w:rsid w:val="2AF207B7"/>
    <w:rsid w:val="2B8723B0"/>
    <w:rsid w:val="2BA72A52"/>
    <w:rsid w:val="2BF12906"/>
    <w:rsid w:val="2BF612E4"/>
    <w:rsid w:val="2C041C52"/>
    <w:rsid w:val="2C22688D"/>
    <w:rsid w:val="2CA151A5"/>
    <w:rsid w:val="2CC44FA1"/>
    <w:rsid w:val="2CFC5E23"/>
    <w:rsid w:val="2DA706BF"/>
    <w:rsid w:val="2DA94B79"/>
    <w:rsid w:val="2E8A1F61"/>
    <w:rsid w:val="2F3C203B"/>
    <w:rsid w:val="2F5B4CE0"/>
    <w:rsid w:val="2F6740E2"/>
    <w:rsid w:val="2F77098D"/>
    <w:rsid w:val="2FA6164C"/>
    <w:rsid w:val="306C05CA"/>
    <w:rsid w:val="30CC56F5"/>
    <w:rsid w:val="30E97669"/>
    <w:rsid w:val="310426F5"/>
    <w:rsid w:val="31684A32"/>
    <w:rsid w:val="316E43A3"/>
    <w:rsid w:val="320229AC"/>
    <w:rsid w:val="320D7387"/>
    <w:rsid w:val="323B3EF4"/>
    <w:rsid w:val="326C2300"/>
    <w:rsid w:val="32751AE0"/>
    <w:rsid w:val="327546C5"/>
    <w:rsid w:val="32A73338"/>
    <w:rsid w:val="33CB74FA"/>
    <w:rsid w:val="33EA1978"/>
    <w:rsid w:val="33ED7C29"/>
    <w:rsid w:val="34000D04"/>
    <w:rsid w:val="3400642D"/>
    <w:rsid w:val="34721DC0"/>
    <w:rsid w:val="34A22009"/>
    <w:rsid w:val="34A51AF9"/>
    <w:rsid w:val="350E6B8A"/>
    <w:rsid w:val="365732C7"/>
    <w:rsid w:val="367E0853"/>
    <w:rsid w:val="368C4D1E"/>
    <w:rsid w:val="36C34C85"/>
    <w:rsid w:val="374B6987"/>
    <w:rsid w:val="378325C5"/>
    <w:rsid w:val="379320DC"/>
    <w:rsid w:val="37A442EA"/>
    <w:rsid w:val="37B54749"/>
    <w:rsid w:val="37BD36D2"/>
    <w:rsid w:val="38190834"/>
    <w:rsid w:val="38525F74"/>
    <w:rsid w:val="39616104"/>
    <w:rsid w:val="396B35F2"/>
    <w:rsid w:val="396F14C1"/>
    <w:rsid w:val="397E17C8"/>
    <w:rsid w:val="39B747A8"/>
    <w:rsid w:val="39ED2F0C"/>
    <w:rsid w:val="3A0E0140"/>
    <w:rsid w:val="3A5A5133"/>
    <w:rsid w:val="3A8E63E2"/>
    <w:rsid w:val="3AF31810"/>
    <w:rsid w:val="3B1654FE"/>
    <w:rsid w:val="3B2A2D58"/>
    <w:rsid w:val="3B8406BA"/>
    <w:rsid w:val="3CD967E3"/>
    <w:rsid w:val="3D033860"/>
    <w:rsid w:val="3D6C3AFB"/>
    <w:rsid w:val="3D915AF2"/>
    <w:rsid w:val="3DD12B04"/>
    <w:rsid w:val="3DFD3A5F"/>
    <w:rsid w:val="3DFF04CC"/>
    <w:rsid w:val="3E4E063F"/>
    <w:rsid w:val="3E5A1BA6"/>
    <w:rsid w:val="3E7346C6"/>
    <w:rsid w:val="3E8409D1"/>
    <w:rsid w:val="3E971969"/>
    <w:rsid w:val="3E9A1FA2"/>
    <w:rsid w:val="3EB734C6"/>
    <w:rsid w:val="3EB92D70"/>
    <w:rsid w:val="3EE6343A"/>
    <w:rsid w:val="3F6F342F"/>
    <w:rsid w:val="3F8B5C08"/>
    <w:rsid w:val="3FC92B3F"/>
    <w:rsid w:val="40073668"/>
    <w:rsid w:val="40284967"/>
    <w:rsid w:val="403A3A3D"/>
    <w:rsid w:val="404722ED"/>
    <w:rsid w:val="406E0A06"/>
    <w:rsid w:val="407F58F4"/>
    <w:rsid w:val="40842F0A"/>
    <w:rsid w:val="40963817"/>
    <w:rsid w:val="40A43A44"/>
    <w:rsid w:val="40C929C6"/>
    <w:rsid w:val="40C96B6F"/>
    <w:rsid w:val="40FC5196"/>
    <w:rsid w:val="410A1661"/>
    <w:rsid w:val="412D35A2"/>
    <w:rsid w:val="413D1A37"/>
    <w:rsid w:val="41B33AA7"/>
    <w:rsid w:val="420936C7"/>
    <w:rsid w:val="42622515"/>
    <w:rsid w:val="42B011E1"/>
    <w:rsid w:val="43043A6B"/>
    <w:rsid w:val="433330F0"/>
    <w:rsid w:val="43543068"/>
    <w:rsid w:val="435C03FF"/>
    <w:rsid w:val="44095C00"/>
    <w:rsid w:val="44953938"/>
    <w:rsid w:val="45396B58"/>
    <w:rsid w:val="45A90BB0"/>
    <w:rsid w:val="45C52038"/>
    <w:rsid w:val="45EF52CA"/>
    <w:rsid w:val="46222DB6"/>
    <w:rsid w:val="46470C62"/>
    <w:rsid w:val="465E008D"/>
    <w:rsid w:val="46641385"/>
    <w:rsid w:val="4669507C"/>
    <w:rsid w:val="46ED1809"/>
    <w:rsid w:val="470923BB"/>
    <w:rsid w:val="471B43FC"/>
    <w:rsid w:val="472109DA"/>
    <w:rsid w:val="477E401C"/>
    <w:rsid w:val="47BE4F54"/>
    <w:rsid w:val="47E758BF"/>
    <w:rsid w:val="47F84B3F"/>
    <w:rsid w:val="480F57AF"/>
    <w:rsid w:val="48697AB7"/>
    <w:rsid w:val="498B355B"/>
    <w:rsid w:val="49AE5B84"/>
    <w:rsid w:val="49C76E6D"/>
    <w:rsid w:val="4A4756D4"/>
    <w:rsid w:val="4A6B1BCF"/>
    <w:rsid w:val="4A772E29"/>
    <w:rsid w:val="4A804A80"/>
    <w:rsid w:val="4AB83EDC"/>
    <w:rsid w:val="4AE90539"/>
    <w:rsid w:val="4B385596"/>
    <w:rsid w:val="4B6723EE"/>
    <w:rsid w:val="4BA83F51"/>
    <w:rsid w:val="4BAB1187"/>
    <w:rsid w:val="4C0373D9"/>
    <w:rsid w:val="4C20442F"/>
    <w:rsid w:val="4C435E69"/>
    <w:rsid w:val="4C9D5EA3"/>
    <w:rsid w:val="4C9E7102"/>
    <w:rsid w:val="4CC21042"/>
    <w:rsid w:val="4CD83D2D"/>
    <w:rsid w:val="4CFF4044"/>
    <w:rsid w:val="4DA02624"/>
    <w:rsid w:val="4DA93FB0"/>
    <w:rsid w:val="4DE8474D"/>
    <w:rsid w:val="4E772300"/>
    <w:rsid w:val="4F560168"/>
    <w:rsid w:val="4F563CC4"/>
    <w:rsid w:val="4F950C90"/>
    <w:rsid w:val="4FD25A40"/>
    <w:rsid w:val="502B7E2C"/>
    <w:rsid w:val="50666188"/>
    <w:rsid w:val="506765BF"/>
    <w:rsid w:val="50EE4AFC"/>
    <w:rsid w:val="51042DF4"/>
    <w:rsid w:val="51EC377C"/>
    <w:rsid w:val="51ED4637"/>
    <w:rsid w:val="51F0092F"/>
    <w:rsid w:val="52337BDD"/>
    <w:rsid w:val="527F7A65"/>
    <w:rsid w:val="52E361B6"/>
    <w:rsid w:val="52F641FD"/>
    <w:rsid w:val="538D0E34"/>
    <w:rsid w:val="53A63C46"/>
    <w:rsid w:val="53D4712F"/>
    <w:rsid w:val="53FA4276"/>
    <w:rsid w:val="54A51975"/>
    <w:rsid w:val="54D12B53"/>
    <w:rsid w:val="551B39E5"/>
    <w:rsid w:val="558E2409"/>
    <w:rsid w:val="55DA65F4"/>
    <w:rsid w:val="56A874FB"/>
    <w:rsid w:val="56B91708"/>
    <w:rsid w:val="56CA015A"/>
    <w:rsid w:val="573615CD"/>
    <w:rsid w:val="573C7818"/>
    <w:rsid w:val="578441F7"/>
    <w:rsid w:val="57892A6D"/>
    <w:rsid w:val="579655A5"/>
    <w:rsid w:val="57A129FF"/>
    <w:rsid w:val="57A852D8"/>
    <w:rsid w:val="57C26DAD"/>
    <w:rsid w:val="57CA16F3"/>
    <w:rsid w:val="57CC4F2E"/>
    <w:rsid w:val="57DB56AE"/>
    <w:rsid w:val="57F624E8"/>
    <w:rsid w:val="580B5F93"/>
    <w:rsid w:val="582726A1"/>
    <w:rsid w:val="585A65D3"/>
    <w:rsid w:val="585F008D"/>
    <w:rsid w:val="59205A6E"/>
    <w:rsid w:val="59981AA8"/>
    <w:rsid w:val="59F44805"/>
    <w:rsid w:val="5A0C5FF2"/>
    <w:rsid w:val="5A3F1F24"/>
    <w:rsid w:val="5A556CD1"/>
    <w:rsid w:val="5AE232B7"/>
    <w:rsid w:val="5B512B2C"/>
    <w:rsid w:val="5BA80B36"/>
    <w:rsid w:val="5C090F66"/>
    <w:rsid w:val="5C1D44E7"/>
    <w:rsid w:val="5C3A0466"/>
    <w:rsid w:val="5CE13766"/>
    <w:rsid w:val="5D465377"/>
    <w:rsid w:val="5D665F33"/>
    <w:rsid w:val="5DA0717E"/>
    <w:rsid w:val="5E4F7943"/>
    <w:rsid w:val="5E697B64"/>
    <w:rsid w:val="5E742832"/>
    <w:rsid w:val="5E9D36BD"/>
    <w:rsid w:val="5F553F98"/>
    <w:rsid w:val="60A056BD"/>
    <w:rsid w:val="617160D3"/>
    <w:rsid w:val="61730648"/>
    <w:rsid w:val="61947A14"/>
    <w:rsid w:val="6196551D"/>
    <w:rsid w:val="62126AC3"/>
    <w:rsid w:val="62233ED9"/>
    <w:rsid w:val="624D6A2A"/>
    <w:rsid w:val="62BA6CA6"/>
    <w:rsid w:val="62FF18B4"/>
    <w:rsid w:val="631D70E0"/>
    <w:rsid w:val="6330515E"/>
    <w:rsid w:val="63B443F1"/>
    <w:rsid w:val="64017FB9"/>
    <w:rsid w:val="6410048D"/>
    <w:rsid w:val="64915A72"/>
    <w:rsid w:val="649B069F"/>
    <w:rsid w:val="64AA098E"/>
    <w:rsid w:val="65E816C2"/>
    <w:rsid w:val="65F521F8"/>
    <w:rsid w:val="65FC6F1B"/>
    <w:rsid w:val="665F379E"/>
    <w:rsid w:val="669C24AC"/>
    <w:rsid w:val="67090C80"/>
    <w:rsid w:val="677F477D"/>
    <w:rsid w:val="68394457"/>
    <w:rsid w:val="6949401F"/>
    <w:rsid w:val="69587641"/>
    <w:rsid w:val="69780850"/>
    <w:rsid w:val="699E7743"/>
    <w:rsid w:val="69B31AF3"/>
    <w:rsid w:val="6A0B64F1"/>
    <w:rsid w:val="6A7A48B2"/>
    <w:rsid w:val="6AA66D0E"/>
    <w:rsid w:val="6AC65D4A"/>
    <w:rsid w:val="6B264A3A"/>
    <w:rsid w:val="6B6A0DCB"/>
    <w:rsid w:val="6B942FA1"/>
    <w:rsid w:val="6BD30A98"/>
    <w:rsid w:val="6BE0108D"/>
    <w:rsid w:val="6C42223F"/>
    <w:rsid w:val="6C5975D6"/>
    <w:rsid w:val="6CBD4F2A"/>
    <w:rsid w:val="6CDE3082"/>
    <w:rsid w:val="6D57537F"/>
    <w:rsid w:val="6D6221C3"/>
    <w:rsid w:val="6D6D6950"/>
    <w:rsid w:val="6DAA1953"/>
    <w:rsid w:val="6E0D44E3"/>
    <w:rsid w:val="6E2E60E0"/>
    <w:rsid w:val="6E6079FA"/>
    <w:rsid w:val="6E660E3A"/>
    <w:rsid w:val="6EA61D4E"/>
    <w:rsid w:val="6EB54F6F"/>
    <w:rsid w:val="6ED8429D"/>
    <w:rsid w:val="6F1057E5"/>
    <w:rsid w:val="6F125A01"/>
    <w:rsid w:val="6F2E3EBD"/>
    <w:rsid w:val="6F7FC65E"/>
    <w:rsid w:val="6FF375E1"/>
    <w:rsid w:val="70182BA3"/>
    <w:rsid w:val="70463FE9"/>
    <w:rsid w:val="70D50A94"/>
    <w:rsid w:val="710C7BE6"/>
    <w:rsid w:val="7113780F"/>
    <w:rsid w:val="715E1726"/>
    <w:rsid w:val="72444124"/>
    <w:rsid w:val="729C65B0"/>
    <w:rsid w:val="72B312A9"/>
    <w:rsid w:val="72F21DD2"/>
    <w:rsid w:val="730E028E"/>
    <w:rsid w:val="732B2E1C"/>
    <w:rsid w:val="737547B1"/>
    <w:rsid w:val="73A3131E"/>
    <w:rsid w:val="73AA10A6"/>
    <w:rsid w:val="73BD17F8"/>
    <w:rsid w:val="73CD0AB8"/>
    <w:rsid w:val="73E80A44"/>
    <w:rsid w:val="73F17840"/>
    <w:rsid w:val="74343D24"/>
    <w:rsid w:val="74DD260E"/>
    <w:rsid w:val="74EB4D2A"/>
    <w:rsid w:val="74EC7840"/>
    <w:rsid w:val="75220020"/>
    <w:rsid w:val="759A04FF"/>
    <w:rsid w:val="75BE2A48"/>
    <w:rsid w:val="75D03F20"/>
    <w:rsid w:val="75DF0575"/>
    <w:rsid w:val="75EA6029"/>
    <w:rsid w:val="76796ACA"/>
    <w:rsid w:val="76EF03D6"/>
    <w:rsid w:val="771A36A5"/>
    <w:rsid w:val="78152A05"/>
    <w:rsid w:val="78242379"/>
    <w:rsid w:val="78857244"/>
    <w:rsid w:val="789008F3"/>
    <w:rsid w:val="792720A9"/>
    <w:rsid w:val="793F73F3"/>
    <w:rsid w:val="79F006ED"/>
    <w:rsid w:val="7A527ED6"/>
    <w:rsid w:val="7A8C2B0C"/>
    <w:rsid w:val="7B235C71"/>
    <w:rsid w:val="7B2368A0"/>
    <w:rsid w:val="7BC938EC"/>
    <w:rsid w:val="7C501917"/>
    <w:rsid w:val="7C507B69"/>
    <w:rsid w:val="7D5D1ED1"/>
    <w:rsid w:val="7D6054A7"/>
    <w:rsid w:val="7D8950E1"/>
    <w:rsid w:val="7D936ADA"/>
    <w:rsid w:val="7DFF1847"/>
    <w:rsid w:val="7E623564"/>
    <w:rsid w:val="7E9755DB"/>
    <w:rsid w:val="7E987F4A"/>
    <w:rsid w:val="7EB76335"/>
    <w:rsid w:val="7F517972"/>
    <w:rsid w:val="7F814E0A"/>
    <w:rsid w:val="7FBE4DEA"/>
    <w:rsid w:val="7FDB5498"/>
    <w:rsid w:val="7FEC33D8"/>
    <w:rsid w:val="FFF61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rFonts w:eastAsia="宋体"/>
      <w:kern w:val="0"/>
    </w:rPr>
  </w:style>
  <w:style w:type="paragraph" w:styleId="3">
    <w:name w:val="Body Text Indent"/>
    <w:basedOn w:val="1"/>
    <w:next w:val="2"/>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kern w:val="0"/>
      <w:sz w:val="18"/>
      <w:szCs w:val="18"/>
      <w:lang w:val="zh-CN"/>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styleId="9">
    <w:name w:val="Hyperlink"/>
    <w:basedOn w:val="7"/>
    <w:unhideWhenUsed/>
    <w:qFormat/>
    <w:uiPriority w:val="99"/>
    <w:rPr>
      <w:color w:val="0000FF"/>
      <w:u w:val="single"/>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列表段落1"/>
    <w:basedOn w:val="1"/>
    <w:qFormat/>
    <w:uiPriority w:val="34"/>
    <w:pPr>
      <w:ind w:firstLine="420" w:firstLineChars="200"/>
    </w:pPr>
  </w:style>
  <w:style w:type="paragraph" w:customStyle="1" w:styleId="12">
    <w:name w:val="Other|1"/>
    <w:basedOn w:val="1"/>
    <w:qFormat/>
    <w:uiPriority w:val="99"/>
    <w:pPr>
      <w:jc w:val="left"/>
    </w:pPr>
    <w:rPr>
      <w:rFonts w:ascii="宋体" w:hAnsi="宋体" w:cs="宋体"/>
      <w:sz w:val="19"/>
      <w:szCs w:val="19"/>
      <w:lang w:val="zh-TW" w:eastAsia="zh-TW" w:bidi="zh-TW"/>
    </w:rPr>
  </w:style>
  <w:style w:type="paragraph" w:customStyle="1" w:styleId="13">
    <w:name w:val="风险隐患表格标准格式"/>
    <w:basedOn w:val="1"/>
    <w:qFormat/>
    <w:uiPriority w:val="0"/>
    <w:pPr>
      <w:snapToGrid w:val="0"/>
      <w:ind w:left="84" w:leftChars="40" w:right="84" w:rightChars="40"/>
      <w:jc w:val="left"/>
    </w:pPr>
    <w:rPr>
      <w:rFonts w:ascii="宋体" w:hAnsi="宋体"/>
      <w:color w:val="000000"/>
      <w:sz w:val="18"/>
      <w:szCs w:val="20"/>
      <w:lang w:bidi="mn-Mong-CN"/>
    </w:rPr>
  </w:style>
  <w:style w:type="table" w:customStyle="1" w:styleId="14">
    <w:name w:val="Table Normal2"/>
    <w:basedOn w:val="6"/>
    <w:qFormat/>
    <w:uiPriority w:val="0"/>
    <w:rPr>
      <w:rFonts w:eastAsia="Times New Roman"/>
    </w:rPr>
    <w:tblPr>
      <w:tblCellMar>
        <w:left w:w="0" w:type="dxa"/>
        <w:right w:w="0" w:type="dxa"/>
      </w:tblCellMar>
    </w:tblPr>
  </w:style>
  <w:style w:type="paragraph" w:customStyle="1" w:styleId="15">
    <w:name w:val="表内文字居中"/>
    <w:basedOn w:val="1"/>
    <w:qFormat/>
    <w:uiPriority w:val="0"/>
    <w:pPr>
      <w:snapToGrid w:val="0"/>
      <w:spacing w:line="280" w:lineRule="exact"/>
      <w:jc w:val="center"/>
    </w:pPr>
    <w:rPr>
      <w:rFonts w:ascii="Times New Roman" w:hAnsi="Times New Roman" w:eastAsia="方正书宋简体"/>
      <w:spacing w:val="4"/>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5183</Words>
  <Characters>5704</Characters>
  <Lines>0</Lines>
  <Paragraphs>0</Paragraphs>
  <TotalTime>1</TotalTime>
  <ScaleCrop>false</ScaleCrop>
  <LinksUpToDate>false</LinksUpToDate>
  <CharactersWithSpaces>5722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2023-04-30T03:50:00Z</dcterms:created>
  <dc:creator>admin</dc:creator>
  <cp:lastModifiedBy>匿名用户</cp:lastModifiedBy>
  <dcterms:modified xsi:type="dcterms:W3CDTF">2026-05-21T06:15:31Z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369AACCAC5614D38B591F025A9987868_13</vt:lpwstr>
  </property>
  <property fmtid="{D5CDD505-2E9C-101B-9397-08002B2CF9AE}" pid="4" name="KSOTemplateDocerSaveRecord">
    <vt:lpwstr>eyJoZGlkIjoiZTRmMmVkZThkZmZjNDk0ZWEzNzNkNWRmMDUzYmJiZDEiLCJ1c2VySWQiOiI3NjM2NDA2NTQifQ==</vt:lpwstr>
  </property>
</Properties>
</file>