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ECC" w:rsidRDefault="00936ECC">
      <w:pPr>
        <w:spacing w:line="480" w:lineRule="exact"/>
        <w:rPr>
          <w:rFonts w:ascii="黑体" w:eastAsia="黑体" w:hAnsi="黑体"/>
          <w:sz w:val="32"/>
          <w:szCs w:val="32"/>
        </w:rPr>
      </w:pPr>
    </w:p>
    <w:p w:rsidR="00936ECC" w:rsidRDefault="00A04AF8">
      <w:pPr>
        <w:spacing w:line="48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项目支出绩效自评表</w:t>
      </w:r>
    </w:p>
    <w:p w:rsidR="00936ECC" w:rsidRDefault="00A04AF8" w:rsidP="00F30751">
      <w:pPr>
        <w:spacing w:line="480" w:lineRule="exact"/>
        <w:jc w:val="center"/>
        <w:rPr>
          <w:rFonts w:ascii="仿宋_GB2312" w:eastAsia="仿宋_GB2312" w:hAnsi="宋体"/>
          <w:sz w:val="28"/>
          <w:szCs w:val="28"/>
        </w:rPr>
      </w:pPr>
      <w:r>
        <w:rPr>
          <w:rFonts w:ascii="仿宋_GB2312" w:eastAsia="仿宋_GB2312" w:hAnsi="宋体" w:hint="eastAsia"/>
          <w:sz w:val="28"/>
          <w:szCs w:val="28"/>
        </w:rPr>
        <w:t>（2022年度）</w:t>
      </w:r>
    </w:p>
    <w:p w:rsidR="00936ECC" w:rsidRDefault="00936ECC">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1506"/>
        <w:gridCol w:w="75"/>
        <w:gridCol w:w="1245"/>
        <w:gridCol w:w="1008"/>
        <w:gridCol w:w="417"/>
        <w:gridCol w:w="146"/>
        <w:gridCol w:w="420"/>
        <w:gridCol w:w="325"/>
        <w:gridCol w:w="521"/>
        <w:gridCol w:w="710"/>
      </w:tblGrid>
      <w:tr w:rsidR="00936ECC">
        <w:trPr>
          <w:trHeight w:hRule="exact" w:val="51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1"/>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北京市第十六届运动会和第二届冬季运动会赛内兴奋剂检查检测及调查</w:t>
            </w:r>
          </w:p>
        </w:tc>
      </w:tr>
      <w:tr w:rsidR="00936ECC">
        <w:trPr>
          <w:trHeight w:hRule="exact" w:val="47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3931" w:type="dxa"/>
            <w:gridSpan w:val="4"/>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北京市体育局</w:t>
            </w:r>
          </w:p>
        </w:tc>
        <w:tc>
          <w:tcPr>
            <w:tcW w:w="1425"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122" w:type="dxa"/>
            <w:gridSpan w:val="5"/>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北京市反兴奋剂中心</w:t>
            </w:r>
          </w:p>
        </w:tc>
      </w:tr>
      <w:tr w:rsidR="00936ECC">
        <w:trPr>
          <w:trHeight w:hRule="exact" w:val="52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3931" w:type="dxa"/>
            <w:gridSpan w:val="4"/>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朱岩松</w:t>
            </w:r>
          </w:p>
        </w:tc>
        <w:tc>
          <w:tcPr>
            <w:tcW w:w="1425"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122" w:type="dxa"/>
            <w:gridSpan w:val="5"/>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13366286162</w:t>
            </w:r>
          </w:p>
        </w:tc>
      </w:tr>
      <w:tr w:rsidR="00936ECC">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105" w:type="dxa"/>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506" w:type="dxa"/>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320"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425"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566"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936ECC">
        <w:trPr>
          <w:trHeight w:hRule="exact" w:val="52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506" w:type="dxa"/>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124.076800</w:t>
            </w:r>
          </w:p>
        </w:tc>
        <w:tc>
          <w:tcPr>
            <w:tcW w:w="1320"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124.076800</w:t>
            </w:r>
          </w:p>
        </w:tc>
        <w:tc>
          <w:tcPr>
            <w:tcW w:w="1425"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86.139744</w:t>
            </w:r>
          </w:p>
        </w:tc>
        <w:tc>
          <w:tcPr>
            <w:tcW w:w="566"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69.42％</w:t>
            </w:r>
          </w:p>
        </w:tc>
        <w:tc>
          <w:tcPr>
            <w:tcW w:w="710" w:type="dxa"/>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6.94</w:t>
            </w:r>
          </w:p>
        </w:tc>
      </w:tr>
      <w:tr w:rsidR="00936ECC">
        <w:trPr>
          <w:trHeight w:hRule="exact" w:val="8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1506" w:type="dxa"/>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124.076800</w:t>
            </w:r>
          </w:p>
        </w:tc>
        <w:tc>
          <w:tcPr>
            <w:tcW w:w="1320"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124.076800</w:t>
            </w:r>
          </w:p>
        </w:tc>
        <w:tc>
          <w:tcPr>
            <w:tcW w:w="1425"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86.139744</w:t>
            </w:r>
          </w:p>
        </w:tc>
        <w:tc>
          <w:tcPr>
            <w:tcW w:w="566"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69.42％</w:t>
            </w:r>
          </w:p>
        </w:tc>
        <w:tc>
          <w:tcPr>
            <w:tcW w:w="710" w:type="dxa"/>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36ECC">
        <w:trPr>
          <w:trHeight w:hRule="exact" w:val="73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506" w:type="dxa"/>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0.00</w:t>
            </w:r>
          </w:p>
        </w:tc>
        <w:tc>
          <w:tcPr>
            <w:tcW w:w="1320"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0.00</w:t>
            </w:r>
          </w:p>
        </w:tc>
        <w:tc>
          <w:tcPr>
            <w:tcW w:w="1425"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0.00</w:t>
            </w:r>
          </w:p>
        </w:tc>
        <w:tc>
          <w:tcPr>
            <w:tcW w:w="566"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36ECC">
        <w:trPr>
          <w:trHeight w:hRule="exact" w:val="72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506" w:type="dxa"/>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0.00</w:t>
            </w:r>
          </w:p>
        </w:tc>
        <w:tc>
          <w:tcPr>
            <w:tcW w:w="1320"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0.00</w:t>
            </w:r>
          </w:p>
        </w:tc>
        <w:tc>
          <w:tcPr>
            <w:tcW w:w="1425"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0.00</w:t>
            </w:r>
          </w:p>
        </w:tc>
        <w:tc>
          <w:tcPr>
            <w:tcW w:w="566" w:type="dxa"/>
            <w:gridSpan w:val="2"/>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36ECC">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906" w:type="dxa"/>
            <w:gridSpan w:val="5"/>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547" w:type="dxa"/>
            <w:gridSpan w:val="7"/>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936ECC">
        <w:trPr>
          <w:trHeight w:hRule="exact" w:val="1827"/>
          <w:jc w:val="center"/>
        </w:trPr>
        <w:tc>
          <w:tcPr>
            <w:tcW w:w="585" w:type="dxa"/>
            <w:vMerge/>
            <w:tcBorders>
              <w:top w:val="nil"/>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4906" w:type="dxa"/>
            <w:gridSpan w:val="5"/>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进行委托检查250例,避免发生涉嫌故意使用的兴奋剂违规。</w:t>
            </w:r>
          </w:p>
          <w:p w:rsidR="00936ECC" w:rsidRDefault="00936ECC">
            <w:pPr>
              <w:widowControl/>
              <w:spacing w:line="240" w:lineRule="exact"/>
              <w:jc w:val="center"/>
              <w:rPr>
                <w:rFonts w:ascii="仿宋_GB2312" w:eastAsia="仿宋_GB2312" w:hAnsi="宋体" w:cs="宋体"/>
                <w:kern w:val="0"/>
                <w:szCs w:val="21"/>
              </w:rPr>
            </w:pPr>
          </w:p>
        </w:tc>
        <w:tc>
          <w:tcPr>
            <w:tcW w:w="3547" w:type="dxa"/>
            <w:gridSpan w:val="7"/>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完成委托兴奋剂赛内检查200例，无兴奋剂检测阳性事件。</w:t>
            </w:r>
          </w:p>
          <w:p w:rsidR="00936ECC" w:rsidRDefault="00936ECC">
            <w:pPr>
              <w:widowControl/>
              <w:spacing w:line="240" w:lineRule="exact"/>
              <w:jc w:val="left"/>
              <w:rPr>
                <w:rFonts w:ascii="仿宋_GB2312" w:eastAsia="仿宋_GB2312" w:hAnsi="宋体" w:cs="宋体"/>
                <w:kern w:val="0"/>
                <w:szCs w:val="21"/>
              </w:rPr>
            </w:pPr>
          </w:p>
        </w:tc>
      </w:tr>
      <w:tr w:rsidR="00936ECC">
        <w:trPr>
          <w:trHeight w:hRule="exact" w:val="88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58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24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008"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45"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23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936ECC">
        <w:trPr>
          <w:trHeight w:hRule="exact" w:val="169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58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委托检查例数</w:t>
            </w:r>
          </w:p>
        </w:tc>
        <w:tc>
          <w:tcPr>
            <w:tcW w:w="124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250例</w:t>
            </w:r>
          </w:p>
        </w:tc>
        <w:tc>
          <w:tcPr>
            <w:tcW w:w="1008"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200例</w:t>
            </w:r>
          </w:p>
        </w:tc>
        <w:tc>
          <w:tcPr>
            <w:tcW w:w="563"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745"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23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ind w:leftChars="-50" w:left="-105" w:rightChars="-50" w:right="-105"/>
              <w:jc w:val="center"/>
              <w:rPr>
                <w:rFonts w:ascii="仿宋_GB2312" w:eastAsia="仿宋_GB2312" w:hAnsi="宋体" w:cs="宋体"/>
                <w:kern w:val="0"/>
                <w:szCs w:val="21"/>
              </w:rPr>
            </w:pPr>
            <w:bookmarkStart w:id="0" w:name="_GoBack"/>
            <w:r>
              <w:rPr>
                <w:rFonts w:ascii="仿宋_GB2312" w:eastAsia="仿宋_GB2312" w:hAnsi="宋体" w:cs="宋体" w:hint="eastAsia"/>
                <w:kern w:val="0"/>
                <w:szCs w:val="21"/>
              </w:rPr>
              <w:t>由于北京市第二届冬季运动会延期举办，该项</w:t>
            </w:r>
            <w:proofErr w:type="gramStart"/>
            <w:r>
              <w:rPr>
                <w:rFonts w:ascii="仿宋_GB2312" w:eastAsia="仿宋_GB2312" w:hAnsi="宋体" w:cs="宋体" w:hint="eastAsia"/>
                <w:kern w:val="0"/>
                <w:szCs w:val="21"/>
              </w:rPr>
              <w:t>赛事赛</w:t>
            </w:r>
            <w:proofErr w:type="gramEnd"/>
            <w:r>
              <w:rPr>
                <w:rFonts w:ascii="仿宋_GB2312" w:eastAsia="仿宋_GB2312" w:hAnsi="宋体" w:cs="宋体" w:hint="eastAsia"/>
                <w:kern w:val="0"/>
                <w:szCs w:val="21"/>
              </w:rPr>
              <w:t>内检查50</w:t>
            </w:r>
            <w:proofErr w:type="gramStart"/>
            <w:r>
              <w:rPr>
                <w:rFonts w:ascii="仿宋_GB2312" w:eastAsia="仿宋_GB2312" w:hAnsi="宋体" w:cs="宋体" w:hint="eastAsia"/>
                <w:kern w:val="0"/>
                <w:szCs w:val="21"/>
              </w:rPr>
              <w:t>例未能</w:t>
            </w:r>
            <w:proofErr w:type="gramEnd"/>
            <w:r>
              <w:rPr>
                <w:rFonts w:ascii="仿宋_GB2312" w:eastAsia="仿宋_GB2312" w:hAnsi="宋体" w:cs="宋体" w:hint="eastAsia"/>
                <w:kern w:val="0"/>
                <w:szCs w:val="21"/>
              </w:rPr>
              <w:t>完成。</w:t>
            </w:r>
            <w:bookmarkEnd w:id="0"/>
          </w:p>
        </w:tc>
      </w:tr>
      <w:tr w:rsidR="00936ECC">
        <w:trPr>
          <w:trHeight w:hRule="exact" w:val="6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58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高危项目覆盖数量</w:t>
            </w:r>
          </w:p>
        </w:tc>
        <w:tc>
          <w:tcPr>
            <w:tcW w:w="124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8项</w:t>
            </w:r>
          </w:p>
        </w:tc>
        <w:tc>
          <w:tcPr>
            <w:tcW w:w="1008"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8项</w:t>
            </w:r>
          </w:p>
        </w:tc>
        <w:tc>
          <w:tcPr>
            <w:tcW w:w="563"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45"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31" w:type="dxa"/>
            <w:gridSpan w:val="2"/>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r>
      <w:tr w:rsidR="00936ECC">
        <w:trPr>
          <w:trHeight w:hRule="exact" w:val="5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58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检查目标运动员</w:t>
            </w:r>
          </w:p>
        </w:tc>
        <w:tc>
          <w:tcPr>
            <w:tcW w:w="124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20人</w:t>
            </w:r>
          </w:p>
        </w:tc>
        <w:tc>
          <w:tcPr>
            <w:tcW w:w="1008"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20人</w:t>
            </w:r>
          </w:p>
        </w:tc>
        <w:tc>
          <w:tcPr>
            <w:tcW w:w="563"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745"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231" w:type="dxa"/>
            <w:gridSpan w:val="2"/>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r>
      <w:tr w:rsidR="00936ECC">
        <w:trPr>
          <w:trHeight w:hRule="exact" w:val="55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58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检查比赛项目覆盖率</w:t>
            </w:r>
          </w:p>
        </w:tc>
        <w:tc>
          <w:tcPr>
            <w:tcW w:w="124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1008"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94％</w:t>
            </w:r>
          </w:p>
        </w:tc>
        <w:tc>
          <w:tcPr>
            <w:tcW w:w="563"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45"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31" w:type="dxa"/>
            <w:gridSpan w:val="2"/>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r>
      <w:tr w:rsidR="00936ECC">
        <w:trPr>
          <w:trHeight w:hRule="exact" w:val="54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58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根据比赛赛程完成检查</w:t>
            </w:r>
          </w:p>
        </w:tc>
        <w:tc>
          <w:tcPr>
            <w:tcW w:w="124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优良中低差</w:t>
            </w:r>
          </w:p>
        </w:tc>
        <w:tc>
          <w:tcPr>
            <w:tcW w:w="1008"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563"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745"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231" w:type="dxa"/>
            <w:gridSpan w:val="2"/>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r>
      <w:tr w:rsidR="00936ECC">
        <w:trPr>
          <w:trHeight w:hRule="exact" w:val="82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58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预算控制数</w:t>
            </w:r>
          </w:p>
        </w:tc>
        <w:tc>
          <w:tcPr>
            <w:tcW w:w="124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≤124.0768万元</w:t>
            </w:r>
          </w:p>
        </w:tc>
        <w:tc>
          <w:tcPr>
            <w:tcW w:w="1008"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86.139744万元</w:t>
            </w:r>
          </w:p>
        </w:tc>
        <w:tc>
          <w:tcPr>
            <w:tcW w:w="563"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745"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231" w:type="dxa"/>
            <w:gridSpan w:val="2"/>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r>
      <w:tr w:rsidR="00936ECC">
        <w:trPr>
          <w:trHeight w:hRule="exact" w:val="60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58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未成年运动员陪同检查率</w:t>
            </w:r>
          </w:p>
        </w:tc>
        <w:tc>
          <w:tcPr>
            <w:tcW w:w="124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1008"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45"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31" w:type="dxa"/>
            <w:gridSpan w:val="2"/>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r>
      <w:tr w:rsidR="00936ECC">
        <w:trPr>
          <w:trHeight w:hRule="exact" w:val="49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158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left"/>
              <w:rPr>
                <w:rFonts w:ascii="仿宋_GB2312" w:eastAsia="仿宋_GB2312" w:hAnsi="宋体" w:cs="宋体"/>
                <w:color w:val="000000"/>
                <w:kern w:val="0"/>
                <w:szCs w:val="21"/>
              </w:rPr>
            </w:pPr>
            <w:proofErr w:type="gramStart"/>
            <w:r>
              <w:rPr>
                <w:rFonts w:ascii="仿宋_GB2312" w:eastAsia="仿宋_GB2312" w:hAnsi="宋体" w:cs="宋体" w:hint="eastAsia"/>
                <w:color w:val="000000"/>
                <w:kern w:val="0"/>
                <w:szCs w:val="21"/>
              </w:rPr>
              <w:t>送检率</w:t>
            </w:r>
            <w:proofErr w:type="gramEnd"/>
          </w:p>
        </w:tc>
        <w:tc>
          <w:tcPr>
            <w:tcW w:w="124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1008"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745"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231" w:type="dxa"/>
            <w:gridSpan w:val="2"/>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r>
      <w:tr w:rsidR="00936ECC">
        <w:trPr>
          <w:trHeight w:hRule="exact" w:val="7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1581"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运动员受检意见率</w:t>
            </w:r>
          </w:p>
        </w:tc>
        <w:tc>
          <w:tcPr>
            <w:tcW w:w="1245"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低于5％</w:t>
            </w:r>
          </w:p>
        </w:tc>
        <w:tc>
          <w:tcPr>
            <w:tcW w:w="1008" w:type="dxa"/>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45"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231" w:type="dxa"/>
            <w:gridSpan w:val="2"/>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r>
      <w:tr w:rsidR="00936ECC">
        <w:trPr>
          <w:trHeight w:hRule="exact" w:val="587"/>
          <w:jc w:val="center"/>
        </w:trPr>
        <w:tc>
          <w:tcPr>
            <w:tcW w:w="6499" w:type="dxa"/>
            <w:gridSpan w:val="7"/>
            <w:tcBorders>
              <w:top w:val="single" w:sz="4" w:space="0" w:color="auto"/>
              <w:left w:val="single" w:sz="4" w:space="0" w:color="auto"/>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745" w:type="dxa"/>
            <w:gridSpan w:val="2"/>
            <w:tcBorders>
              <w:top w:val="single" w:sz="4" w:space="0" w:color="auto"/>
              <w:left w:val="nil"/>
              <w:bottom w:val="single" w:sz="4" w:space="0" w:color="auto"/>
              <w:right w:val="single" w:sz="4" w:space="0" w:color="auto"/>
            </w:tcBorders>
            <w:vAlign w:val="center"/>
          </w:tcPr>
          <w:p w:rsidR="00936ECC" w:rsidRDefault="00A04AF8">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92.94</w:t>
            </w:r>
          </w:p>
        </w:tc>
        <w:tc>
          <w:tcPr>
            <w:tcW w:w="1231" w:type="dxa"/>
            <w:gridSpan w:val="2"/>
            <w:tcBorders>
              <w:top w:val="single" w:sz="4" w:space="0" w:color="auto"/>
              <w:left w:val="nil"/>
              <w:bottom w:val="single" w:sz="4" w:space="0" w:color="auto"/>
              <w:right w:val="single" w:sz="4" w:space="0" w:color="auto"/>
            </w:tcBorders>
            <w:vAlign w:val="center"/>
          </w:tcPr>
          <w:p w:rsidR="00936ECC" w:rsidRDefault="00936ECC">
            <w:pPr>
              <w:widowControl/>
              <w:spacing w:line="240" w:lineRule="exact"/>
              <w:jc w:val="center"/>
              <w:rPr>
                <w:rFonts w:ascii="仿宋_GB2312" w:eastAsia="仿宋_GB2312" w:hAnsi="宋体" w:cs="宋体"/>
                <w:kern w:val="0"/>
                <w:szCs w:val="21"/>
              </w:rPr>
            </w:pPr>
          </w:p>
        </w:tc>
      </w:tr>
    </w:tbl>
    <w:p w:rsidR="00936ECC" w:rsidRDefault="00936ECC">
      <w:pPr>
        <w:rPr>
          <w:rFonts w:ascii="仿宋_GB2312" w:eastAsia="仿宋_GB2312"/>
          <w:vanish/>
          <w:sz w:val="32"/>
          <w:szCs w:val="32"/>
        </w:rPr>
      </w:pPr>
    </w:p>
    <w:p w:rsidR="00936ECC" w:rsidRDefault="00936ECC">
      <w:pPr>
        <w:widowControl/>
        <w:jc w:val="left"/>
        <w:rPr>
          <w:rFonts w:ascii="仿宋_GB2312" w:eastAsia="仿宋_GB2312"/>
          <w:sz w:val="24"/>
        </w:rPr>
      </w:pPr>
    </w:p>
    <w:p w:rsidR="00936ECC" w:rsidRDefault="00936ECC">
      <w:pPr>
        <w:spacing w:line="520" w:lineRule="exact"/>
        <w:ind w:firstLineChars="200" w:firstLine="640"/>
        <w:rPr>
          <w:rFonts w:ascii="仿宋_GB2312" w:eastAsia="仿宋_GB2312" w:hAnsi="宋体" w:cs="宋体"/>
          <w:color w:val="000000"/>
          <w:kern w:val="0"/>
          <w:sz w:val="32"/>
          <w:szCs w:val="32"/>
        </w:rPr>
      </w:pPr>
    </w:p>
    <w:sectPr w:rsidR="00936ECC">
      <w:footerReference w:type="default" r:id="rId7"/>
      <w:pgSz w:w="11906" w:h="16838"/>
      <w:pgMar w:top="1440" w:right="1588" w:bottom="1440"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9CC" w:rsidRDefault="00D909CC">
      <w:r>
        <w:separator/>
      </w:r>
    </w:p>
  </w:endnote>
  <w:endnote w:type="continuationSeparator" w:id="0">
    <w:p w:rsidR="00D909CC" w:rsidRDefault="00D90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CC" w:rsidRDefault="00A04AF8">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36ECC" w:rsidRDefault="00936ECC">
                          <w:pPr>
                            <w:pStyle w:val="a5"/>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936ECC" w:rsidRDefault="00936ECC">
                    <w:pPr>
                      <w:pStyle w:val="a5"/>
                      <w:jc w:val="right"/>
                    </w:pPr>
                  </w:p>
                </w:txbxContent>
              </v:textbox>
              <w10:wrap anchorx="margin"/>
            </v:shape>
          </w:pict>
        </mc:Fallback>
      </mc:AlternateContent>
    </w:r>
  </w:p>
  <w:p w:rsidR="00936ECC" w:rsidRDefault="00936E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9CC" w:rsidRDefault="00D909CC">
      <w:r>
        <w:separator/>
      </w:r>
    </w:p>
  </w:footnote>
  <w:footnote w:type="continuationSeparator" w:id="0">
    <w:p w:rsidR="00D909CC" w:rsidRDefault="00D909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zE1OTA4YzgxZDhkMDc2MmYwNGYwMWY2YjM2YzgifQ=="/>
  </w:docVars>
  <w:rsids>
    <w:rsidRoot w:val="F77F09F4"/>
    <w:rsid w:val="CEFD3F3D"/>
    <w:rsid w:val="EA3F77F2"/>
    <w:rsid w:val="EEFE5989"/>
    <w:rsid w:val="EFCF3EAE"/>
    <w:rsid w:val="F5B764A2"/>
    <w:rsid w:val="F77F09F4"/>
    <w:rsid w:val="FFD7BFFC"/>
    <w:rsid w:val="00105F46"/>
    <w:rsid w:val="004510F9"/>
    <w:rsid w:val="004A6DB5"/>
    <w:rsid w:val="004F5598"/>
    <w:rsid w:val="006656AE"/>
    <w:rsid w:val="00687775"/>
    <w:rsid w:val="007178E4"/>
    <w:rsid w:val="007308DE"/>
    <w:rsid w:val="007312D4"/>
    <w:rsid w:val="0073270D"/>
    <w:rsid w:val="007779A4"/>
    <w:rsid w:val="00784E19"/>
    <w:rsid w:val="007872D7"/>
    <w:rsid w:val="008937B0"/>
    <w:rsid w:val="008C1EEF"/>
    <w:rsid w:val="00936ECC"/>
    <w:rsid w:val="00964477"/>
    <w:rsid w:val="009E4B39"/>
    <w:rsid w:val="00A04AF8"/>
    <w:rsid w:val="00A60F66"/>
    <w:rsid w:val="00A92A5B"/>
    <w:rsid w:val="00B10CAF"/>
    <w:rsid w:val="00B30BA4"/>
    <w:rsid w:val="00B758E4"/>
    <w:rsid w:val="00BC6C01"/>
    <w:rsid w:val="00CF6022"/>
    <w:rsid w:val="00D37BDF"/>
    <w:rsid w:val="00D63BC5"/>
    <w:rsid w:val="00D909CC"/>
    <w:rsid w:val="00EA15E2"/>
    <w:rsid w:val="00F30751"/>
    <w:rsid w:val="00F61447"/>
    <w:rsid w:val="00FD0CB7"/>
    <w:rsid w:val="0BA135F1"/>
    <w:rsid w:val="18A548D8"/>
    <w:rsid w:val="25577CC0"/>
    <w:rsid w:val="2C7F39CF"/>
    <w:rsid w:val="37173543"/>
    <w:rsid w:val="3E0C4078"/>
    <w:rsid w:val="3FF76880"/>
    <w:rsid w:val="44406B28"/>
    <w:rsid w:val="500024AE"/>
    <w:rsid w:val="59B02C2A"/>
    <w:rsid w:val="62077AC9"/>
    <w:rsid w:val="676D2CAB"/>
    <w:rsid w:val="680A3BCF"/>
    <w:rsid w:val="6C7E501D"/>
    <w:rsid w:val="6EB51EC1"/>
    <w:rsid w:val="71206AAF"/>
    <w:rsid w:val="77D5203F"/>
    <w:rsid w:val="7AB7FF50"/>
    <w:rsid w:val="7BFEB0DB"/>
    <w:rsid w:val="7D160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893952-5F4C-48E4-84CE-5972BBAC8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a4">
    <w:name w:val="批注框文本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122</Words>
  <Characters>699</Characters>
  <Application>Microsoft Office Word</Application>
  <DocSecurity>0</DocSecurity>
  <Lines>5</Lines>
  <Paragraphs>1</Paragraphs>
  <ScaleCrop>false</ScaleCrop>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tyj</cp:lastModifiedBy>
  <cp:revision>21</cp:revision>
  <cp:lastPrinted>2023-05-17T02:22:00Z</cp:lastPrinted>
  <dcterms:created xsi:type="dcterms:W3CDTF">2022-03-09T19:16:00Z</dcterms:created>
  <dcterms:modified xsi:type="dcterms:W3CDTF">2023-08-28T08:12:00Z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7384D640876E41B6916DA910C9DC5449_12</vt:lpwstr>
  </property>
</Properties>
</file>