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232AA">
      <w:pPr>
        <w:spacing w:afterLines="100"/>
        <w:ind w:firstLine="880" w:firstLineChars="200"/>
        <w:jc w:val="center"/>
        <w:rPr>
          <w:rFonts w:ascii="方正小标宋简体" w:hAnsi="Leelawadee UI" w:eastAsia="方正小标宋简体" w:cs="Leelawadee UI"/>
          <w:bCs/>
          <w:color w:val="auto"/>
          <w:kern w:val="0"/>
          <w:sz w:val="44"/>
          <w:szCs w:val="28"/>
          <w:highlight w:val="none"/>
        </w:rPr>
      </w:pPr>
      <w:bookmarkStart w:id="99" w:name="_GoBack"/>
      <w:bookmarkEnd w:id="99"/>
    </w:p>
    <w:p w14:paraId="6E5CA264">
      <w:pPr>
        <w:spacing w:afterLines="100"/>
        <w:ind w:firstLine="880" w:firstLineChars="200"/>
        <w:jc w:val="center"/>
        <w:rPr>
          <w:rFonts w:ascii="方正小标宋简体" w:hAnsi="Leelawadee UI" w:eastAsia="方正小标宋简体" w:cs="Leelawadee UI"/>
          <w:bCs/>
          <w:color w:val="auto"/>
          <w:kern w:val="0"/>
          <w:sz w:val="44"/>
          <w:szCs w:val="28"/>
          <w:highlight w:val="none"/>
        </w:rPr>
      </w:pPr>
    </w:p>
    <w:p w14:paraId="7E181551">
      <w:pPr>
        <w:spacing w:afterLines="100"/>
        <w:ind w:firstLine="0" w:firstLineChars="0"/>
        <w:jc w:val="center"/>
        <w:rPr>
          <w:rFonts w:ascii="方正小标宋简体" w:hAnsi="Leelawadee UI" w:eastAsia="方正小标宋简体" w:cs="Leelawadee UI"/>
          <w:bCs/>
          <w:color w:val="auto"/>
          <w:kern w:val="0"/>
          <w:sz w:val="44"/>
          <w:szCs w:val="28"/>
          <w:highlight w:val="none"/>
        </w:rPr>
      </w:pPr>
      <w:r>
        <w:rPr>
          <w:rFonts w:hint="eastAsia" w:ascii="方正小标宋简体" w:hAnsi="Leelawadee UI" w:eastAsia="方正小标宋简体" w:cs="Leelawadee UI"/>
          <w:bCs/>
          <w:color w:val="auto"/>
          <w:kern w:val="0"/>
          <w:sz w:val="44"/>
          <w:szCs w:val="28"/>
          <w:highlight w:val="none"/>
        </w:rPr>
        <w:t>北京市市级财政支出项目</w:t>
      </w:r>
    </w:p>
    <w:p w14:paraId="26531F6E">
      <w:pPr>
        <w:spacing w:afterLines="100"/>
        <w:ind w:firstLine="0" w:firstLineChars="0"/>
        <w:jc w:val="center"/>
        <w:rPr>
          <w:rFonts w:ascii="方正小标宋简体" w:hAnsi="Leelawadee UI" w:eastAsia="方正小标宋简体" w:cs="Leelawadee UI"/>
          <w:bCs/>
          <w:color w:val="auto"/>
          <w:kern w:val="0"/>
          <w:sz w:val="44"/>
          <w:szCs w:val="28"/>
          <w:highlight w:val="none"/>
        </w:rPr>
      </w:pPr>
      <w:r>
        <w:rPr>
          <w:rFonts w:hint="eastAsia" w:ascii="方正小标宋简体" w:hAnsi="Leelawadee UI" w:eastAsia="方正小标宋简体" w:cs="Leelawadee UI"/>
          <w:bCs/>
          <w:color w:val="auto"/>
          <w:kern w:val="0"/>
          <w:sz w:val="44"/>
          <w:szCs w:val="28"/>
          <w:highlight w:val="none"/>
        </w:rPr>
        <w:t>绩效评价报告</w:t>
      </w:r>
    </w:p>
    <w:p w14:paraId="7B4BE910">
      <w:pPr>
        <w:snapToGrid w:val="0"/>
        <w:spacing w:afterLines="100"/>
        <w:rPr>
          <w:rFonts w:eastAsia="仿宋_GB2312"/>
          <w:b/>
          <w:bCs/>
          <w:color w:val="auto"/>
          <w:sz w:val="36"/>
          <w:szCs w:val="20"/>
          <w:highlight w:val="none"/>
        </w:rPr>
      </w:pPr>
    </w:p>
    <w:p w14:paraId="3BC44840">
      <w:pPr>
        <w:snapToGrid w:val="0"/>
        <w:spacing w:afterLines="100"/>
        <w:ind w:firstLine="723" w:firstLineChars="200"/>
        <w:rPr>
          <w:rFonts w:eastAsia="仿宋_GB2312"/>
          <w:b/>
          <w:bCs/>
          <w:color w:val="auto"/>
          <w:sz w:val="36"/>
          <w:szCs w:val="20"/>
          <w:highlight w:val="none"/>
        </w:rPr>
      </w:pPr>
    </w:p>
    <w:p w14:paraId="44E00315">
      <w:pPr>
        <w:spacing w:afterLines="100"/>
        <w:rPr>
          <w:rFonts w:ascii="仿宋_GB2312" w:hAnsi="宋体" w:eastAsia="仿宋_GB2312"/>
          <w:bCs/>
          <w:color w:val="auto"/>
          <w:kern w:val="0"/>
          <w:sz w:val="32"/>
          <w:szCs w:val="28"/>
          <w:highlight w:val="none"/>
        </w:rPr>
      </w:pPr>
      <w:r>
        <w:rPr>
          <w:rFonts w:hint="eastAsia" w:ascii="仿宋_GB2312" w:hAnsi="宋体" w:eastAsia="仿宋_GB2312"/>
          <w:bCs/>
          <w:color w:val="auto"/>
          <w:kern w:val="0"/>
          <w:sz w:val="32"/>
          <w:szCs w:val="28"/>
          <w:highlight w:val="none"/>
        </w:rPr>
        <w:t>主管部门</w:t>
      </w:r>
      <w:r>
        <w:rPr>
          <w:rFonts w:hint="eastAsia" w:ascii="仿宋_GB2312" w:hAnsi="宋体" w:eastAsia="仿宋_GB2312"/>
          <w:bCs/>
          <w:color w:val="auto"/>
          <w:kern w:val="0"/>
          <w:sz w:val="32"/>
          <w:szCs w:val="28"/>
          <w:highlight w:val="none"/>
          <w:u w:val="single"/>
        </w:rPr>
        <w:t xml:space="preserve">            </w:t>
      </w:r>
      <w:r>
        <w:rPr>
          <w:rFonts w:hint="eastAsia" w:ascii="仿宋_GB2312" w:hAnsi="宋体" w:eastAsia="仿宋_GB2312"/>
          <w:bCs/>
          <w:color w:val="auto"/>
          <w:kern w:val="0"/>
          <w:sz w:val="32"/>
          <w:szCs w:val="28"/>
          <w:highlight w:val="none"/>
          <w:u w:val="single"/>
          <w:lang w:val="en-US" w:eastAsia="zh-CN"/>
        </w:rPr>
        <w:t xml:space="preserve">  </w:t>
      </w:r>
      <w:r>
        <w:rPr>
          <w:rFonts w:hint="eastAsia" w:ascii="仿宋_GB2312" w:hAnsi="宋体" w:eastAsia="仿宋_GB2312"/>
          <w:bCs/>
          <w:color w:val="auto"/>
          <w:kern w:val="0"/>
          <w:sz w:val="32"/>
          <w:szCs w:val="28"/>
          <w:highlight w:val="none"/>
          <w:u w:val="single"/>
        </w:rPr>
        <w:t xml:space="preserve"> 北京市</w:t>
      </w:r>
      <w:r>
        <w:rPr>
          <w:rFonts w:hint="eastAsia" w:ascii="仿宋_GB2312" w:hAnsi="宋体" w:eastAsia="仿宋_GB2312"/>
          <w:bCs/>
          <w:color w:val="auto"/>
          <w:kern w:val="0"/>
          <w:sz w:val="32"/>
          <w:szCs w:val="28"/>
          <w:highlight w:val="none"/>
          <w:u w:val="single"/>
          <w:lang w:val="en-US" w:eastAsia="zh-CN"/>
        </w:rPr>
        <w:t>体育局</w:t>
      </w:r>
      <w:r>
        <w:rPr>
          <w:rFonts w:hint="eastAsia" w:ascii="仿宋_GB2312" w:hAnsi="宋体" w:eastAsia="仿宋_GB2312"/>
          <w:bCs/>
          <w:color w:val="auto"/>
          <w:kern w:val="0"/>
          <w:sz w:val="32"/>
          <w:szCs w:val="28"/>
          <w:highlight w:val="none"/>
          <w:u w:val="single"/>
        </w:rPr>
        <w:t xml:space="preserve">                 </w:t>
      </w:r>
    </w:p>
    <w:p w14:paraId="44888A15">
      <w:pPr>
        <w:spacing w:afterLines="100"/>
        <w:rPr>
          <w:rFonts w:ascii="仿宋_GB2312" w:hAnsi="宋体" w:eastAsia="仿宋_GB2312"/>
          <w:bCs/>
          <w:color w:val="auto"/>
          <w:kern w:val="0"/>
          <w:sz w:val="32"/>
          <w:szCs w:val="28"/>
          <w:highlight w:val="none"/>
        </w:rPr>
      </w:pPr>
      <w:r>
        <w:rPr>
          <w:rFonts w:hint="eastAsia" w:ascii="仿宋_GB2312" w:hAnsi="宋体" w:eastAsia="仿宋_GB2312"/>
          <w:bCs/>
          <w:color w:val="auto"/>
          <w:kern w:val="0"/>
          <w:sz w:val="32"/>
          <w:szCs w:val="28"/>
          <w:highlight w:val="none"/>
        </w:rPr>
        <w:t>项目单位</w:t>
      </w:r>
      <w:r>
        <w:rPr>
          <w:rFonts w:hint="eastAsia" w:ascii="仿宋_GB2312" w:hAnsi="宋体" w:eastAsia="仿宋_GB2312"/>
          <w:bCs/>
          <w:color w:val="auto"/>
          <w:kern w:val="0"/>
          <w:sz w:val="32"/>
          <w:szCs w:val="28"/>
          <w:highlight w:val="none"/>
          <w:u w:val="single"/>
        </w:rPr>
        <w:t xml:space="preserve">           </w:t>
      </w:r>
      <w:r>
        <w:rPr>
          <w:rFonts w:hint="eastAsia" w:ascii="仿宋_GB2312" w:hAnsi="宋体" w:eastAsia="仿宋_GB2312"/>
          <w:bCs/>
          <w:color w:val="auto"/>
          <w:kern w:val="0"/>
          <w:sz w:val="32"/>
          <w:szCs w:val="28"/>
          <w:highlight w:val="none"/>
          <w:u w:val="single"/>
          <w:lang w:val="en-US" w:eastAsia="zh-CN"/>
        </w:rPr>
        <w:t xml:space="preserve">  </w:t>
      </w:r>
      <w:r>
        <w:rPr>
          <w:rFonts w:hint="eastAsia" w:ascii="仿宋_GB2312" w:hAnsi="宋体" w:eastAsia="仿宋_GB2312"/>
          <w:bCs/>
          <w:color w:val="auto"/>
          <w:kern w:val="0"/>
          <w:sz w:val="32"/>
          <w:szCs w:val="28"/>
          <w:highlight w:val="none"/>
          <w:u w:val="single"/>
        </w:rPr>
        <w:t xml:space="preserve">北京体育职业学院               </w:t>
      </w:r>
    </w:p>
    <w:p w14:paraId="320E98F9">
      <w:pPr>
        <w:spacing w:afterLines="100"/>
        <w:ind w:left="1280" w:hanging="1280" w:hangingChars="400"/>
        <w:rPr>
          <w:rFonts w:hint="eastAsia" w:ascii="仿宋_GB2312" w:hAnsi="宋体" w:eastAsia="仿宋_GB2312"/>
          <w:bCs/>
          <w:color w:val="auto"/>
          <w:kern w:val="0"/>
          <w:sz w:val="32"/>
          <w:szCs w:val="28"/>
          <w:highlight w:val="none"/>
          <w:u w:val="single"/>
        </w:rPr>
      </w:pPr>
      <w:r>
        <w:rPr>
          <w:rFonts w:hint="eastAsia" w:ascii="仿宋_GB2312" w:hAnsi="宋体" w:eastAsia="仿宋_GB2312"/>
          <w:bCs/>
          <w:color w:val="auto"/>
          <w:kern w:val="0"/>
          <w:sz w:val="32"/>
          <w:szCs w:val="28"/>
          <w:highlight w:val="none"/>
        </w:rPr>
        <w:t>项目名称</w:t>
      </w:r>
      <w:r>
        <w:rPr>
          <w:rFonts w:hint="eastAsia" w:ascii="仿宋_GB2312" w:hAnsi="宋体" w:eastAsia="仿宋_GB2312"/>
          <w:bCs/>
          <w:color w:val="auto"/>
          <w:kern w:val="0"/>
          <w:sz w:val="32"/>
          <w:szCs w:val="28"/>
          <w:highlight w:val="none"/>
          <w:u w:val="single"/>
          <w:lang w:val="en-US" w:eastAsia="zh-CN"/>
        </w:rPr>
        <w:t xml:space="preserve"> </w:t>
      </w:r>
      <w:r>
        <w:rPr>
          <w:rFonts w:hint="eastAsia" w:ascii="仿宋_GB2312" w:hAnsi="宋体" w:eastAsia="仿宋_GB2312"/>
          <w:bCs/>
          <w:color w:val="auto"/>
          <w:kern w:val="0"/>
          <w:sz w:val="32"/>
          <w:szCs w:val="28"/>
          <w:highlight w:val="none"/>
          <w:u w:val="single"/>
        </w:rPr>
        <w:t>北京市特色高水平骨干专业（群）-运动与健康专</w:t>
      </w:r>
    </w:p>
    <w:p w14:paraId="58248604">
      <w:pPr>
        <w:spacing w:afterLines="100"/>
        <w:ind w:left="1277" w:leftChars="608" w:firstLine="0" w:firstLineChars="0"/>
        <w:rPr>
          <w:rFonts w:hint="default" w:ascii="仿宋_GB2312" w:hAnsi="宋体" w:eastAsia="仿宋_GB2312"/>
          <w:bCs/>
          <w:color w:val="auto"/>
          <w:kern w:val="0"/>
          <w:sz w:val="32"/>
          <w:szCs w:val="28"/>
          <w:highlight w:val="none"/>
          <w:u w:val="single"/>
          <w:lang w:val="en-US" w:eastAsia="zh-CN"/>
        </w:rPr>
      </w:pPr>
      <w:r>
        <w:rPr>
          <w:rFonts w:hint="eastAsia" w:ascii="仿宋_GB2312" w:hAnsi="宋体" w:eastAsia="仿宋_GB2312"/>
          <w:bCs/>
          <w:color w:val="auto"/>
          <w:kern w:val="0"/>
          <w:sz w:val="32"/>
          <w:szCs w:val="28"/>
          <w:highlight w:val="none"/>
          <w:u w:val="single"/>
        </w:rPr>
        <w:t>业群</w:t>
      </w:r>
      <w:r>
        <w:rPr>
          <w:rFonts w:hint="eastAsia" w:ascii="仿宋_GB2312" w:hAnsi="宋体" w:eastAsia="仿宋_GB2312"/>
          <w:bCs/>
          <w:color w:val="auto"/>
          <w:kern w:val="0"/>
          <w:sz w:val="32"/>
          <w:szCs w:val="28"/>
          <w:highlight w:val="none"/>
          <w:u w:val="single"/>
          <w:lang w:val="en-US" w:eastAsia="zh-CN"/>
        </w:rPr>
        <w:t xml:space="preserve">                                        </w:t>
      </w:r>
    </w:p>
    <w:p w14:paraId="7D04213C">
      <w:pPr>
        <w:ind w:firstLine="643" w:firstLineChars="200"/>
        <w:jc w:val="center"/>
        <w:rPr>
          <w:rFonts w:ascii="黑体" w:eastAsia="黑体"/>
          <w:b/>
          <w:color w:val="auto"/>
          <w:sz w:val="32"/>
          <w:szCs w:val="20"/>
          <w:highlight w:val="none"/>
        </w:rPr>
      </w:pPr>
    </w:p>
    <w:p w14:paraId="7EEB0889">
      <w:pPr>
        <w:pStyle w:val="18"/>
        <w:rPr>
          <w:color w:val="auto"/>
          <w:highlight w:val="none"/>
        </w:rPr>
      </w:pPr>
    </w:p>
    <w:p w14:paraId="4D7D6304">
      <w:pPr>
        <w:ind w:firstLine="643" w:firstLineChars="200"/>
        <w:jc w:val="center"/>
        <w:rPr>
          <w:rFonts w:ascii="黑体" w:eastAsia="黑体"/>
          <w:b/>
          <w:color w:val="auto"/>
          <w:sz w:val="32"/>
          <w:szCs w:val="20"/>
          <w:highlight w:val="none"/>
        </w:rPr>
      </w:pPr>
    </w:p>
    <w:p w14:paraId="3875A004">
      <w:pPr>
        <w:ind w:firstLine="643" w:firstLineChars="200"/>
        <w:jc w:val="center"/>
        <w:rPr>
          <w:rFonts w:hint="eastAsia" w:ascii="黑体" w:eastAsia="黑体"/>
          <w:b/>
          <w:color w:val="auto"/>
          <w:sz w:val="32"/>
          <w:szCs w:val="20"/>
          <w:highlight w:val="none"/>
        </w:rPr>
      </w:pPr>
      <w:r>
        <w:rPr>
          <w:rFonts w:hint="eastAsia" w:ascii="黑体" w:eastAsia="黑体"/>
          <w:b/>
          <w:color w:val="auto"/>
          <w:sz w:val="32"/>
          <w:szCs w:val="20"/>
          <w:highlight w:val="none"/>
        </w:rPr>
        <w:t>202</w:t>
      </w:r>
      <w:r>
        <w:rPr>
          <w:rFonts w:hint="eastAsia" w:ascii="黑体" w:eastAsia="黑体"/>
          <w:b/>
          <w:color w:val="auto"/>
          <w:sz w:val="32"/>
          <w:szCs w:val="20"/>
          <w:highlight w:val="none"/>
          <w:lang w:val="en-US" w:eastAsia="zh-CN"/>
        </w:rPr>
        <w:t>4</w:t>
      </w:r>
      <w:r>
        <w:rPr>
          <w:rFonts w:hint="eastAsia" w:ascii="黑体" w:eastAsia="黑体"/>
          <w:b/>
          <w:color w:val="auto"/>
          <w:sz w:val="32"/>
          <w:szCs w:val="20"/>
          <w:highlight w:val="none"/>
        </w:rPr>
        <w:t>年</w:t>
      </w:r>
      <w:r>
        <w:rPr>
          <w:rFonts w:hint="eastAsia" w:ascii="黑体" w:eastAsia="黑体"/>
          <w:b/>
          <w:color w:val="auto"/>
          <w:sz w:val="32"/>
          <w:szCs w:val="20"/>
          <w:highlight w:val="none"/>
          <w:lang w:val="en-US" w:eastAsia="zh-CN"/>
        </w:rPr>
        <w:t>5</w:t>
      </w:r>
      <w:r>
        <w:rPr>
          <w:rFonts w:hint="eastAsia" w:ascii="黑体" w:eastAsia="黑体"/>
          <w:b/>
          <w:color w:val="auto"/>
          <w:sz w:val="32"/>
          <w:szCs w:val="20"/>
          <w:highlight w:val="none"/>
        </w:rPr>
        <w:t>月</w:t>
      </w:r>
    </w:p>
    <w:p w14:paraId="3D427D3C">
      <w:pPr>
        <w:ind w:firstLine="643" w:firstLineChars="200"/>
        <w:jc w:val="center"/>
        <w:rPr>
          <w:rFonts w:hint="eastAsia" w:ascii="黑体" w:eastAsia="黑体"/>
          <w:b/>
          <w:color w:val="auto"/>
          <w:sz w:val="32"/>
          <w:szCs w:val="20"/>
          <w:highlight w:val="none"/>
        </w:rPr>
      </w:pPr>
    </w:p>
    <w:p w14:paraId="0935D176">
      <w:pPr>
        <w:pStyle w:val="18"/>
        <w:rPr>
          <w:rFonts w:hint="eastAsia"/>
          <w:color w:val="auto"/>
          <w:highlight w:val="none"/>
        </w:rPr>
      </w:pPr>
    </w:p>
    <w:p w14:paraId="34E2F01E">
      <w:pPr>
        <w:ind w:firstLine="643" w:firstLineChars="200"/>
        <w:jc w:val="center"/>
        <w:rPr>
          <w:rFonts w:hint="eastAsia" w:ascii="黑体" w:eastAsia="黑体"/>
          <w:b/>
          <w:color w:val="auto"/>
          <w:sz w:val="32"/>
          <w:szCs w:val="20"/>
          <w:highlight w:val="none"/>
        </w:rPr>
      </w:pPr>
      <w:r>
        <w:rPr>
          <w:rFonts w:hint="eastAsia" w:ascii="黑体" w:eastAsia="黑体"/>
          <w:b/>
          <w:color w:val="auto"/>
          <w:sz w:val="32"/>
          <w:szCs w:val="20"/>
          <w:highlight w:val="none"/>
          <w:lang w:eastAsia="zh-CN"/>
        </w:rPr>
        <w:drawing>
          <wp:anchor distT="0" distB="0" distL="114300" distR="114300" simplePos="0" relativeHeight="251660288" behindDoc="1" locked="0" layoutInCell="1" allowOverlap="1">
            <wp:simplePos x="0" y="0"/>
            <wp:positionH relativeFrom="column">
              <wp:posOffset>-64135</wp:posOffset>
            </wp:positionH>
            <wp:positionV relativeFrom="paragraph">
              <wp:posOffset>103505</wp:posOffset>
            </wp:positionV>
            <wp:extent cx="5416550" cy="3419475"/>
            <wp:effectExtent l="0" t="0" r="3175" b="0"/>
            <wp:wrapNone/>
            <wp:docPr id="2" name="图片 2" descr="23.1.2-项目实景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1.2-项目实景图（1）"/>
                    <pic:cNvPicPr>
                      <a:picLocks noChangeAspect="1"/>
                    </pic:cNvPicPr>
                  </pic:nvPicPr>
                  <pic:blipFill>
                    <a:blip r:embed="rId6"/>
                    <a:stretch>
                      <a:fillRect/>
                    </a:stretch>
                  </pic:blipFill>
                  <pic:spPr>
                    <a:xfrm>
                      <a:off x="0" y="0"/>
                      <a:ext cx="5416550" cy="3419475"/>
                    </a:xfrm>
                    <a:prstGeom prst="rect">
                      <a:avLst/>
                    </a:prstGeom>
                  </pic:spPr>
                </pic:pic>
              </a:graphicData>
            </a:graphic>
          </wp:anchor>
        </w:drawing>
      </w:r>
    </w:p>
    <w:p w14:paraId="4A4833D9">
      <w:pPr>
        <w:ind w:firstLine="643" w:firstLineChars="200"/>
        <w:jc w:val="center"/>
        <w:rPr>
          <w:rFonts w:hint="eastAsia" w:ascii="黑体" w:eastAsia="黑体"/>
          <w:b/>
          <w:color w:val="auto"/>
          <w:sz w:val="32"/>
          <w:szCs w:val="20"/>
          <w:highlight w:val="none"/>
        </w:rPr>
      </w:pPr>
    </w:p>
    <w:p w14:paraId="11332D2E">
      <w:pPr>
        <w:ind w:firstLine="643" w:firstLineChars="200"/>
        <w:jc w:val="center"/>
        <w:rPr>
          <w:rFonts w:hint="eastAsia" w:ascii="黑体" w:eastAsia="黑体"/>
          <w:b/>
          <w:color w:val="auto"/>
          <w:sz w:val="32"/>
          <w:szCs w:val="20"/>
          <w:highlight w:val="none"/>
        </w:rPr>
      </w:pPr>
    </w:p>
    <w:p w14:paraId="71CC56F6">
      <w:pPr>
        <w:ind w:firstLine="643" w:firstLineChars="200"/>
        <w:jc w:val="center"/>
        <w:rPr>
          <w:rFonts w:hint="eastAsia" w:ascii="黑体" w:eastAsia="黑体"/>
          <w:b/>
          <w:color w:val="auto"/>
          <w:sz w:val="32"/>
          <w:szCs w:val="20"/>
          <w:highlight w:val="none"/>
        </w:rPr>
      </w:pPr>
    </w:p>
    <w:p w14:paraId="542B946D">
      <w:pPr>
        <w:ind w:firstLine="643" w:firstLineChars="200"/>
        <w:jc w:val="center"/>
        <w:rPr>
          <w:rFonts w:hint="eastAsia" w:ascii="黑体" w:eastAsia="黑体"/>
          <w:b/>
          <w:color w:val="auto"/>
          <w:sz w:val="32"/>
          <w:szCs w:val="20"/>
          <w:highlight w:val="none"/>
        </w:rPr>
      </w:pPr>
    </w:p>
    <w:p w14:paraId="5E368928">
      <w:pPr>
        <w:ind w:firstLine="643" w:firstLineChars="200"/>
        <w:jc w:val="center"/>
        <w:rPr>
          <w:rFonts w:hint="eastAsia" w:ascii="黑体" w:eastAsia="黑体"/>
          <w:b/>
          <w:color w:val="auto"/>
          <w:sz w:val="32"/>
          <w:szCs w:val="20"/>
          <w:highlight w:val="none"/>
        </w:rPr>
      </w:pPr>
    </w:p>
    <w:p w14:paraId="5C3997E5">
      <w:pPr>
        <w:ind w:firstLine="643" w:firstLineChars="200"/>
        <w:jc w:val="center"/>
        <w:rPr>
          <w:rFonts w:hint="eastAsia" w:ascii="黑体" w:eastAsia="黑体"/>
          <w:b/>
          <w:color w:val="auto"/>
          <w:sz w:val="32"/>
          <w:szCs w:val="20"/>
          <w:highlight w:val="none"/>
        </w:rPr>
      </w:pPr>
    </w:p>
    <w:p w14:paraId="123D5763">
      <w:pPr>
        <w:ind w:firstLine="643" w:firstLineChars="200"/>
        <w:jc w:val="center"/>
        <w:rPr>
          <w:rFonts w:hint="eastAsia" w:ascii="黑体" w:eastAsia="黑体"/>
          <w:b/>
          <w:color w:val="auto"/>
          <w:sz w:val="32"/>
          <w:szCs w:val="20"/>
          <w:highlight w:val="none"/>
        </w:rPr>
      </w:pPr>
    </w:p>
    <w:p w14:paraId="61DE7313">
      <w:pPr>
        <w:ind w:firstLine="643" w:firstLineChars="200"/>
        <w:jc w:val="center"/>
        <w:rPr>
          <w:rFonts w:hint="eastAsia" w:ascii="黑体" w:eastAsia="黑体"/>
          <w:b/>
          <w:color w:val="auto"/>
          <w:sz w:val="32"/>
          <w:szCs w:val="20"/>
          <w:highlight w:val="none"/>
        </w:rPr>
      </w:pPr>
    </w:p>
    <w:p w14:paraId="77A3CAA3">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jc w:val="center"/>
        <w:textAlignment w:val="auto"/>
        <w:rPr>
          <w:rFonts w:hint="default" w:ascii="仿宋_GB2312" w:hAnsi="Times New Roman" w:eastAsia="仿宋_GB2312" w:cs="Times New Roman"/>
          <w:b/>
          <w:bCs/>
          <w:color w:val="auto"/>
          <w:sz w:val="32"/>
          <w:szCs w:val="32"/>
          <w:highlight w:val="none"/>
          <w:lang w:val="en-US" w:eastAsia="zh-CN"/>
        </w:rPr>
      </w:pPr>
      <w:r>
        <w:rPr>
          <w:b/>
          <w:bCs/>
          <w:color w:val="auto"/>
          <w:sz w:val="32"/>
          <w:szCs w:val="32"/>
          <w:highlight w:val="none"/>
        </w:rPr>
        <w:drawing>
          <wp:anchor distT="0" distB="0" distL="114300" distR="114300" simplePos="0" relativeHeight="251661312" behindDoc="1" locked="0" layoutInCell="1" allowOverlap="1">
            <wp:simplePos x="0" y="0"/>
            <wp:positionH relativeFrom="column">
              <wp:posOffset>-1270</wp:posOffset>
            </wp:positionH>
            <wp:positionV relativeFrom="paragraph">
              <wp:posOffset>522605</wp:posOffset>
            </wp:positionV>
            <wp:extent cx="5369560" cy="3630295"/>
            <wp:effectExtent l="0" t="0" r="254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369560" cy="3630295"/>
                    </a:xfrm>
                    <a:prstGeom prst="rect">
                      <a:avLst/>
                    </a:prstGeom>
                    <a:noFill/>
                    <a:ln>
                      <a:noFill/>
                    </a:ln>
                  </pic:spPr>
                </pic:pic>
              </a:graphicData>
            </a:graphic>
          </wp:anchor>
        </w:drawing>
      </w:r>
      <w:r>
        <w:rPr>
          <w:rFonts w:hint="default" w:ascii="仿宋_GB2312" w:hAnsi="Times New Roman" w:eastAsia="仿宋_GB2312" w:cs="Times New Roman"/>
          <w:b/>
          <w:bCs/>
          <w:color w:val="auto"/>
          <w:sz w:val="32"/>
          <w:szCs w:val="32"/>
          <w:highlight w:val="none"/>
          <w:lang w:val="en-US" w:eastAsia="zh-CN"/>
        </w:rPr>
        <w:t>实训教室</w:t>
      </w:r>
      <w:r>
        <w:rPr>
          <w:rFonts w:hint="eastAsia" w:ascii="仿宋_GB2312" w:hAnsi="Times New Roman" w:eastAsia="仿宋_GB2312" w:cs="Times New Roman"/>
          <w:b/>
          <w:bCs/>
          <w:color w:val="auto"/>
          <w:sz w:val="32"/>
          <w:szCs w:val="32"/>
          <w:highlight w:val="none"/>
          <w:lang w:val="en-US" w:eastAsia="zh-CN"/>
        </w:rPr>
        <w:t>实景图</w:t>
      </w:r>
    </w:p>
    <w:p w14:paraId="12C80695">
      <w:pPr>
        <w:ind w:firstLine="643" w:firstLineChars="200"/>
        <w:jc w:val="center"/>
        <w:rPr>
          <w:rFonts w:hint="eastAsia" w:ascii="黑体" w:eastAsia="黑体"/>
          <w:b/>
          <w:color w:val="auto"/>
          <w:sz w:val="32"/>
          <w:szCs w:val="20"/>
          <w:highlight w:val="none"/>
          <w:lang w:eastAsia="zh-CN"/>
        </w:rPr>
      </w:pPr>
    </w:p>
    <w:p w14:paraId="14EA82C2">
      <w:pPr>
        <w:ind w:firstLine="640" w:firstLineChars="200"/>
        <w:jc w:val="center"/>
        <w:rPr>
          <w:rFonts w:hint="default" w:ascii="仿宋_GB2312" w:hAnsi="仿宋_GB2312" w:eastAsia="仿宋_GB2312" w:cs="仿宋_GB2312"/>
          <w:color w:val="auto"/>
          <w:kern w:val="2"/>
          <w:sz w:val="32"/>
          <w:szCs w:val="32"/>
          <w:highlight w:val="none"/>
          <w:lang w:val="en-US" w:eastAsia="zh-CN" w:bidi="ar"/>
        </w:rPr>
      </w:pPr>
    </w:p>
    <w:p w14:paraId="6069D4AF">
      <w:pPr>
        <w:ind w:firstLine="640" w:firstLineChars="200"/>
        <w:jc w:val="center"/>
        <w:rPr>
          <w:rFonts w:hint="default" w:ascii="仿宋_GB2312" w:hAnsi="仿宋_GB2312" w:eastAsia="仿宋_GB2312" w:cs="仿宋_GB2312"/>
          <w:color w:val="auto"/>
          <w:kern w:val="2"/>
          <w:sz w:val="32"/>
          <w:szCs w:val="32"/>
          <w:highlight w:val="none"/>
          <w:lang w:val="en-US" w:eastAsia="zh-CN" w:bidi="ar"/>
        </w:rPr>
      </w:pPr>
    </w:p>
    <w:p w14:paraId="3CE2ABB2">
      <w:pPr>
        <w:ind w:firstLine="640" w:firstLineChars="200"/>
        <w:jc w:val="center"/>
        <w:rPr>
          <w:rFonts w:hint="default" w:ascii="仿宋_GB2312" w:hAnsi="仿宋_GB2312" w:eastAsia="仿宋_GB2312" w:cs="仿宋_GB2312"/>
          <w:color w:val="auto"/>
          <w:kern w:val="2"/>
          <w:sz w:val="32"/>
          <w:szCs w:val="32"/>
          <w:highlight w:val="none"/>
          <w:lang w:val="en-US" w:eastAsia="zh-CN" w:bidi="ar"/>
        </w:rPr>
      </w:pPr>
    </w:p>
    <w:p w14:paraId="546FF434">
      <w:pPr>
        <w:ind w:firstLine="640" w:firstLineChars="200"/>
        <w:jc w:val="center"/>
        <w:rPr>
          <w:rFonts w:hint="default" w:ascii="仿宋_GB2312" w:hAnsi="仿宋_GB2312" w:eastAsia="仿宋_GB2312" w:cs="仿宋_GB2312"/>
          <w:color w:val="auto"/>
          <w:kern w:val="2"/>
          <w:sz w:val="32"/>
          <w:szCs w:val="32"/>
          <w:highlight w:val="none"/>
          <w:lang w:val="en-US" w:eastAsia="zh-CN" w:bidi="ar"/>
        </w:rPr>
      </w:pPr>
    </w:p>
    <w:p w14:paraId="67A78FE2">
      <w:pPr>
        <w:ind w:firstLine="640" w:firstLineChars="200"/>
        <w:jc w:val="center"/>
        <w:rPr>
          <w:rFonts w:hint="default" w:ascii="仿宋_GB2312" w:hAnsi="仿宋_GB2312" w:eastAsia="仿宋_GB2312" w:cs="仿宋_GB2312"/>
          <w:color w:val="auto"/>
          <w:kern w:val="2"/>
          <w:sz w:val="32"/>
          <w:szCs w:val="32"/>
          <w:highlight w:val="none"/>
          <w:lang w:val="en-US" w:eastAsia="zh-CN" w:bidi="ar"/>
        </w:rPr>
      </w:pPr>
    </w:p>
    <w:p w14:paraId="47AF4DBA">
      <w:pPr>
        <w:ind w:firstLine="640" w:firstLineChars="200"/>
        <w:jc w:val="center"/>
        <w:rPr>
          <w:rFonts w:hint="default" w:ascii="仿宋_GB2312" w:hAnsi="仿宋_GB2312" w:eastAsia="仿宋_GB2312" w:cs="仿宋_GB2312"/>
          <w:color w:val="auto"/>
          <w:kern w:val="2"/>
          <w:sz w:val="32"/>
          <w:szCs w:val="32"/>
          <w:highlight w:val="none"/>
          <w:lang w:val="en-US" w:eastAsia="zh-CN" w:bidi="ar"/>
        </w:rPr>
      </w:pPr>
    </w:p>
    <w:p w14:paraId="5E5446B4">
      <w:pPr>
        <w:ind w:firstLine="640" w:firstLineChars="200"/>
        <w:jc w:val="center"/>
        <w:rPr>
          <w:rFonts w:hint="default" w:ascii="仿宋_GB2312" w:hAnsi="仿宋_GB2312" w:eastAsia="仿宋_GB2312" w:cs="仿宋_GB2312"/>
          <w:color w:val="auto"/>
          <w:kern w:val="2"/>
          <w:sz w:val="32"/>
          <w:szCs w:val="32"/>
          <w:highlight w:val="none"/>
          <w:lang w:val="en-US" w:eastAsia="zh-CN" w:bidi="ar"/>
        </w:rPr>
      </w:pPr>
    </w:p>
    <w:p w14:paraId="1E29A379">
      <w:pPr>
        <w:ind w:firstLine="640" w:firstLineChars="200"/>
        <w:jc w:val="center"/>
        <w:rPr>
          <w:rFonts w:hint="default" w:ascii="仿宋_GB2312" w:hAnsi="仿宋_GB2312" w:eastAsia="仿宋_GB2312" w:cs="仿宋_GB2312"/>
          <w:color w:val="auto"/>
          <w:kern w:val="2"/>
          <w:sz w:val="32"/>
          <w:szCs w:val="32"/>
          <w:highlight w:val="none"/>
          <w:lang w:val="en-US" w:eastAsia="zh-CN" w:bidi="ar"/>
        </w:rPr>
      </w:pPr>
    </w:p>
    <w:p w14:paraId="18A58BF6">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jc w:val="center"/>
        <w:textAlignment w:val="auto"/>
        <w:rPr>
          <w:rFonts w:hint="default" w:ascii="仿宋_GB2312" w:hAnsi="Times New Roman" w:eastAsia="仿宋_GB2312" w:cs="Times New Roman"/>
          <w:b/>
          <w:bCs/>
          <w:color w:val="auto"/>
          <w:sz w:val="32"/>
          <w:szCs w:val="32"/>
          <w:highlight w:val="none"/>
          <w:lang w:val="en-US" w:eastAsia="zh-CN"/>
        </w:rPr>
      </w:pPr>
      <w:r>
        <w:rPr>
          <w:rFonts w:hint="eastAsia" w:ascii="仿宋_GB2312" w:hAnsi="Times New Roman" w:eastAsia="仿宋_GB2312" w:cs="Times New Roman"/>
          <w:b/>
          <w:bCs/>
          <w:color w:val="auto"/>
          <w:sz w:val="32"/>
          <w:szCs w:val="32"/>
          <w:highlight w:val="none"/>
          <w:lang w:val="en-US" w:eastAsia="zh-CN"/>
        </w:rPr>
        <w:t>5本教材展示</w:t>
      </w:r>
    </w:p>
    <w:p w14:paraId="3F96E7AE">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jc w:val="center"/>
        <w:textAlignment w:val="auto"/>
        <w:rPr>
          <w:rFonts w:hint="eastAsia" w:ascii="仿宋_GB2312" w:hAnsi="Times New Roman" w:eastAsia="仿宋_GB2312" w:cs="Times New Roman"/>
          <w:b/>
          <w:bCs/>
          <w:color w:val="auto"/>
          <w:sz w:val="32"/>
          <w:szCs w:val="32"/>
          <w:highlight w:val="none"/>
          <w:lang w:val="en-US" w:eastAsia="zh-CN"/>
        </w:rPr>
        <w:sectPr>
          <w:pgSz w:w="11906" w:h="16838"/>
          <w:pgMar w:top="1440" w:right="1800" w:bottom="1440" w:left="1800" w:header="851" w:footer="992" w:gutter="0"/>
          <w:cols w:space="425" w:num="1"/>
          <w:docGrid w:type="lines" w:linePitch="312" w:charSpace="0"/>
        </w:sectPr>
      </w:pPr>
    </w:p>
    <w:p w14:paraId="3369B3F9">
      <w:pPr>
        <w:spacing w:line="480" w:lineRule="auto"/>
        <w:jc w:val="center"/>
        <w:rPr>
          <w:rFonts w:ascii="仿宋_GB2312" w:eastAsia="仿宋_GB2312"/>
          <w:b/>
          <w:bCs/>
          <w:color w:val="auto"/>
          <w:sz w:val="44"/>
          <w:szCs w:val="44"/>
          <w:highlight w:val="none"/>
          <w:lang w:val="zh-CN"/>
        </w:rPr>
      </w:pPr>
      <w:r>
        <w:rPr>
          <w:rFonts w:ascii="仿宋_GB2312" w:eastAsia="仿宋_GB2312"/>
          <w:b/>
          <w:bCs/>
          <w:color w:val="auto"/>
          <w:sz w:val="44"/>
          <w:szCs w:val="44"/>
          <w:highlight w:val="none"/>
          <w:lang w:val="zh-CN"/>
        </w:rPr>
        <w:t>目录</w:t>
      </w:r>
    </w:p>
    <w:p w14:paraId="645E16EF">
      <w:pPr>
        <w:pStyle w:val="12"/>
        <w:tabs>
          <w:tab w:val="right" w:leader="dot" w:pos="8306"/>
        </w:tabs>
        <w:rPr>
          <w:rFonts w:hint="eastAsia" w:ascii="仿宋_GB2312" w:hAnsi="仿宋_GB2312" w:eastAsia="仿宋_GB2312" w:cs="仿宋_GB2312"/>
          <w:b/>
          <w:bCs/>
          <w:sz w:val="32"/>
          <w:szCs w:val="32"/>
        </w:rPr>
      </w:pPr>
      <w:r>
        <w:rPr>
          <w:rFonts w:hint="eastAsia" w:ascii="仿宋_GB2312" w:hAnsi="仿宋_GB2312" w:eastAsia="仿宋_GB2312" w:cs="仿宋_GB2312"/>
          <w:b/>
          <w:bCs/>
          <w:color w:val="auto"/>
          <w:kern w:val="0"/>
          <w:sz w:val="32"/>
          <w:szCs w:val="32"/>
          <w:highlight w:val="none"/>
        </w:rPr>
        <w:fldChar w:fldCharType="begin"/>
      </w:r>
      <w:r>
        <w:rPr>
          <w:rStyle w:val="23"/>
          <w:rFonts w:hint="eastAsia" w:ascii="仿宋_GB2312" w:hAnsi="仿宋_GB2312" w:eastAsia="仿宋_GB2312" w:cs="仿宋_GB2312"/>
          <w:b/>
          <w:bCs/>
          <w:color w:val="auto"/>
          <w:kern w:val="0"/>
          <w:sz w:val="32"/>
          <w:szCs w:val="32"/>
          <w:highlight w:val="none"/>
        </w:rPr>
        <w:instrText xml:space="preserve"> TOC \o "1-3" \h \z \u </w:instrText>
      </w:r>
      <w:r>
        <w:rPr>
          <w:rFonts w:hint="eastAsia" w:ascii="仿宋_GB2312" w:hAnsi="仿宋_GB2312" w:eastAsia="仿宋_GB2312" w:cs="仿宋_GB2312"/>
          <w:b/>
          <w:bCs/>
          <w:color w:val="auto"/>
          <w:kern w:val="0"/>
          <w:sz w:val="32"/>
          <w:szCs w:val="32"/>
          <w:highlight w:val="none"/>
        </w:rPr>
        <w:fldChar w:fldCharType="separate"/>
      </w:r>
      <w:r>
        <w:rPr>
          <w:rFonts w:hint="eastAsia" w:ascii="仿宋_GB2312" w:hAnsi="仿宋_GB2312" w:eastAsia="仿宋_GB2312" w:cs="仿宋_GB2312"/>
          <w:b/>
          <w:bCs/>
          <w:color w:val="auto"/>
          <w:kern w:val="0"/>
          <w:sz w:val="32"/>
          <w:szCs w:val="32"/>
          <w:highlight w:val="none"/>
        </w:rPr>
        <w:fldChar w:fldCharType="begin"/>
      </w:r>
      <w:r>
        <w:rPr>
          <w:rFonts w:hint="eastAsia" w:ascii="仿宋_GB2312" w:hAnsi="仿宋_GB2312" w:eastAsia="仿宋_GB2312" w:cs="仿宋_GB2312"/>
          <w:b/>
          <w:bCs/>
          <w:kern w:val="0"/>
          <w:sz w:val="32"/>
          <w:szCs w:val="32"/>
          <w:highlight w:val="none"/>
        </w:rPr>
        <w:instrText xml:space="preserve"> HYPERLINK \l _Toc19332 </w:instrText>
      </w:r>
      <w:r>
        <w:rPr>
          <w:rFonts w:hint="eastAsia" w:ascii="仿宋_GB2312" w:hAnsi="仿宋_GB2312" w:eastAsia="仿宋_GB2312" w:cs="仿宋_GB2312"/>
          <w:b/>
          <w:bCs/>
          <w:kern w:val="0"/>
          <w:sz w:val="32"/>
          <w:szCs w:val="32"/>
          <w:highlight w:val="none"/>
        </w:rPr>
        <w:fldChar w:fldCharType="separate"/>
      </w:r>
      <w:r>
        <w:rPr>
          <w:rFonts w:hint="eastAsia" w:ascii="仿宋_GB2312" w:hAnsi="仿宋_GB2312" w:eastAsia="仿宋_GB2312" w:cs="仿宋_GB2312"/>
          <w:b/>
          <w:bCs/>
          <w:kern w:val="0"/>
          <w:sz w:val="32"/>
          <w:szCs w:val="32"/>
          <w:highlight w:val="none"/>
        </w:rPr>
        <w:t>一、基本情况</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_Toc19332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color w:val="auto"/>
          <w:kern w:val="0"/>
          <w:sz w:val="32"/>
          <w:szCs w:val="32"/>
          <w:highlight w:val="none"/>
        </w:rPr>
        <w:fldChar w:fldCharType="end"/>
      </w:r>
    </w:p>
    <w:p w14:paraId="569F6036">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_Toc2208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（一）项目概况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_Toc2208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602EB84E">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_Toc7686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（二）项目绩效目标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_Toc7686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74A50036">
      <w:pPr>
        <w:pStyle w:val="12"/>
        <w:tabs>
          <w:tab w:val="right" w:leader="dot" w:pos="8306"/>
        </w:tabs>
        <w:rPr>
          <w:rFonts w:hint="eastAsia" w:ascii="仿宋_GB2312" w:hAnsi="仿宋_GB2312" w:eastAsia="仿宋_GB2312" w:cs="仿宋_GB2312"/>
          <w:b/>
          <w:bCs/>
          <w:sz w:val="32"/>
          <w:szCs w:val="32"/>
        </w:rPr>
      </w:pPr>
      <w:r>
        <w:rPr>
          <w:rFonts w:hint="eastAsia" w:ascii="仿宋_GB2312" w:hAnsi="仿宋_GB2312" w:eastAsia="仿宋_GB2312" w:cs="仿宋_GB2312"/>
          <w:b/>
          <w:bCs/>
          <w:color w:val="auto"/>
          <w:kern w:val="0"/>
          <w:sz w:val="32"/>
          <w:szCs w:val="32"/>
          <w:highlight w:val="none"/>
        </w:rPr>
        <w:fldChar w:fldCharType="begin"/>
      </w:r>
      <w:r>
        <w:rPr>
          <w:rFonts w:hint="eastAsia" w:ascii="仿宋_GB2312" w:hAnsi="仿宋_GB2312" w:eastAsia="仿宋_GB2312" w:cs="仿宋_GB2312"/>
          <w:b/>
          <w:bCs/>
          <w:kern w:val="0"/>
          <w:sz w:val="32"/>
          <w:szCs w:val="32"/>
          <w:highlight w:val="none"/>
        </w:rPr>
        <w:instrText xml:space="preserve"> HYPERLINK \l _Toc29411 </w:instrText>
      </w:r>
      <w:r>
        <w:rPr>
          <w:rFonts w:hint="eastAsia" w:ascii="仿宋_GB2312" w:hAnsi="仿宋_GB2312" w:eastAsia="仿宋_GB2312" w:cs="仿宋_GB2312"/>
          <w:b/>
          <w:bCs/>
          <w:kern w:val="0"/>
          <w:sz w:val="32"/>
          <w:szCs w:val="32"/>
          <w:highlight w:val="none"/>
        </w:rPr>
        <w:fldChar w:fldCharType="separate"/>
      </w:r>
      <w:r>
        <w:rPr>
          <w:rFonts w:hint="eastAsia" w:ascii="仿宋_GB2312" w:hAnsi="仿宋_GB2312" w:eastAsia="仿宋_GB2312" w:cs="仿宋_GB2312"/>
          <w:b/>
          <w:bCs/>
          <w:kern w:val="0"/>
          <w:sz w:val="32"/>
          <w:szCs w:val="32"/>
          <w:highlight w:val="none"/>
        </w:rPr>
        <w:t>二、绩效评价工作开展情况</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_Toc29411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6</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color w:val="auto"/>
          <w:kern w:val="0"/>
          <w:sz w:val="32"/>
          <w:szCs w:val="32"/>
          <w:highlight w:val="none"/>
        </w:rPr>
        <w:fldChar w:fldCharType="end"/>
      </w:r>
    </w:p>
    <w:p w14:paraId="5E67B806">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_Toc75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（一）绩效评价目的、对象和范围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_Toc75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1C47103E">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_Toc15169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（二）绩效评价基本情况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_Toc15169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7</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5C99C7A3">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_Toc15840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（三）绩效评价工作过程</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_Toc15840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8</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186CF2FE">
      <w:pPr>
        <w:pStyle w:val="12"/>
        <w:tabs>
          <w:tab w:val="right" w:leader="dot" w:pos="8306"/>
        </w:tabs>
        <w:rPr>
          <w:rFonts w:hint="eastAsia" w:ascii="仿宋_GB2312" w:hAnsi="仿宋_GB2312" w:eastAsia="仿宋_GB2312" w:cs="仿宋_GB2312"/>
          <w:b/>
          <w:bCs/>
          <w:sz w:val="32"/>
          <w:szCs w:val="32"/>
        </w:rPr>
      </w:pPr>
      <w:r>
        <w:rPr>
          <w:rFonts w:hint="eastAsia" w:ascii="仿宋_GB2312" w:hAnsi="仿宋_GB2312" w:eastAsia="仿宋_GB2312" w:cs="仿宋_GB2312"/>
          <w:b/>
          <w:bCs/>
          <w:color w:val="auto"/>
          <w:kern w:val="0"/>
          <w:sz w:val="32"/>
          <w:szCs w:val="32"/>
          <w:highlight w:val="none"/>
        </w:rPr>
        <w:fldChar w:fldCharType="begin"/>
      </w:r>
      <w:r>
        <w:rPr>
          <w:rFonts w:hint="eastAsia" w:ascii="仿宋_GB2312" w:hAnsi="仿宋_GB2312" w:eastAsia="仿宋_GB2312" w:cs="仿宋_GB2312"/>
          <w:b/>
          <w:bCs/>
          <w:kern w:val="0"/>
          <w:sz w:val="32"/>
          <w:szCs w:val="32"/>
          <w:highlight w:val="none"/>
        </w:rPr>
        <w:instrText xml:space="preserve"> HYPERLINK \l _Toc15506 </w:instrText>
      </w:r>
      <w:r>
        <w:rPr>
          <w:rFonts w:hint="eastAsia" w:ascii="仿宋_GB2312" w:hAnsi="仿宋_GB2312" w:eastAsia="仿宋_GB2312" w:cs="仿宋_GB2312"/>
          <w:b/>
          <w:bCs/>
          <w:kern w:val="0"/>
          <w:sz w:val="32"/>
          <w:szCs w:val="32"/>
          <w:highlight w:val="none"/>
        </w:rPr>
        <w:fldChar w:fldCharType="separate"/>
      </w:r>
      <w:r>
        <w:rPr>
          <w:rFonts w:hint="eastAsia" w:ascii="仿宋_GB2312" w:hAnsi="仿宋_GB2312" w:eastAsia="仿宋_GB2312" w:cs="仿宋_GB2312"/>
          <w:b/>
          <w:bCs/>
          <w:kern w:val="0"/>
          <w:sz w:val="32"/>
          <w:szCs w:val="32"/>
          <w:highlight w:val="none"/>
        </w:rPr>
        <w:t>三、综合评价情况及评价结论</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_Toc15506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8</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color w:val="auto"/>
          <w:kern w:val="0"/>
          <w:sz w:val="32"/>
          <w:szCs w:val="32"/>
          <w:highlight w:val="none"/>
        </w:rPr>
        <w:fldChar w:fldCharType="end"/>
      </w:r>
    </w:p>
    <w:p w14:paraId="5AE31471">
      <w:pPr>
        <w:pStyle w:val="12"/>
        <w:tabs>
          <w:tab w:val="right" w:leader="dot" w:pos="8306"/>
        </w:tabs>
        <w:rPr>
          <w:rFonts w:hint="eastAsia" w:ascii="仿宋_GB2312" w:hAnsi="仿宋_GB2312" w:eastAsia="仿宋_GB2312" w:cs="仿宋_GB2312"/>
          <w:b/>
          <w:bCs/>
          <w:sz w:val="32"/>
          <w:szCs w:val="32"/>
        </w:rPr>
      </w:pPr>
      <w:r>
        <w:rPr>
          <w:rFonts w:hint="eastAsia" w:ascii="仿宋_GB2312" w:hAnsi="仿宋_GB2312" w:eastAsia="仿宋_GB2312" w:cs="仿宋_GB2312"/>
          <w:b/>
          <w:bCs/>
          <w:color w:val="auto"/>
          <w:kern w:val="0"/>
          <w:sz w:val="32"/>
          <w:szCs w:val="32"/>
          <w:highlight w:val="none"/>
        </w:rPr>
        <w:fldChar w:fldCharType="begin"/>
      </w:r>
      <w:r>
        <w:rPr>
          <w:rFonts w:hint="eastAsia" w:ascii="仿宋_GB2312" w:hAnsi="仿宋_GB2312" w:eastAsia="仿宋_GB2312" w:cs="仿宋_GB2312"/>
          <w:b/>
          <w:bCs/>
          <w:kern w:val="0"/>
          <w:sz w:val="32"/>
          <w:szCs w:val="32"/>
          <w:highlight w:val="none"/>
        </w:rPr>
        <w:instrText xml:space="preserve"> HYPERLINK \l _Toc7381 </w:instrText>
      </w:r>
      <w:r>
        <w:rPr>
          <w:rFonts w:hint="eastAsia" w:ascii="仿宋_GB2312" w:hAnsi="仿宋_GB2312" w:eastAsia="仿宋_GB2312" w:cs="仿宋_GB2312"/>
          <w:b/>
          <w:bCs/>
          <w:kern w:val="0"/>
          <w:sz w:val="32"/>
          <w:szCs w:val="32"/>
          <w:highlight w:val="none"/>
        </w:rPr>
        <w:fldChar w:fldCharType="separate"/>
      </w:r>
      <w:r>
        <w:rPr>
          <w:rFonts w:hint="eastAsia" w:ascii="仿宋_GB2312" w:hAnsi="仿宋_GB2312" w:eastAsia="仿宋_GB2312" w:cs="仿宋_GB2312"/>
          <w:b/>
          <w:bCs/>
          <w:kern w:val="0"/>
          <w:sz w:val="32"/>
          <w:szCs w:val="32"/>
          <w:highlight w:val="none"/>
        </w:rPr>
        <w:t>四、绩效评价指标分析</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_Toc7381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9</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color w:val="auto"/>
          <w:kern w:val="0"/>
          <w:sz w:val="32"/>
          <w:szCs w:val="32"/>
          <w:highlight w:val="none"/>
        </w:rPr>
        <w:fldChar w:fldCharType="end"/>
      </w:r>
    </w:p>
    <w:p w14:paraId="6AEB7616">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_Toc30899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（一）项目决策情况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_Toc30899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9</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0A2496DE">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_Toc31255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（二）项目过程情况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_Toc31255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15563682">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_Toc22050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（三）项目产出情况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_Toc22050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10</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3E0A17AA">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_Toc974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w:t>
      </w:r>
      <w:r>
        <w:rPr>
          <w:rFonts w:hint="eastAsia" w:ascii="仿宋_GB2312" w:hAnsi="仿宋_GB2312" w:eastAsia="仿宋_GB2312" w:cs="仿宋_GB2312"/>
          <w:b w:val="0"/>
          <w:bCs w:val="0"/>
          <w:kern w:val="0"/>
          <w:sz w:val="32"/>
          <w:szCs w:val="32"/>
          <w:highlight w:val="none"/>
          <w:lang w:val="en-US" w:eastAsia="zh-CN"/>
        </w:rPr>
        <w:t>四</w:t>
      </w:r>
      <w:r>
        <w:rPr>
          <w:rFonts w:hint="eastAsia" w:ascii="仿宋_GB2312" w:hAnsi="仿宋_GB2312" w:eastAsia="仿宋_GB2312" w:cs="仿宋_GB2312"/>
          <w:b w:val="0"/>
          <w:bCs w:val="0"/>
          <w:kern w:val="0"/>
          <w:sz w:val="32"/>
          <w:szCs w:val="32"/>
          <w:highlight w:val="none"/>
        </w:rPr>
        <w:t>）项目效益情况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_Toc974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12</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0ADB50C0">
      <w:pPr>
        <w:pStyle w:val="12"/>
        <w:tabs>
          <w:tab w:val="right" w:leader="dot" w:pos="8306"/>
        </w:tabs>
        <w:rPr>
          <w:rFonts w:hint="eastAsia" w:ascii="仿宋_GB2312" w:hAnsi="仿宋_GB2312" w:eastAsia="仿宋_GB2312" w:cs="仿宋_GB2312"/>
          <w:b/>
          <w:bCs/>
          <w:sz w:val="32"/>
          <w:szCs w:val="32"/>
        </w:rPr>
      </w:pPr>
      <w:r>
        <w:rPr>
          <w:rFonts w:hint="eastAsia" w:ascii="仿宋_GB2312" w:hAnsi="仿宋_GB2312" w:eastAsia="仿宋_GB2312" w:cs="仿宋_GB2312"/>
          <w:b/>
          <w:bCs/>
          <w:color w:val="auto"/>
          <w:kern w:val="0"/>
          <w:sz w:val="32"/>
          <w:szCs w:val="32"/>
          <w:highlight w:val="none"/>
        </w:rPr>
        <w:fldChar w:fldCharType="begin"/>
      </w:r>
      <w:r>
        <w:rPr>
          <w:rFonts w:hint="eastAsia" w:ascii="仿宋_GB2312" w:hAnsi="仿宋_GB2312" w:eastAsia="仿宋_GB2312" w:cs="仿宋_GB2312"/>
          <w:b/>
          <w:bCs/>
          <w:kern w:val="0"/>
          <w:sz w:val="32"/>
          <w:szCs w:val="32"/>
          <w:highlight w:val="none"/>
        </w:rPr>
        <w:instrText xml:space="preserve"> HYPERLINK \l _Toc19982 </w:instrText>
      </w:r>
      <w:r>
        <w:rPr>
          <w:rFonts w:hint="eastAsia" w:ascii="仿宋_GB2312" w:hAnsi="仿宋_GB2312" w:eastAsia="仿宋_GB2312" w:cs="仿宋_GB2312"/>
          <w:b/>
          <w:bCs/>
          <w:kern w:val="0"/>
          <w:sz w:val="32"/>
          <w:szCs w:val="32"/>
          <w:highlight w:val="none"/>
        </w:rPr>
        <w:fldChar w:fldCharType="separate"/>
      </w:r>
      <w:r>
        <w:rPr>
          <w:rFonts w:hint="eastAsia" w:ascii="仿宋_GB2312" w:hAnsi="仿宋_GB2312" w:eastAsia="仿宋_GB2312" w:cs="仿宋_GB2312"/>
          <w:b/>
          <w:bCs/>
          <w:kern w:val="0"/>
          <w:sz w:val="32"/>
          <w:szCs w:val="32"/>
          <w:highlight w:val="none"/>
        </w:rPr>
        <w:t>五、存在的主要问题</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_Toc19982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13</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color w:val="auto"/>
          <w:kern w:val="0"/>
          <w:sz w:val="32"/>
          <w:szCs w:val="32"/>
          <w:highlight w:val="none"/>
        </w:rPr>
        <w:fldChar w:fldCharType="end"/>
      </w:r>
    </w:p>
    <w:p w14:paraId="7B2BFF6D">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_Toc27504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rPr>
        <w:t>（一）</w:t>
      </w:r>
      <w:r>
        <w:rPr>
          <w:rFonts w:hint="eastAsia" w:ascii="仿宋_GB2312" w:hAnsi="仿宋_GB2312" w:eastAsia="仿宋_GB2312" w:cs="仿宋_GB2312"/>
          <w:b w:val="0"/>
          <w:bCs w:val="0"/>
          <w:kern w:val="0"/>
          <w:sz w:val="32"/>
          <w:szCs w:val="32"/>
          <w:highlight w:val="none"/>
          <w:lang w:eastAsia="zh-CN"/>
        </w:rPr>
        <w:t>决策方面</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_Toc27504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13</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0D93EFC7">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_Toc32022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lang w:val="en-US" w:eastAsia="zh-CN"/>
        </w:rPr>
        <w:t>（二）管理方面</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_Toc32022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13</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3FB50FD3">
      <w:pPr>
        <w:pStyle w:val="14"/>
        <w:tabs>
          <w:tab w:val="right" w:leader="dot" w:pos="830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kern w:val="0"/>
          <w:sz w:val="32"/>
          <w:szCs w:val="32"/>
          <w:highlight w:val="none"/>
        </w:rPr>
        <w:fldChar w:fldCharType="begin"/>
      </w:r>
      <w:r>
        <w:rPr>
          <w:rFonts w:hint="eastAsia" w:ascii="仿宋_GB2312" w:hAnsi="仿宋_GB2312" w:eastAsia="仿宋_GB2312" w:cs="仿宋_GB2312"/>
          <w:b w:val="0"/>
          <w:bCs w:val="0"/>
          <w:kern w:val="0"/>
          <w:sz w:val="32"/>
          <w:szCs w:val="32"/>
          <w:highlight w:val="none"/>
        </w:rPr>
        <w:instrText xml:space="preserve"> HYPERLINK \l _Toc12339 </w:instrText>
      </w:r>
      <w:r>
        <w:rPr>
          <w:rFonts w:hint="eastAsia" w:ascii="仿宋_GB2312" w:hAnsi="仿宋_GB2312" w:eastAsia="仿宋_GB2312" w:cs="仿宋_GB2312"/>
          <w:b w:val="0"/>
          <w:bCs w:val="0"/>
          <w:kern w:val="0"/>
          <w:sz w:val="32"/>
          <w:szCs w:val="32"/>
          <w:highlight w:val="none"/>
        </w:rPr>
        <w:fldChar w:fldCharType="separate"/>
      </w:r>
      <w:r>
        <w:rPr>
          <w:rFonts w:hint="eastAsia" w:ascii="仿宋_GB2312" w:hAnsi="仿宋_GB2312" w:eastAsia="仿宋_GB2312" w:cs="仿宋_GB2312"/>
          <w:b w:val="0"/>
          <w:bCs w:val="0"/>
          <w:kern w:val="0"/>
          <w:sz w:val="32"/>
          <w:szCs w:val="32"/>
          <w:highlight w:val="none"/>
          <w:lang w:val="en-US" w:eastAsia="zh-CN"/>
        </w:rPr>
        <w:t>（三）产出效益方面</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_Toc12339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13</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kern w:val="0"/>
          <w:sz w:val="32"/>
          <w:szCs w:val="32"/>
          <w:highlight w:val="none"/>
        </w:rPr>
        <w:fldChar w:fldCharType="end"/>
      </w:r>
    </w:p>
    <w:p w14:paraId="0E97D4F2">
      <w:pPr>
        <w:pStyle w:val="12"/>
        <w:tabs>
          <w:tab w:val="right" w:leader="dot" w:pos="8306"/>
        </w:tabs>
        <w:rPr>
          <w:rFonts w:hint="eastAsia" w:ascii="仿宋_GB2312" w:hAnsi="仿宋_GB2312" w:eastAsia="仿宋_GB2312" w:cs="仿宋_GB2312"/>
          <w:b/>
          <w:bCs/>
          <w:sz w:val="32"/>
          <w:szCs w:val="32"/>
        </w:rPr>
      </w:pPr>
      <w:r>
        <w:rPr>
          <w:rFonts w:hint="eastAsia" w:ascii="仿宋_GB2312" w:hAnsi="仿宋_GB2312" w:eastAsia="仿宋_GB2312" w:cs="仿宋_GB2312"/>
          <w:b/>
          <w:bCs/>
          <w:color w:val="auto"/>
          <w:kern w:val="0"/>
          <w:sz w:val="32"/>
          <w:szCs w:val="32"/>
          <w:highlight w:val="none"/>
        </w:rPr>
        <w:fldChar w:fldCharType="begin"/>
      </w:r>
      <w:r>
        <w:rPr>
          <w:rFonts w:hint="eastAsia" w:ascii="仿宋_GB2312" w:hAnsi="仿宋_GB2312" w:eastAsia="仿宋_GB2312" w:cs="仿宋_GB2312"/>
          <w:b/>
          <w:bCs/>
          <w:kern w:val="0"/>
          <w:sz w:val="32"/>
          <w:szCs w:val="32"/>
          <w:highlight w:val="none"/>
        </w:rPr>
        <w:instrText xml:space="preserve"> HYPERLINK \l _Toc11869 </w:instrText>
      </w:r>
      <w:r>
        <w:rPr>
          <w:rFonts w:hint="eastAsia" w:ascii="仿宋_GB2312" w:hAnsi="仿宋_GB2312" w:eastAsia="仿宋_GB2312" w:cs="仿宋_GB2312"/>
          <w:b/>
          <w:bCs/>
          <w:kern w:val="0"/>
          <w:sz w:val="32"/>
          <w:szCs w:val="32"/>
          <w:highlight w:val="none"/>
        </w:rPr>
        <w:fldChar w:fldCharType="separate"/>
      </w:r>
      <w:r>
        <w:rPr>
          <w:rFonts w:hint="eastAsia" w:ascii="仿宋_GB2312" w:hAnsi="仿宋_GB2312" w:eastAsia="仿宋_GB2312" w:cs="仿宋_GB2312"/>
          <w:b/>
          <w:bCs/>
          <w:kern w:val="0"/>
          <w:sz w:val="32"/>
          <w:szCs w:val="32"/>
          <w:highlight w:val="none"/>
        </w:rPr>
        <w:t>六、有关建议</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_Toc11869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14</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color w:val="auto"/>
          <w:kern w:val="0"/>
          <w:sz w:val="32"/>
          <w:szCs w:val="32"/>
          <w:highlight w:val="none"/>
        </w:rPr>
        <w:fldChar w:fldCharType="end"/>
      </w:r>
    </w:p>
    <w:p w14:paraId="382F3541">
      <w:pPr>
        <w:pStyle w:val="12"/>
        <w:tabs>
          <w:tab w:val="right" w:leader="dot" w:pos="8306"/>
        </w:tabs>
        <w:rPr>
          <w:rFonts w:hint="eastAsia" w:ascii="仿宋_GB2312" w:hAnsi="仿宋_GB2312" w:eastAsia="仿宋_GB2312" w:cs="仿宋_GB2312"/>
          <w:b/>
          <w:bCs/>
          <w:sz w:val="32"/>
          <w:szCs w:val="32"/>
        </w:rPr>
      </w:pPr>
      <w:r>
        <w:rPr>
          <w:rFonts w:hint="eastAsia" w:ascii="仿宋_GB2312" w:hAnsi="仿宋_GB2312" w:eastAsia="仿宋_GB2312" w:cs="仿宋_GB2312"/>
          <w:b/>
          <w:bCs/>
          <w:color w:val="auto"/>
          <w:kern w:val="0"/>
          <w:sz w:val="32"/>
          <w:szCs w:val="32"/>
          <w:highlight w:val="none"/>
        </w:rPr>
        <w:fldChar w:fldCharType="begin"/>
      </w:r>
      <w:r>
        <w:rPr>
          <w:rFonts w:hint="eastAsia" w:ascii="仿宋_GB2312" w:hAnsi="仿宋_GB2312" w:eastAsia="仿宋_GB2312" w:cs="仿宋_GB2312"/>
          <w:b/>
          <w:bCs/>
          <w:kern w:val="0"/>
          <w:sz w:val="32"/>
          <w:szCs w:val="32"/>
          <w:highlight w:val="none"/>
        </w:rPr>
        <w:instrText xml:space="preserve"> HYPERLINK \l _Toc15952 </w:instrText>
      </w:r>
      <w:r>
        <w:rPr>
          <w:rFonts w:hint="eastAsia" w:ascii="仿宋_GB2312" w:hAnsi="仿宋_GB2312" w:eastAsia="仿宋_GB2312" w:cs="仿宋_GB2312"/>
          <w:b/>
          <w:bCs/>
          <w:kern w:val="0"/>
          <w:sz w:val="32"/>
          <w:szCs w:val="32"/>
          <w:highlight w:val="none"/>
        </w:rPr>
        <w:fldChar w:fldCharType="separate"/>
      </w:r>
      <w:r>
        <w:rPr>
          <w:rFonts w:hint="eastAsia" w:ascii="仿宋_GB2312" w:hAnsi="仿宋_GB2312" w:eastAsia="仿宋_GB2312" w:cs="仿宋_GB2312"/>
          <w:b/>
          <w:bCs/>
          <w:kern w:val="0"/>
          <w:sz w:val="32"/>
          <w:szCs w:val="32"/>
        </w:rPr>
        <w:t>七、其他说明事项</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_Toc15952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14</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color w:val="auto"/>
          <w:kern w:val="0"/>
          <w:sz w:val="32"/>
          <w:szCs w:val="32"/>
          <w:highlight w:val="none"/>
        </w:rPr>
        <w:fldChar w:fldCharType="end"/>
      </w:r>
    </w:p>
    <w:p w14:paraId="78FE7B3F">
      <w:pPr>
        <w:pStyle w:val="12"/>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b/>
          <w:bCs/>
          <w:color w:val="auto"/>
          <w:kern w:val="0"/>
          <w:sz w:val="32"/>
          <w:szCs w:val="32"/>
          <w:highlight w:val="none"/>
        </w:rPr>
        <w:fldChar w:fldCharType="begin"/>
      </w:r>
      <w:r>
        <w:rPr>
          <w:rFonts w:hint="eastAsia" w:ascii="仿宋_GB2312" w:hAnsi="仿宋_GB2312" w:eastAsia="仿宋_GB2312" w:cs="仿宋_GB2312"/>
          <w:b/>
          <w:bCs/>
          <w:kern w:val="0"/>
          <w:sz w:val="32"/>
          <w:szCs w:val="32"/>
          <w:highlight w:val="none"/>
        </w:rPr>
        <w:instrText xml:space="preserve"> HYPERLINK \l _Toc15441 </w:instrText>
      </w:r>
      <w:r>
        <w:rPr>
          <w:rFonts w:hint="eastAsia" w:ascii="仿宋_GB2312" w:hAnsi="仿宋_GB2312" w:eastAsia="仿宋_GB2312" w:cs="仿宋_GB2312"/>
          <w:b/>
          <w:bCs/>
          <w:kern w:val="0"/>
          <w:sz w:val="32"/>
          <w:szCs w:val="32"/>
          <w:highlight w:val="none"/>
        </w:rPr>
        <w:fldChar w:fldCharType="separate"/>
      </w:r>
      <w:r>
        <w:rPr>
          <w:rFonts w:hint="eastAsia" w:ascii="仿宋_GB2312" w:hAnsi="仿宋_GB2312" w:eastAsia="仿宋_GB2312" w:cs="仿宋_GB2312"/>
          <w:b/>
          <w:bCs/>
          <w:kern w:val="0"/>
          <w:sz w:val="32"/>
          <w:szCs w:val="32"/>
        </w:rPr>
        <w:t>八、附件</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_Toc15441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15</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color w:val="auto"/>
          <w:kern w:val="0"/>
          <w:sz w:val="32"/>
          <w:szCs w:val="32"/>
          <w:highlight w:val="none"/>
        </w:rPr>
        <w:fldChar w:fldCharType="end"/>
      </w:r>
    </w:p>
    <w:p w14:paraId="0ED8C4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b/>
          <w:color w:val="auto"/>
          <w:sz w:val="32"/>
          <w:szCs w:val="20"/>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仿宋_GB2312" w:hAnsi="仿宋_GB2312" w:eastAsia="仿宋_GB2312" w:cs="仿宋_GB2312"/>
          <w:bCs/>
          <w:color w:val="auto"/>
          <w:kern w:val="0"/>
          <w:sz w:val="32"/>
          <w:szCs w:val="32"/>
          <w:highlight w:val="none"/>
        </w:rPr>
        <w:fldChar w:fldCharType="end"/>
      </w:r>
    </w:p>
    <w:p w14:paraId="7D86D02D">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方正小标宋简体" w:hAnsi="Leelawadee UI" w:eastAsia="方正小标宋简体" w:cs="Leelawadee UI"/>
          <w:b/>
          <w:bCs w:val="0"/>
          <w:color w:val="auto"/>
          <w:kern w:val="0"/>
          <w:sz w:val="44"/>
          <w:szCs w:val="28"/>
          <w:highlight w:val="none"/>
          <w:lang w:eastAsia="zh-CN"/>
        </w:rPr>
      </w:pPr>
      <w:bookmarkStart w:id="0" w:name="_Toc13079"/>
      <w:r>
        <w:rPr>
          <w:rFonts w:hint="eastAsia" w:ascii="方正小标宋简体" w:hAnsi="Leelawadee UI" w:eastAsia="方正小标宋简体" w:cs="Leelawadee UI"/>
          <w:b/>
          <w:bCs w:val="0"/>
          <w:color w:val="auto"/>
          <w:kern w:val="0"/>
          <w:sz w:val="44"/>
          <w:szCs w:val="28"/>
          <w:highlight w:val="none"/>
          <w:lang w:eastAsia="zh-CN"/>
        </w:rPr>
        <w:t>北京市体育局</w:t>
      </w:r>
    </w:p>
    <w:p w14:paraId="4C8727CD">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方正小标宋简体" w:hAnsi="Leelawadee UI" w:eastAsia="方正小标宋简体" w:cs="Leelawadee UI"/>
          <w:b/>
          <w:bCs w:val="0"/>
          <w:color w:val="auto"/>
          <w:kern w:val="0"/>
          <w:sz w:val="44"/>
          <w:szCs w:val="28"/>
          <w:highlight w:val="none"/>
          <w:lang w:eastAsia="zh-CN"/>
        </w:rPr>
      </w:pPr>
      <w:r>
        <w:rPr>
          <w:rFonts w:hint="eastAsia" w:ascii="方正小标宋简体" w:hAnsi="Leelawadee UI" w:eastAsia="方正小标宋简体" w:cs="Leelawadee UI"/>
          <w:b/>
          <w:bCs w:val="0"/>
          <w:color w:val="auto"/>
          <w:kern w:val="0"/>
          <w:sz w:val="44"/>
          <w:szCs w:val="28"/>
          <w:highlight w:val="none"/>
        </w:rPr>
        <w:t>202</w:t>
      </w:r>
      <w:r>
        <w:rPr>
          <w:rFonts w:hint="eastAsia" w:ascii="方正小标宋简体" w:hAnsi="Leelawadee UI" w:eastAsia="方正小标宋简体" w:cs="Leelawadee UI"/>
          <w:b/>
          <w:bCs w:val="0"/>
          <w:color w:val="auto"/>
          <w:kern w:val="0"/>
          <w:sz w:val="44"/>
          <w:szCs w:val="28"/>
          <w:highlight w:val="none"/>
          <w:lang w:val="en-US" w:eastAsia="zh-CN"/>
        </w:rPr>
        <w:t>3</w:t>
      </w:r>
      <w:r>
        <w:rPr>
          <w:rFonts w:hint="eastAsia" w:ascii="方正小标宋简体" w:hAnsi="Leelawadee UI" w:eastAsia="方正小标宋简体" w:cs="Leelawadee UI"/>
          <w:b/>
          <w:bCs w:val="0"/>
          <w:color w:val="auto"/>
          <w:kern w:val="0"/>
          <w:sz w:val="44"/>
          <w:szCs w:val="28"/>
          <w:highlight w:val="none"/>
        </w:rPr>
        <w:t>年度</w:t>
      </w:r>
      <w:r>
        <w:rPr>
          <w:rFonts w:hint="eastAsia" w:ascii="方正小标宋简体" w:hAnsi="Leelawadee UI" w:eastAsia="方正小标宋简体" w:cs="Leelawadee UI"/>
          <w:b/>
          <w:bCs w:val="0"/>
          <w:color w:val="auto"/>
          <w:kern w:val="0"/>
          <w:sz w:val="44"/>
          <w:szCs w:val="28"/>
          <w:highlight w:val="none"/>
          <w:lang w:eastAsia="zh-CN"/>
        </w:rPr>
        <w:t>北京市特色高水平骨干专业（群）</w:t>
      </w:r>
    </w:p>
    <w:p w14:paraId="57467FD1">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ascii="方正小标宋简体" w:hAnsi="Leelawadee UI" w:eastAsia="方正小标宋简体" w:cs="Leelawadee UI"/>
          <w:b/>
          <w:bCs w:val="0"/>
          <w:color w:val="auto"/>
          <w:kern w:val="0"/>
          <w:sz w:val="44"/>
          <w:szCs w:val="28"/>
          <w:highlight w:val="none"/>
        </w:rPr>
      </w:pPr>
      <w:r>
        <w:rPr>
          <w:rFonts w:hint="eastAsia" w:ascii="方正小标宋简体" w:hAnsi="Leelawadee UI" w:eastAsia="方正小标宋简体" w:cs="Leelawadee UI"/>
          <w:b/>
          <w:bCs w:val="0"/>
          <w:color w:val="auto"/>
          <w:kern w:val="0"/>
          <w:sz w:val="44"/>
          <w:szCs w:val="28"/>
          <w:highlight w:val="none"/>
          <w:lang w:eastAsia="zh-CN"/>
        </w:rPr>
        <w:t>-运动与健康专</w:t>
      </w:r>
      <w:r>
        <w:rPr>
          <w:rFonts w:hint="eastAsia" w:ascii="方正小标宋简体" w:hAnsi="Leelawadee UI" w:eastAsia="方正小标宋简体" w:cs="Leelawadee UI"/>
          <w:b/>
          <w:bCs w:val="0"/>
          <w:color w:val="auto"/>
          <w:kern w:val="0"/>
          <w:sz w:val="44"/>
          <w:szCs w:val="28"/>
          <w:highlight w:val="none"/>
          <w:lang w:val="en-US" w:eastAsia="zh-CN"/>
        </w:rPr>
        <w:t>业群</w:t>
      </w:r>
      <w:r>
        <w:rPr>
          <w:rFonts w:hint="eastAsia" w:ascii="方正小标宋简体" w:hAnsi="Leelawadee UI" w:eastAsia="方正小标宋简体" w:cs="Leelawadee UI"/>
          <w:b/>
          <w:bCs w:val="0"/>
          <w:color w:val="auto"/>
          <w:kern w:val="0"/>
          <w:sz w:val="44"/>
          <w:szCs w:val="28"/>
          <w:highlight w:val="none"/>
        </w:rPr>
        <w:t>项目</w:t>
      </w:r>
      <w:bookmarkEnd w:id="0"/>
      <w:bookmarkStart w:id="1" w:name="_Toc22604"/>
      <w:r>
        <w:rPr>
          <w:rFonts w:hint="eastAsia" w:ascii="方正小标宋简体" w:hAnsi="Leelawadee UI" w:eastAsia="方正小标宋简体" w:cs="Leelawadee UI"/>
          <w:b/>
          <w:bCs w:val="0"/>
          <w:color w:val="auto"/>
          <w:kern w:val="0"/>
          <w:sz w:val="44"/>
          <w:szCs w:val="28"/>
          <w:highlight w:val="none"/>
        </w:rPr>
        <w:t>绩效评价报告</w:t>
      </w:r>
      <w:bookmarkEnd w:id="1"/>
    </w:p>
    <w:p w14:paraId="7F0A9B7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highlight w:val="none"/>
        </w:rPr>
      </w:pPr>
    </w:p>
    <w:p w14:paraId="37C6496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highlight w:val="none"/>
        </w:rPr>
      </w:pPr>
      <w:r>
        <w:rPr>
          <w:rFonts w:hint="eastAsia" w:ascii="仿宋_GB2312" w:hAnsi="仿宋_GB2312" w:eastAsia="仿宋_GB2312" w:cs="仿宋_GB2312"/>
          <w:color w:val="auto"/>
          <w:sz w:val="32"/>
          <w:highlight w:val="none"/>
        </w:rPr>
        <w:t>为进一步推进预算绩效管理工作，提升财政资金使用效率和部门绩效管理水平，根据中共北京市委 北京市人民政府《关于全面实施预算绩效管理的实施意见》</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京发〔2019〕12号</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、《北京市项目支出绩效评价管理办法》（京财绩效〔2020〕2146号）</w:t>
      </w:r>
      <w:r>
        <w:rPr>
          <w:rFonts w:hint="eastAsia" w:ascii="仿宋_GB2312" w:hAnsi="仿宋_GB2312" w:eastAsia="仿宋_GB2312" w:cs="仿宋_GB2312"/>
          <w:color w:val="auto"/>
          <w:sz w:val="32"/>
          <w:highlight w:val="none"/>
          <w:lang w:val="en-US" w:eastAsia="zh-CN"/>
        </w:rPr>
        <w:t>和</w:t>
      </w:r>
      <w:r>
        <w:rPr>
          <w:rFonts w:hint="eastAsia" w:ascii="仿宋_GB2312" w:eastAsia="仿宋_GB2312"/>
          <w:color w:val="auto"/>
          <w:sz w:val="32"/>
          <w:szCs w:val="28"/>
          <w:highlight w:val="none"/>
        </w:rPr>
        <w:t>北京市财政局《关于开展2024年预算绩效管理相关工作的函》</w:t>
      </w:r>
      <w:r>
        <w:rPr>
          <w:rFonts w:hint="eastAsia" w:ascii="仿宋_GB2312" w:eastAsia="仿宋_GB2312"/>
          <w:color w:val="auto"/>
          <w:sz w:val="32"/>
          <w:szCs w:val="28"/>
          <w:highlight w:val="none"/>
          <w:lang w:val="en-US" w:eastAsia="zh-CN"/>
        </w:rPr>
        <w:t>等相关要求</w:t>
      </w:r>
      <w:r>
        <w:rPr>
          <w:rFonts w:hint="eastAsia" w:ascii="仿宋_GB2312" w:hAnsi="仿宋_GB2312" w:eastAsia="仿宋_GB2312" w:cs="仿宋_GB2312"/>
          <w:color w:val="auto"/>
          <w:sz w:val="32"/>
          <w:highlight w:val="none"/>
        </w:rPr>
        <w:t>，北京国誉会计师事务所有限公司接受</w:t>
      </w:r>
      <w:r>
        <w:rPr>
          <w:rFonts w:hint="eastAsia" w:ascii="仿宋_GB2312" w:hAnsi="仿宋_GB2312" w:eastAsia="仿宋_GB2312" w:cs="仿宋_GB2312"/>
          <w:color w:val="auto"/>
          <w:sz w:val="32"/>
          <w:highlight w:val="none"/>
          <w:lang w:eastAsia="zh-CN"/>
        </w:rPr>
        <w:t>北京市体育局</w:t>
      </w:r>
      <w:r>
        <w:rPr>
          <w:rFonts w:hint="eastAsia" w:ascii="仿宋_GB2312" w:hAnsi="仿宋_GB2312" w:eastAsia="仿宋_GB2312" w:cs="仿宋_GB2312"/>
          <w:color w:val="auto"/>
          <w:sz w:val="32"/>
          <w:highlight w:val="none"/>
        </w:rPr>
        <w:t>委托，对</w:t>
      </w:r>
      <w:r>
        <w:rPr>
          <w:rFonts w:hint="eastAsia" w:ascii="仿宋_GB2312" w:hAnsi="仿宋_GB2312" w:eastAsia="仿宋_GB2312" w:cs="仿宋_GB2312"/>
          <w:color w:val="auto"/>
          <w:sz w:val="32"/>
          <w:highlight w:val="none"/>
          <w:lang w:eastAsia="zh-CN"/>
        </w:rPr>
        <w:t>北京市特色高水平骨干专业（群）－运动与健康专业群</w:t>
      </w:r>
      <w:r>
        <w:rPr>
          <w:rFonts w:hint="eastAsia" w:ascii="仿宋_GB2312" w:hAnsi="仿宋_GB2312" w:eastAsia="仿宋_GB2312" w:cs="仿宋_GB2312"/>
          <w:color w:val="auto"/>
          <w:sz w:val="32"/>
          <w:highlight w:val="none"/>
          <w:lang w:val="en-US" w:eastAsia="zh-CN"/>
        </w:rPr>
        <w:t>项目</w:t>
      </w:r>
      <w:r>
        <w:rPr>
          <w:rFonts w:hint="eastAsia" w:ascii="仿宋_GB2312" w:hAnsi="仿宋_GB2312" w:eastAsia="仿宋_GB2312" w:cs="仿宋_GB2312"/>
          <w:color w:val="auto"/>
          <w:sz w:val="32"/>
          <w:highlight w:val="none"/>
        </w:rPr>
        <w:t>（以下简称“该项目”）实施绩效评价，形成本绩效评价报告。</w:t>
      </w:r>
    </w:p>
    <w:p w14:paraId="166777E8">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Fonts w:ascii="黑体" w:hAnsi="黑体" w:eastAsia="黑体"/>
          <w:b/>
          <w:bCs w:val="0"/>
          <w:color w:val="auto"/>
          <w:kern w:val="0"/>
          <w:sz w:val="32"/>
          <w:szCs w:val="28"/>
          <w:highlight w:val="none"/>
        </w:rPr>
      </w:pPr>
      <w:bookmarkStart w:id="2" w:name="_Toc530336291"/>
      <w:bookmarkStart w:id="3" w:name="_Toc19332"/>
      <w:bookmarkStart w:id="4" w:name="_Toc27711"/>
      <w:r>
        <w:rPr>
          <w:rFonts w:hint="eastAsia" w:ascii="黑体" w:hAnsi="黑体" w:eastAsia="黑体"/>
          <w:b/>
          <w:bCs w:val="0"/>
          <w:color w:val="auto"/>
          <w:kern w:val="0"/>
          <w:sz w:val="32"/>
          <w:szCs w:val="28"/>
          <w:highlight w:val="none"/>
        </w:rPr>
        <w:t>一、</w:t>
      </w:r>
      <w:bookmarkEnd w:id="2"/>
      <w:r>
        <w:rPr>
          <w:rFonts w:hint="eastAsia" w:ascii="黑体" w:hAnsi="黑体" w:eastAsia="黑体"/>
          <w:b/>
          <w:bCs w:val="0"/>
          <w:color w:val="auto"/>
          <w:kern w:val="0"/>
          <w:sz w:val="32"/>
          <w:szCs w:val="28"/>
          <w:highlight w:val="none"/>
        </w:rPr>
        <w:t>基本情况</w:t>
      </w:r>
      <w:bookmarkEnd w:id="3"/>
      <w:bookmarkEnd w:id="4"/>
    </w:p>
    <w:p w14:paraId="5723426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ascii="楷体" w:hAnsi="楷体" w:eastAsia="楷体"/>
          <w:b/>
          <w:bCs w:val="0"/>
          <w:color w:val="auto"/>
          <w:kern w:val="0"/>
          <w:sz w:val="32"/>
          <w:szCs w:val="28"/>
          <w:highlight w:val="none"/>
        </w:rPr>
      </w:pPr>
      <w:bookmarkStart w:id="5" w:name="_Toc530336292"/>
      <w:bookmarkStart w:id="6" w:name="_Toc2208"/>
      <w:bookmarkStart w:id="7" w:name="_Toc9374"/>
      <w:r>
        <w:rPr>
          <w:rFonts w:hint="eastAsia" w:ascii="楷体" w:hAnsi="楷体" w:eastAsia="楷体"/>
          <w:b/>
          <w:bCs w:val="0"/>
          <w:color w:val="auto"/>
          <w:kern w:val="0"/>
          <w:sz w:val="32"/>
          <w:szCs w:val="28"/>
          <w:highlight w:val="none"/>
        </w:rPr>
        <w:t>（一）</w:t>
      </w:r>
      <w:bookmarkEnd w:id="5"/>
      <w:r>
        <w:rPr>
          <w:rFonts w:hint="eastAsia" w:ascii="楷体" w:hAnsi="楷体" w:eastAsia="楷体"/>
          <w:b/>
          <w:bCs w:val="0"/>
          <w:color w:val="auto"/>
          <w:kern w:val="0"/>
          <w:sz w:val="32"/>
          <w:szCs w:val="28"/>
          <w:highlight w:val="none"/>
        </w:rPr>
        <w:t>项目概况</w:t>
      </w:r>
      <w:bookmarkEnd w:id="6"/>
      <w:bookmarkEnd w:id="7"/>
    </w:p>
    <w:p w14:paraId="138C742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8" w:name="_Toc1982"/>
      <w:bookmarkStart w:id="9" w:name="_Toc72129824"/>
      <w:bookmarkStart w:id="10" w:name="_Toc11524"/>
      <w:bookmarkStart w:id="11" w:name="_Toc72117809"/>
      <w:bookmarkStart w:id="12" w:name="_Toc73028717"/>
      <w:bookmarkStart w:id="13" w:name="_Toc26821"/>
      <w:r>
        <w:rPr>
          <w:rFonts w:hint="eastAsia" w:ascii="仿宋_GB2312" w:hAnsi="宋体" w:eastAsia="仿宋_GB2312" w:cs="宋体"/>
          <w:b/>
          <w:bCs w:val="0"/>
          <w:color w:val="auto"/>
          <w:kern w:val="0"/>
          <w:sz w:val="32"/>
          <w:szCs w:val="32"/>
          <w:highlight w:val="none"/>
        </w:rPr>
        <w:t>1.项目背景</w:t>
      </w:r>
      <w:bookmarkEnd w:id="8"/>
      <w:bookmarkEnd w:id="9"/>
      <w:bookmarkEnd w:id="10"/>
      <w:bookmarkEnd w:id="11"/>
      <w:bookmarkEnd w:id="12"/>
      <w:bookmarkEnd w:id="13"/>
    </w:p>
    <w:p w14:paraId="732D075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highlight w:val="none"/>
          <w:lang w:val="en-US" w:eastAsia="zh-CN"/>
        </w:rPr>
      </w:pPr>
      <w:r>
        <w:rPr>
          <w:rFonts w:hint="eastAsia" w:ascii="仿宋_GB2312" w:hAnsi="仿宋_GB2312" w:eastAsia="仿宋_GB2312" w:cs="仿宋_GB2312"/>
          <w:color w:val="auto"/>
          <w:sz w:val="32"/>
          <w:highlight w:val="none"/>
          <w:lang w:val="en-US" w:eastAsia="zh-CN"/>
        </w:rPr>
        <w:t>2016年，全国《体育发展“十三五”规划》指出“十三五”时期我国体育发展的主要目标是深化体育重点领域改革，促进群众体育、竞技体育、体育产业、体育文化等各领域全面协调可持续发展，推进体育发展迈上新台阶。现阶段，群众体育、竞技体育、体育产业、体育文化是构成我国体育事业的四大核心领域。</w:t>
      </w:r>
    </w:p>
    <w:p w14:paraId="4D83F518">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highlight w:val="none"/>
          <w:lang w:val="en-US" w:eastAsia="zh-CN"/>
        </w:rPr>
      </w:pPr>
      <w:r>
        <w:rPr>
          <w:rFonts w:hint="eastAsia" w:ascii="仿宋_GB2312" w:hAnsi="仿宋_GB2312" w:eastAsia="仿宋_GB2312" w:cs="仿宋_GB2312"/>
          <w:color w:val="auto"/>
          <w:sz w:val="32"/>
          <w:highlight w:val="none"/>
          <w:lang w:val="en-US" w:eastAsia="zh-CN"/>
        </w:rPr>
        <w:t>2017年，《北京市“十三五”时期体育发展规划》（京体办字〔2017〕15号）指出“坚持体育跨区域协同发展的新方向，坚持群众体育、竞技体育、青少年体育和体育产业融合发展的新理念，坚持遵循体育与教育、医疗、文化、科技、旅游、金融等领域融合发展的新趋势”和“研究教育与体育互补的竞技体育人才培养途径，加强北京什刹海体校、北京芦城体校、北京体育职业学院为主体的职业教育体系建设”。</w:t>
      </w:r>
    </w:p>
    <w:p w14:paraId="1109EBD3">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24"/>
          <w:highlight w:val="none"/>
          <w:lang w:val="en-US" w:eastAsia="zh-CN" w:bidi="ar-SA"/>
        </w:rPr>
      </w:pPr>
      <w:r>
        <w:rPr>
          <w:rFonts w:hint="eastAsia" w:ascii="仿宋_GB2312" w:hAnsi="仿宋_GB2312" w:eastAsia="仿宋_GB2312" w:cs="仿宋_GB2312"/>
          <w:color w:val="auto"/>
          <w:kern w:val="2"/>
          <w:sz w:val="32"/>
          <w:szCs w:val="24"/>
          <w:highlight w:val="none"/>
          <w:lang w:val="en-US" w:eastAsia="zh-CN" w:bidi="ar-SA"/>
        </w:rPr>
        <w:t>为贯彻执行党和国家发展职业教育的精神，全面落实《国家职业教育改革实施方案》（国发〔2019〕4号）、《北京市人民政府关于加快发展现代职业教育的实施意见》（京政发〔2015〕57号）等文件的重要内容，有效实施《北京职业教育改革发展行动计划（2018—2020年）》（京教职成〔2018〕4号）文件的主要任务，北京市教委于2018年底开展了北京市特色高水平职业院校、骨干专业（群）、实训基地（工程学院和技术技能大师工作室）项目申报工作。2019年北京市教委开展第二批“特高”项目申报工作，并发布《关于开展第二批北京市职业院校特色高水平骨干专业（群）和实训基地遴选与建设工作的通知》（京教职成〔2019〕18号），北京体育职业学院根据以上文件精神以及学院办学定位和未来发展方向，2019年7月17日提交《拟申报市教委“特高”项目的请示》（京体院字〔2019〕26号），2019年7月19日通过了北京市体育局审批，申报该项目。</w:t>
      </w:r>
    </w:p>
    <w:p w14:paraId="05AD8037">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24"/>
          <w:highlight w:val="none"/>
          <w:lang w:val="en-US" w:eastAsia="zh-CN" w:bidi="ar-SA"/>
        </w:rPr>
      </w:pPr>
      <w:r>
        <w:rPr>
          <w:rFonts w:hint="eastAsia" w:ascii="仿宋_GB2312" w:hAnsi="仿宋_GB2312" w:eastAsia="仿宋_GB2312" w:cs="仿宋_GB2312"/>
          <w:color w:val="auto"/>
          <w:kern w:val="2"/>
          <w:sz w:val="32"/>
          <w:szCs w:val="24"/>
          <w:highlight w:val="none"/>
          <w:lang w:val="en-US" w:eastAsia="zh-CN" w:bidi="ar-SA"/>
        </w:rPr>
        <w:t>2020年9月28日，根据北京市教育委员会 北京市人力资源和社会保障局《关于公布第二批北京市职业院校特色高水平骨干专业（群）和实训基地（工程师学院、技术技能大师工作室）建设名单的通知》（</w:t>
      </w:r>
      <w:r>
        <w:rPr>
          <w:rFonts w:hint="eastAsia" w:ascii="仿宋_GB2312" w:hAnsi="仿宋_GB2312" w:eastAsia="仿宋_GB2312" w:cs="仿宋_GB2312"/>
          <w:color w:val="auto"/>
          <w:kern w:val="2"/>
          <w:sz w:val="32"/>
          <w:szCs w:val="24"/>
          <w:highlight w:val="none"/>
          <w:lang w:val="en" w:eastAsia="zh-CN" w:bidi="ar-SA"/>
        </w:rPr>
        <w:t>京教职成〔2020〕13</w:t>
      </w:r>
      <w:r>
        <w:rPr>
          <w:rFonts w:hint="eastAsia" w:ascii="仿宋_GB2312" w:hAnsi="仿宋_GB2312" w:eastAsia="仿宋_GB2312" w:cs="仿宋_GB2312"/>
          <w:color w:val="auto"/>
          <w:kern w:val="2"/>
          <w:sz w:val="32"/>
          <w:szCs w:val="24"/>
          <w:highlight w:val="none"/>
          <w:lang w:val="en-US" w:eastAsia="zh-CN" w:bidi="ar-SA"/>
        </w:rPr>
        <w:t>号</w:t>
      </w:r>
      <w:r>
        <w:rPr>
          <w:rFonts w:hint="eastAsia" w:ascii="仿宋_GB2312" w:hAnsi="仿宋_GB2312" w:eastAsia="仿宋_GB2312" w:cs="仿宋_GB2312"/>
          <w:color w:val="auto"/>
          <w:kern w:val="2"/>
          <w:sz w:val="32"/>
          <w:szCs w:val="24"/>
          <w:highlight w:val="none"/>
          <w:lang w:val="en" w:eastAsia="zh-CN" w:bidi="ar-SA"/>
        </w:rPr>
        <w:t>），</w:t>
      </w:r>
      <w:r>
        <w:rPr>
          <w:rFonts w:hint="eastAsia" w:ascii="仿宋_GB2312" w:hAnsi="仿宋_GB2312" w:eastAsia="仿宋_GB2312" w:cs="仿宋_GB2312"/>
          <w:color w:val="auto"/>
          <w:kern w:val="2"/>
          <w:sz w:val="32"/>
          <w:szCs w:val="24"/>
          <w:highlight w:val="none"/>
          <w:lang w:val="en-US" w:eastAsia="zh-CN" w:bidi="ar-SA"/>
        </w:rPr>
        <w:t>该项目纳入建设名单。</w:t>
      </w:r>
    </w:p>
    <w:p w14:paraId="69DBBB85">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24"/>
          <w:highlight w:val="none"/>
          <w:lang w:val="en-US" w:eastAsia="zh-CN" w:bidi="ar-SA"/>
        </w:rPr>
      </w:pPr>
      <w:r>
        <w:rPr>
          <w:rFonts w:hint="eastAsia" w:ascii="仿宋_GB2312" w:hAnsi="仿宋_GB2312" w:eastAsia="仿宋_GB2312" w:cs="仿宋_GB2312"/>
          <w:color w:val="auto"/>
          <w:kern w:val="2"/>
          <w:sz w:val="32"/>
          <w:szCs w:val="24"/>
          <w:highlight w:val="none"/>
          <w:lang w:val="en-US" w:eastAsia="zh-CN" w:bidi="ar-SA"/>
        </w:rPr>
        <w:t>该项目连续三年纳入北京体育职业学院工作计划，2021年明确“以‘特高’项目建设为引领，以运动与健康专业群和王福全冰球技能工作室建设为核心，推动我院整体工作迈上新台阶，迎来新发展，办出新特色”；2022年明确“运动与健康专业群建设以完善首年度建设任务为落脚点，以完成本年度建设任务为重点，全面推进专业群建设，为项目的中期验收做好准备”；2023年明确“贯彻执行‘十四五’重点工作任务，持续加强‘特高’项目建设，积极落实‘8631’发展规划，积极推进产教融合、训教结合、校企合作，提升学院核心竞争力”。</w:t>
      </w:r>
    </w:p>
    <w:p w14:paraId="26E54EE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14" w:name="_Toc12232"/>
      <w:bookmarkStart w:id="15" w:name="_Toc30302"/>
      <w:bookmarkStart w:id="16" w:name="_Toc22426"/>
      <w:r>
        <w:rPr>
          <w:rFonts w:hint="eastAsia" w:ascii="仿宋_GB2312" w:hAnsi="宋体" w:eastAsia="仿宋_GB2312" w:cs="宋体"/>
          <w:b/>
          <w:bCs w:val="0"/>
          <w:color w:val="auto"/>
          <w:kern w:val="0"/>
          <w:sz w:val="32"/>
          <w:szCs w:val="32"/>
          <w:highlight w:val="none"/>
          <w:lang w:val="en-US" w:eastAsia="zh-CN"/>
        </w:rPr>
        <w:t>2</w:t>
      </w:r>
      <w:r>
        <w:rPr>
          <w:rFonts w:hint="eastAsia" w:ascii="仿宋_GB2312" w:hAnsi="宋体" w:eastAsia="仿宋_GB2312" w:cs="宋体"/>
          <w:b/>
          <w:bCs w:val="0"/>
          <w:color w:val="auto"/>
          <w:kern w:val="0"/>
          <w:sz w:val="32"/>
          <w:szCs w:val="32"/>
          <w:highlight w:val="none"/>
        </w:rPr>
        <w:t>.项目主要内容</w:t>
      </w:r>
      <w:bookmarkEnd w:id="14"/>
      <w:bookmarkEnd w:id="15"/>
      <w:bookmarkEnd w:id="16"/>
    </w:p>
    <w:p w14:paraId="4C3298B5">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color w:val="auto"/>
          <w:sz w:val="32"/>
          <w:highlight w:val="none"/>
          <w:lang w:val="en-US" w:eastAsia="zh-CN"/>
        </w:rPr>
      </w:pPr>
      <w:r>
        <w:rPr>
          <w:rFonts w:hint="default" w:ascii="仿宋_GB2312" w:hAnsi="仿宋_GB2312" w:eastAsia="仿宋_GB2312" w:cs="仿宋_GB2312"/>
          <w:color w:val="auto"/>
          <w:sz w:val="32"/>
          <w:highlight w:val="none"/>
          <w:lang w:val="en-US" w:eastAsia="zh-CN"/>
        </w:rPr>
        <w:t>为深入推进</w:t>
      </w:r>
      <w:r>
        <w:rPr>
          <w:rFonts w:hint="eastAsia" w:ascii="仿宋_GB2312" w:hAnsi="仿宋_GB2312" w:eastAsia="仿宋_GB2312" w:cs="仿宋_GB2312"/>
          <w:color w:val="auto"/>
          <w:sz w:val="32"/>
          <w:highlight w:val="none"/>
          <w:lang w:val="en-US" w:eastAsia="zh-CN"/>
        </w:rPr>
        <w:t>北京体育职业</w:t>
      </w:r>
      <w:r>
        <w:rPr>
          <w:rFonts w:hint="default" w:ascii="仿宋_GB2312" w:hAnsi="仿宋_GB2312" w:eastAsia="仿宋_GB2312" w:cs="仿宋_GB2312"/>
          <w:color w:val="auto"/>
          <w:sz w:val="32"/>
          <w:highlight w:val="none"/>
          <w:lang w:val="en-US" w:eastAsia="zh-CN"/>
        </w:rPr>
        <w:t>学院高质量发展，学院申请的运动与健康专业群</w:t>
      </w:r>
      <w:r>
        <w:rPr>
          <w:rFonts w:hint="eastAsia" w:ascii="仿宋_GB2312" w:hAnsi="仿宋_GB2312" w:eastAsia="仿宋_GB2312" w:cs="仿宋_GB2312"/>
          <w:color w:val="auto"/>
          <w:sz w:val="32"/>
          <w:highlight w:val="none"/>
          <w:lang w:val="en-US" w:eastAsia="zh-CN"/>
        </w:rPr>
        <w:t>项目</w:t>
      </w:r>
      <w:r>
        <w:rPr>
          <w:rFonts w:hint="default" w:ascii="仿宋_GB2312" w:hAnsi="仿宋_GB2312" w:eastAsia="仿宋_GB2312" w:cs="仿宋_GB2312"/>
          <w:color w:val="auto"/>
          <w:sz w:val="32"/>
          <w:highlight w:val="none"/>
          <w:lang w:val="en-US" w:eastAsia="zh-CN"/>
        </w:rPr>
        <w:t>于2020年9月获批立项，列入北京市第二批特色高水平骨干专业群建设项目，项目为期3年，2023年为最后一年。项目围绕总目标从人才培养模式创新、课程教学资源建设、教材与教法改革、教师教学创新团队、实践教学基地、技术技能平台、可持续发展保障机制等几个方面开展工作。</w:t>
      </w:r>
    </w:p>
    <w:p w14:paraId="02E8A3B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17" w:name="_Toc17980"/>
      <w:bookmarkStart w:id="18" w:name="_Toc4355"/>
      <w:bookmarkStart w:id="19" w:name="_Toc7233"/>
      <w:r>
        <w:rPr>
          <w:rFonts w:hint="eastAsia" w:ascii="仿宋_GB2312" w:hAnsi="宋体" w:eastAsia="仿宋_GB2312" w:cs="宋体"/>
          <w:b/>
          <w:bCs w:val="0"/>
          <w:color w:val="auto"/>
          <w:kern w:val="0"/>
          <w:sz w:val="32"/>
          <w:szCs w:val="32"/>
          <w:highlight w:val="none"/>
          <w:lang w:val="en-US" w:eastAsia="zh-CN"/>
        </w:rPr>
        <w:t>3</w:t>
      </w:r>
      <w:r>
        <w:rPr>
          <w:rFonts w:hint="eastAsia" w:ascii="仿宋_GB2312" w:hAnsi="宋体" w:eastAsia="仿宋_GB2312" w:cs="宋体"/>
          <w:b/>
          <w:bCs w:val="0"/>
          <w:color w:val="auto"/>
          <w:kern w:val="0"/>
          <w:sz w:val="32"/>
          <w:szCs w:val="32"/>
          <w:highlight w:val="none"/>
        </w:rPr>
        <w:t>.项目资金情况</w:t>
      </w:r>
      <w:bookmarkEnd w:id="17"/>
      <w:bookmarkEnd w:id="18"/>
      <w:bookmarkEnd w:id="19"/>
    </w:p>
    <w:p w14:paraId="7C4FEA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sz w:val="32"/>
          <w:highlight w:val="none"/>
          <w:lang w:val="en-US" w:eastAsia="zh-CN"/>
        </w:rPr>
        <w:t>2023年2月，</w:t>
      </w:r>
      <w:r>
        <w:rPr>
          <w:rFonts w:hint="eastAsia" w:ascii="仿宋_GB2312" w:hAnsi="仿宋_GB2312" w:eastAsia="仿宋_GB2312" w:cs="仿宋_GB2312"/>
          <w:color w:val="auto"/>
          <w:sz w:val="32"/>
          <w:szCs w:val="32"/>
          <w:highlight w:val="none"/>
        </w:rPr>
        <w:t>北京市财政局《关于批复北京市体育局202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年预算的函》</w:t>
      </w:r>
      <w:r>
        <w:rPr>
          <w:rFonts w:hint="eastAsia" w:ascii="仿宋_GB2312" w:hAnsi="仿宋_GB2312" w:eastAsia="仿宋_GB2312" w:cs="仿宋_GB2312"/>
          <w:color w:val="auto"/>
          <w:sz w:val="32"/>
          <w:highlight w:val="none"/>
          <w:lang w:val="en-US" w:eastAsia="zh-CN"/>
        </w:rPr>
        <w:t>（京财科文指</w:t>
      </w:r>
      <w:r>
        <w:rPr>
          <w:rFonts w:hint="eastAsia" w:ascii="仿宋_GB2312" w:hAnsi="仿宋_GB2312" w:eastAsia="仿宋_GB2312" w:cs="仿宋_GB2312"/>
          <w:color w:val="auto"/>
          <w:kern w:val="0"/>
          <w:sz w:val="32"/>
          <w:szCs w:val="32"/>
          <w:highlight w:val="none"/>
        </w:rPr>
        <w:t>〔202</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z w:val="32"/>
          <w:highlight w:val="none"/>
          <w:lang w:val="en-US" w:eastAsia="zh-CN"/>
        </w:rPr>
        <w:t>0049号）和北京市体育局《关于2023年预算的批复》</w:t>
      </w:r>
      <w:r>
        <w:rPr>
          <w:rFonts w:hint="eastAsia" w:ascii="仿宋_GB2312" w:hAnsi="仿宋_GB2312" w:eastAsia="仿宋_GB2312" w:cs="仿宋_GB2312"/>
          <w:color w:val="auto"/>
          <w:kern w:val="0"/>
          <w:sz w:val="32"/>
          <w:szCs w:val="32"/>
          <w:highlight w:val="none"/>
        </w:rPr>
        <w:t>（京</w:t>
      </w:r>
      <w:r>
        <w:rPr>
          <w:rFonts w:hint="eastAsia" w:ascii="仿宋_GB2312" w:hAnsi="仿宋_GB2312" w:eastAsia="仿宋_GB2312" w:cs="仿宋_GB2312"/>
          <w:color w:val="auto"/>
          <w:kern w:val="0"/>
          <w:sz w:val="32"/>
          <w:szCs w:val="32"/>
          <w:highlight w:val="none"/>
          <w:lang w:val="en-US" w:eastAsia="zh-CN"/>
        </w:rPr>
        <w:t>体</w:t>
      </w:r>
      <w:r>
        <w:rPr>
          <w:rFonts w:hint="eastAsia" w:ascii="仿宋_GB2312" w:hAnsi="仿宋_GB2312" w:eastAsia="仿宋_GB2312" w:cs="仿宋_GB2312"/>
          <w:color w:val="auto"/>
          <w:kern w:val="0"/>
          <w:sz w:val="32"/>
          <w:szCs w:val="32"/>
          <w:highlight w:val="none"/>
        </w:rPr>
        <w:t>财</w:t>
      </w:r>
      <w:r>
        <w:rPr>
          <w:rFonts w:hint="eastAsia" w:ascii="仿宋_GB2312" w:hAnsi="仿宋_GB2312" w:eastAsia="仿宋_GB2312" w:cs="仿宋_GB2312"/>
          <w:color w:val="auto"/>
          <w:kern w:val="0"/>
          <w:sz w:val="32"/>
          <w:szCs w:val="32"/>
          <w:highlight w:val="none"/>
          <w:lang w:val="en-US" w:eastAsia="zh-CN"/>
        </w:rPr>
        <w:t>字</w:t>
      </w:r>
      <w:r>
        <w:rPr>
          <w:rFonts w:hint="eastAsia" w:ascii="仿宋_GB2312" w:hAnsi="仿宋_GB2312" w:eastAsia="仿宋_GB2312" w:cs="仿宋_GB2312"/>
          <w:color w:val="auto"/>
          <w:kern w:val="0"/>
          <w:sz w:val="32"/>
          <w:szCs w:val="32"/>
          <w:highlight w:val="none"/>
        </w:rPr>
        <w:t>〔202</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7</w:t>
      </w:r>
      <w:r>
        <w:rPr>
          <w:rFonts w:hint="eastAsia" w:ascii="仿宋_GB2312" w:hAnsi="仿宋_GB2312" w:eastAsia="仿宋_GB2312" w:cs="仿宋_GB2312"/>
          <w:color w:val="auto"/>
          <w:kern w:val="0"/>
          <w:sz w:val="32"/>
          <w:szCs w:val="32"/>
          <w:highlight w:val="none"/>
        </w:rPr>
        <w:t>号）</w:t>
      </w:r>
      <w:r>
        <w:rPr>
          <w:rFonts w:hint="eastAsia" w:ascii="仿宋_GB2312" w:hAnsi="仿宋_GB2312" w:eastAsia="仿宋_GB2312" w:cs="仿宋_GB2312"/>
          <w:color w:val="auto"/>
          <w:kern w:val="0"/>
          <w:sz w:val="32"/>
          <w:szCs w:val="32"/>
          <w:highlight w:val="none"/>
          <w:lang w:val="en-US" w:eastAsia="zh-CN"/>
        </w:rPr>
        <w:t>批复该项目年初预算金额</w:t>
      </w:r>
      <w:r>
        <w:rPr>
          <w:rFonts w:hint="eastAsia" w:ascii="仿宋_GB2312" w:hAnsi="仿宋_GB2312" w:eastAsia="仿宋_GB2312" w:cs="仿宋_GB2312"/>
          <w:color w:val="auto"/>
          <w:sz w:val="32"/>
          <w:highlight w:val="none"/>
          <w:lang w:val="en-US" w:eastAsia="zh-CN"/>
        </w:rPr>
        <w:t>500.742</w:t>
      </w:r>
      <w:r>
        <w:rPr>
          <w:rFonts w:hint="eastAsia" w:ascii="仿宋_GB2312" w:hAnsi="仿宋_GB2312" w:eastAsia="仿宋_GB2312" w:cs="仿宋_GB2312"/>
          <w:color w:val="auto"/>
          <w:kern w:val="0"/>
          <w:sz w:val="32"/>
          <w:szCs w:val="32"/>
          <w:highlight w:val="none"/>
          <w:lang w:val="en-US" w:eastAsia="zh-CN"/>
        </w:rPr>
        <w:t>万元。</w:t>
      </w:r>
    </w:p>
    <w:p w14:paraId="38828C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sz w:val="32"/>
          <w:highlight w:val="none"/>
          <w:lang w:val="en-US" w:eastAsia="zh-CN"/>
        </w:rPr>
        <w:t>2023年9月27日，根据</w:t>
      </w:r>
      <w:r>
        <w:rPr>
          <w:rFonts w:hint="eastAsia" w:ascii="仿宋_GB2312" w:hAnsi="仿宋_GB2312" w:eastAsia="仿宋_GB2312" w:cs="仿宋_GB2312"/>
          <w:color w:val="auto"/>
          <w:kern w:val="0"/>
          <w:sz w:val="32"/>
          <w:szCs w:val="32"/>
          <w:highlight w:val="none"/>
          <w:lang w:val="en-US" w:eastAsia="zh-CN"/>
        </w:rPr>
        <w:t>北京市财政局《关于核减预算单位一般性支出等预算的函》</w:t>
      </w:r>
      <w:r>
        <w:rPr>
          <w:rFonts w:hint="eastAsia" w:ascii="仿宋_GB2312" w:hAnsi="仿宋_GB2312" w:eastAsia="仿宋_GB2312" w:cs="仿宋_GB2312"/>
          <w:color w:val="auto"/>
          <w:kern w:val="0"/>
          <w:sz w:val="32"/>
          <w:szCs w:val="32"/>
          <w:highlight w:val="none"/>
        </w:rPr>
        <w:t>（京财</w:t>
      </w:r>
      <w:r>
        <w:rPr>
          <w:rFonts w:hint="eastAsia" w:ascii="仿宋_GB2312" w:hAnsi="仿宋_GB2312" w:eastAsia="仿宋_GB2312" w:cs="仿宋_GB2312"/>
          <w:color w:val="auto"/>
          <w:kern w:val="0"/>
          <w:sz w:val="32"/>
          <w:szCs w:val="32"/>
          <w:highlight w:val="none"/>
          <w:lang w:val="en-US" w:eastAsia="zh-CN"/>
        </w:rPr>
        <w:t>科文指</w:t>
      </w:r>
      <w:r>
        <w:rPr>
          <w:rFonts w:hint="eastAsia" w:ascii="仿宋_GB2312" w:hAnsi="仿宋_GB2312" w:eastAsia="仿宋_GB2312" w:cs="仿宋_GB2312"/>
          <w:color w:val="auto"/>
          <w:kern w:val="0"/>
          <w:sz w:val="32"/>
          <w:szCs w:val="32"/>
          <w:highlight w:val="none"/>
        </w:rPr>
        <w:t>〔202</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1609</w:t>
      </w:r>
      <w:r>
        <w:rPr>
          <w:rFonts w:hint="eastAsia" w:ascii="仿宋_GB2312" w:hAnsi="仿宋_GB2312" w:eastAsia="仿宋_GB2312" w:cs="仿宋_GB2312"/>
          <w:color w:val="auto"/>
          <w:kern w:val="0"/>
          <w:sz w:val="32"/>
          <w:szCs w:val="32"/>
          <w:highlight w:val="none"/>
        </w:rPr>
        <w:t>号）</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核减项目预算金额3.835万元，2023年度全年预算金额496.907万元。</w:t>
      </w:r>
    </w:p>
    <w:p w14:paraId="00A841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截至2023年12月31日，实际支出金额496.58万元，预算执行率99.93%，</w:t>
      </w:r>
      <w:r>
        <w:rPr>
          <w:rFonts w:hint="eastAsia" w:ascii="仿宋_GB2312" w:hAnsi="仿宋_GB2312" w:eastAsia="仿宋_GB2312" w:cs="仿宋_GB2312"/>
          <w:color w:val="auto"/>
          <w:sz w:val="32"/>
          <w:highlight w:val="none"/>
          <w:lang w:val="en-US" w:eastAsia="zh-CN"/>
        </w:rPr>
        <w:t>其中：保健康复专业实训教室建设设备费237.01万元、北京体育职业学院网络教学平台系统运维费20.00万元、资源建设费和课程标准建设费209.1550万元、群建设核心人员专业领域业务劳务费、培训费和咨询技术服务费30.4150万元</w:t>
      </w:r>
      <w:r>
        <w:rPr>
          <w:rFonts w:hint="eastAsia" w:ascii="仿宋_GB2312" w:hAnsi="仿宋_GB2312" w:eastAsia="仿宋_GB2312" w:cs="仿宋_GB2312"/>
          <w:color w:val="auto"/>
          <w:kern w:val="0"/>
          <w:sz w:val="32"/>
          <w:szCs w:val="32"/>
          <w:highlight w:val="none"/>
          <w:lang w:val="en-US" w:eastAsia="zh-CN"/>
        </w:rPr>
        <w:t>。</w:t>
      </w:r>
    </w:p>
    <w:p w14:paraId="4BB2C2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kern w:val="0"/>
          <w:sz w:val="32"/>
          <w:szCs w:val="32"/>
        </w:rPr>
        <w:t>截</w:t>
      </w:r>
      <w:r>
        <w:rPr>
          <w:rFonts w:hint="eastAsia" w:ascii="仿宋_GB2312" w:hAnsi="仿宋_GB2312" w:eastAsia="仿宋_GB2312" w:cs="仿宋_GB2312"/>
          <w:color w:val="auto"/>
          <w:kern w:val="0"/>
          <w:sz w:val="32"/>
          <w:szCs w:val="32"/>
          <w:highlight w:val="none"/>
          <w:lang w:val="en-US" w:eastAsia="zh-CN"/>
        </w:rPr>
        <w:t>至</w:t>
      </w:r>
      <w:r>
        <w:rPr>
          <w:rFonts w:hint="eastAsia" w:ascii="仿宋_GB2312" w:hAnsi="仿宋_GB2312" w:eastAsia="仿宋_GB2312" w:cs="仿宋_GB2312"/>
          <w:kern w:val="0"/>
          <w:sz w:val="32"/>
          <w:szCs w:val="32"/>
        </w:rPr>
        <w:t>2023年12月31日</w:t>
      </w:r>
      <w:r>
        <w:rPr>
          <w:rFonts w:hint="eastAsia" w:ascii="仿宋_GB2312" w:hAnsi="仿宋_GB2312" w:eastAsia="仿宋_GB2312" w:cs="仿宋_GB2312"/>
          <w:color w:val="auto"/>
          <w:sz w:val="32"/>
          <w:highlight w:val="none"/>
          <w:lang w:val="en-US" w:eastAsia="zh-CN"/>
        </w:rPr>
        <w:t>，</w:t>
      </w:r>
      <w:r>
        <w:rPr>
          <w:rFonts w:hint="eastAsia" w:ascii="仿宋_GB2312" w:hAnsi="仿宋_GB2312" w:eastAsia="仿宋_GB2312" w:cs="仿宋_GB2312"/>
          <w:color w:val="auto"/>
          <w:kern w:val="0"/>
          <w:sz w:val="32"/>
          <w:szCs w:val="32"/>
          <w:highlight w:val="none"/>
          <w:lang w:val="en-US" w:eastAsia="zh-CN"/>
        </w:rPr>
        <w:t>结余资金0.327万元。2024年2月27日，根据北京市体育局《关于核减收回2023年度零余额账户结余资金的通知》</w:t>
      </w:r>
      <w:r>
        <w:rPr>
          <w:rFonts w:hint="eastAsia" w:ascii="仿宋_GB2312" w:hAnsi="仿宋_GB2312" w:eastAsia="仿宋_GB2312" w:cs="仿宋_GB2312"/>
          <w:color w:val="auto"/>
          <w:kern w:val="0"/>
          <w:sz w:val="32"/>
          <w:szCs w:val="32"/>
          <w:highlight w:val="none"/>
        </w:rPr>
        <w:t>（京</w:t>
      </w:r>
      <w:r>
        <w:rPr>
          <w:rFonts w:hint="eastAsia" w:ascii="仿宋_GB2312" w:hAnsi="仿宋_GB2312" w:eastAsia="仿宋_GB2312" w:cs="仿宋_GB2312"/>
          <w:color w:val="auto"/>
          <w:kern w:val="0"/>
          <w:sz w:val="32"/>
          <w:szCs w:val="32"/>
          <w:highlight w:val="none"/>
          <w:lang w:val="en-US" w:eastAsia="zh-CN"/>
        </w:rPr>
        <w:t>体财字</w:t>
      </w:r>
      <w:r>
        <w:rPr>
          <w:rFonts w:hint="eastAsia" w:ascii="仿宋_GB2312" w:hAnsi="仿宋_GB2312" w:eastAsia="仿宋_GB2312" w:cs="仿宋_GB2312"/>
          <w:color w:val="auto"/>
          <w:kern w:val="0"/>
          <w:sz w:val="32"/>
          <w:szCs w:val="32"/>
          <w:highlight w:val="none"/>
        </w:rPr>
        <w:t>〔202</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13</w:t>
      </w:r>
      <w:r>
        <w:rPr>
          <w:rFonts w:hint="eastAsia" w:ascii="仿宋_GB2312" w:hAnsi="仿宋_GB2312" w:eastAsia="仿宋_GB2312" w:cs="仿宋_GB2312"/>
          <w:color w:val="auto"/>
          <w:kern w:val="0"/>
          <w:sz w:val="32"/>
          <w:szCs w:val="32"/>
          <w:highlight w:val="none"/>
        </w:rPr>
        <w:t>号）</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结余资金已全部上交市财政。</w:t>
      </w:r>
    </w:p>
    <w:p w14:paraId="07E810F3">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center"/>
        <w:textAlignment w:val="auto"/>
        <w:rPr>
          <w:rFonts w:hint="eastAsia" w:ascii="仿宋_GB2312" w:hAnsi="宋体" w:eastAsia="仿宋_GB2312" w:cs="仿宋_GB2312"/>
          <w:b/>
          <w:bCs/>
          <w:i w:val="0"/>
          <w:iCs w:val="0"/>
          <w:color w:val="auto"/>
          <w:kern w:val="0"/>
          <w:sz w:val="32"/>
          <w:szCs w:val="32"/>
          <w:highlight w:val="none"/>
          <w:u w:val="none"/>
          <w:lang w:val="en-US" w:eastAsia="zh-CN" w:bidi="ar"/>
        </w:rPr>
      </w:pPr>
      <w:r>
        <w:rPr>
          <w:rFonts w:hint="eastAsia" w:ascii="仿宋_GB2312" w:hAnsi="宋体" w:eastAsia="仿宋_GB2312" w:cs="仿宋_GB2312"/>
          <w:b/>
          <w:bCs/>
          <w:i w:val="0"/>
          <w:iCs w:val="0"/>
          <w:color w:val="auto"/>
          <w:kern w:val="0"/>
          <w:sz w:val="32"/>
          <w:szCs w:val="32"/>
          <w:highlight w:val="none"/>
          <w:u w:val="none"/>
          <w:lang w:val="en-US" w:eastAsia="zh-CN" w:bidi="ar"/>
        </w:rPr>
        <w:t>2023年度北京市特色高水平骨干专业（群）</w:t>
      </w:r>
    </w:p>
    <w:p w14:paraId="7D7A4CE2">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center"/>
        <w:textAlignment w:val="auto"/>
        <w:rPr>
          <w:rFonts w:hint="eastAsia" w:ascii="仿宋_GB2312" w:hAnsi="宋体" w:eastAsia="仿宋_GB2312" w:cs="仿宋_GB2312"/>
          <w:b/>
          <w:bCs/>
          <w:i w:val="0"/>
          <w:iCs w:val="0"/>
          <w:color w:val="auto"/>
          <w:kern w:val="0"/>
          <w:sz w:val="32"/>
          <w:szCs w:val="32"/>
          <w:highlight w:val="none"/>
          <w:u w:val="none"/>
          <w:lang w:val="en-US" w:eastAsia="zh-CN" w:bidi="ar"/>
        </w:rPr>
      </w:pPr>
      <w:r>
        <w:rPr>
          <w:rFonts w:hint="eastAsia" w:ascii="仿宋_GB2312" w:hAnsi="宋体" w:eastAsia="仿宋_GB2312" w:cs="仿宋_GB2312"/>
          <w:b/>
          <w:bCs/>
          <w:i w:val="0"/>
          <w:iCs w:val="0"/>
          <w:color w:val="auto"/>
          <w:kern w:val="0"/>
          <w:sz w:val="32"/>
          <w:szCs w:val="32"/>
          <w:highlight w:val="none"/>
          <w:u w:val="none"/>
          <w:lang w:val="en-US" w:eastAsia="zh-CN" w:bidi="ar"/>
        </w:rPr>
        <w:t>－运动与健康专业群项目资金情况表</w:t>
      </w:r>
    </w:p>
    <w:p w14:paraId="2E1B7E8A">
      <w:pPr>
        <w:keepNext w:val="0"/>
        <w:keepLines w:val="0"/>
        <w:pageBreakBefore w:val="0"/>
        <w:kinsoku/>
        <w:wordWrap/>
        <w:overflowPunct/>
        <w:topLinePunct w:val="0"/>
        <w:autoSpaceDE/>
        <w:autoSpaceDN/>
        <w:bidi w:val="0"/>
        <w:adjustRightInd/>
        <w:snapToGrid/>
        <w:spacing w:line="560" w:lineRule="exact"/>
        <w:ind w:firstLine="643" w:firstLineChars="200"/>
        <w:jc w:val="right"/>
        <w:textAlignment w:val="auto"/>
        <w:rPr>
          <w:rFonts w:hint="eastAsia" w:ascii="仿宋_GB2312" w:hAnsi="宋体" w:eastAsia="仿宋_GB2312" w:cs="仿宋_GB2312"/>
          <w:b/>
          <w:bCs/>
          <w:i w:val="0"/>
          <w:iCs w:val="0"/>
          <w:color w:val="auto"/>
          <w:kern w:val="0"/>
          <w:sz w:val="32"/>
          <w:szCs w:val="32"/>
          <w:highlight w:val="none"/>
          <w:u w:val="none"/>
          <w:lang w:val="en-US" w:eastAsia="zh-CN" w:bidi="ar"/>
        </w:rPr>
      </w:pPr>
      <w:r>
        <w:rPr>
          <w:rFonts w:hint="eastAsia" w:ascii="仿宋_GB2312" w:hAnsi="宋体" w:eastAsia="仿宋_GB2312" w:cs="仿宋_GB2312"/>
          <w:b/>
          <w:bCs/>
          <w:i w:val="0"/>
          <w:iCs w:val="0"/>
          <w:color w:val="auto"/>
          <w:kern w:val="0"/>
          <w:sz w:val="32"/>
          <w:szCs w:val="32"/>
          <w:highlight w:val="none"/>
          <w:u w:val="none"/>
          <w:lang w:val="en-US" w:eastAsia="zh-CN" w:bidi="ar"/>
        </w:rPr>
        <w:t>单位：万元</w:t>
      </w:r>
    </w:p>
    <w:tbl>
      <w:tblPr>
        <w:tblStyle w:val="19"/>
        <w:tblW w:w="10425" w:type="dxa"/>
        <w:tblInd w:w="-9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1800"/>
        <w:gridCol w:w="1358"/>
        <w:gridCol w:w="1653"/>
        <w:gridCol w:w="1380"/>
        <w:gridCol w:w="1497"/>
        <w:gridCol w:w="2017"/>
      </w:tblGrid>
      <w:tr w14:paraId="77A96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1260">
            <w:pPr>
              <w:keepNext w:val="0"/>
              <w:keepLines w:val="0"/>
              <w:widowControl/>
              <w:suppressLineNumbers w:val="0"/>
              <w:jc w:val="center"/>
              <w:textAlignment w:val="center"/>
              <w:rPr>
                <w:rFonts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586B">
            <w:pPr>
              <w:keepNext w:val="0"/>
              <w:keepLines w:val="0"/>
              <w:widowControl/>
              <w:suppressLineNumbers w:val="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经济科目</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8780">
            <w:pPr>
              <w:keepNext w:val="0"/>
              <w:keepLines w:val="0"/>
              <w:widowControl/>
              <w:suppressLineNumbers w:val="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年初预算数</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5DC8">
            <w:pPr>
              <w:keepNext w:val="0"/>
              <w:keepLines w:val="0"/>
              <w:widowControl/>
              <w:suppressLineNumbers w:val="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全年预算数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DA35">
            <w:pPr>
              <w:keepNext w:val="0"/>
              <w:keepLines w:val="0"/>
              <w:widowControl/>
              <w:suppressLineNumbers w:val="0"/>
              <w:jc w:val="center"/>
              <w:textAlignment w:val="center"/>
              <w:rPr>
                <w:rFonts w:hint="default" w:ascii="仿宋_GB2312" w:hAnsi="宋体" w:eastAsia="仿宋_GB2312" w:cs="仿宋_GB2312"/>
                <w:b/>
                <w:bCs/>
                <w:i w:val="0"/>
                <w:iCs w:val="0"/>
                <w:color w:val="auto"/>
                <w:sz w:val="22"/>
                <w:szCs w:val="22"/>
                <w:highlight w:val="none"/>
                <w:u w:val="none"/>
                <w:lang w:val="en-US" w:eastAsia="zh-CN"/>
              </w:rPr>
            </w:pPr>
            <w:r>
              <w:rPr>
                <w:rFonts w:hint="eastAsia" w:ascii="仿宋_GB2312" w:hAnsi="宋体" w:eastAsia="仿宋_GB2312" w:cs="仿宋_GB2312"/>
                <w:b/>
                <w:bCs/>
                <w:i w:val="0"/>
                <w:iCs w:val="0"/>
                <w:color w:val="auto"/>
                <w:sz w:val="22"/>
                <w:szCs w:val="22"/>
                <w:highlight w:val="none"/>
                <w:u w:val="none"/>
                <w:lang w:val="en-US" w:eastAsia="zh-CN"/>
              </w:rPr>
              <w:t>决算数</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4CD2">
            <w:pPr>
              <w:keepNext w:val="0"/>
              <w:keepLines w:val="0"/>
              <w:widowControl/>
              <w:suppressLineNumbers w:val="0"/>
              <w:jc w:val="center"/>
              <w:textAlignment w:val="center"/>
              <w:rPr>
                <w:rFonts w:hint="default" w:ascii="仿宋_GB2312" w:hAnsi="宋体" w:eastAsia="仿宋_GB2312" w:cs="仿宋_GB2312"/>
                <w:b/>
                <w:bCs/>
                <w:i w:val="0"/>
                <w:iCs w:val="0"/>
                <w:color w:val="auto"/>
                <w:sz w:val="22"/>
                <w:szCs w:val="22"/>
                <w:highlight w:val="none"/>
                <w:u w:val="none"/>
                <w:lang w:val="en-US" w:eastAsia="zh-CN"/>
              </w:rPr>
            </w:pPr>
            <w:r>
              <w:rPr>
                <w:rFonts w:hint="eastAsia" w:ascii="仿宋_GB2312" w:hAnsi="宋体" w:eastAsia="仿宋_GB2312" w:cs="仿宋_GB2312"/>
                <w:b/>
                <w:bCs/>
                <w:i w:val="0"/>
                <w:iCs w:val="0"/>
                <w:color w:val="auto"/>
                <w:sz w:val="22"/>
                <w:szCs w:val="22"/>
                <w:highlight w:val="none"/>
                <w:u w:val="none"/>
                <w:lang w:val="en-US" w:eastAsia="zh-CN"/>
              </w:rPr>
              <w:t>结余</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5881">
            <w:pPr>
              <w:keepNext w:val="0"/>
              <w:keepLines w:val="0"/>
              <w:widowControl/>
              <w:suppressLineNumbers w:val="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资金执行率（%）</w:t>
            </w:r>
          </w:p>
        </w:tc>
      </w:tr>
      <w:tr w14:paraId="1080F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19EE">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DBA3">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专用设备购置费</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CD65">
            <w:pPr>
              <w:keepNext w:val="0"/>
              <w:keepLines w:val="0"/>
              <w:widowControl/>
              <w:suppressLineNumbers w:val="0"/>
              <w:jc w:val="righ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240.00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AEB1">
            <w:pPr>
              <w:keepNext w:val="0"/>
              <w:keepLines w:val="0"/>
              <w:widowControl/>
              <w:suppressLineNumbers w:val="0"/>
              <w:jc w:val="righ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236.165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4E5F">
            <w:pPr>
              <w:keepNext w:val="0"/>
              <w:keepLines w:val="0"/>
              <w:widowControl/>
              <w:suppressLineNumbers w:val="0"/>
              <w:jc w:val="righ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236.165</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D698">
            <w:pPr>
              <w:keepNext w:val="0"/>
              <w:keepLines w:val="0"/>
              <w:widowControl/>
              <w:suppressLineNumbers w:val="0"/>
              <w:jc w:val="righ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0.00</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9E38">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100.00%</w:t>
            </w:r>
          </w:p>
        </w:tc>
      </w:tr>
      <w:tr w14:paraId="0FCDE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7063">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03E5">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委托业务费</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97FED">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210.00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627F">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210.00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50C9">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210.00</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A005">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0.00</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A327">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100.00%</w:t>
            </w:r>
          </w:p>
        </w:tc>
      </w:tr>
      <w:tr w14:paraId="530CF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3387">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8993">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劳务费</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3530">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30.742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F923">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30.742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2CE3">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30.415</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A30C">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0.327</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CCA0">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98.94%</w:t>
            </w:r>
          </w:p>
        </w:tc>
      </w:tr>
      <w:tr w14:paraId="228BF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E6C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7031">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信息化运维费</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AC70">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20.00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10FB">
            <w:pPr>
              <w:keepNext w:val="0"/>
              <w:keepLines w:val="0"/>
              <w:widowControl/>
              <w:suppressLineNumbers w:val="0"/>
              <w:jc w:val="righ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20.00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F5EE">
            <w:pPr>
              <w:keepNext w:val="0"/>
              <w:keepLines w:val="0"/>
              <w:widowControl/>
              <w:suppressLineNumbers w:val="0"/>
              <w:jc w:val="right"/>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20.00</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043A">
            <w:pPr>
              <w:keepNext w:val="0"/>
              <w:keepLines w:val="0"/>
              <w:widowControl/>
              <w:suppressLineNumbers w:val="0"/>
              <w:jc w:val="right"/>
              <w:textAlignment w:val="center"/>
              <w:rPr>
                <w:rFonts w:hint="default" w:ascii="仿宋_GB2312" w:hAnsi="宋体" w:eastAsia="仿宋_GB2312" w:cs="仿宋_GB2312"/>
                <w:i w:val="0"/>
                <w:iCs w:val="0"/>
                <w:color w:val="auto"/>
                <w:sz w:val="22"/>
                <w:szCs w:val="22"/>
                <w:highlight w:val="none"/>
                <w:u w:val="none"/>
                <w:lang w:val="en-US"/>
              </w:rPr>
            </w:pPr>
            <w:r>
              <w:rPr>
                <w:rFonts w:hint="eastAsia" w:ascii="仿宋_GB2312" w:hAnsi="等线" w:eastAsia="仿宋_GB2312" w:cs="仿宋_GB2312"/>
                <w:i w:val="0"/>
                <w:iCs w:val="0"/>
                <w:color w:val="auto"/>
                <w:kern w:val="0"/>
                <w:sz w:val="22"/>
                <w:szCs w:val="22"/>
                <w:highlight w:val="none"/>
                <w:u w:val="none"/>
                <w:lang w:val="en-US" w:eastAsia="zh-CN" w:bidi="ar"/>
              </w:rPr>
              <w:t>0.00</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FEF7">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等线" w:eastAsia="仿宋_GB2312" w:cs="仿宋_GB2312"/>
                <w:i w:val="0"/>
                <w:iCs w:val="0"/>
                <w:color w:val="auto"/>
                <w:kern w:val="0"/>
                <w:sz w:val="22"/>
                <w:szCs w:val="22"/>
                <w:highlight w:val="none"/>
                <w:u w:val="none"/>
                <w:lang w:val="en-US" w:eastAsia="zh-CN" w:bidi="ar"/>
              </w:rPr>
              <w:t>100.00%</w:t>
            </w:r>
          </w:p>
        </w:tc>
      </w:tr>
      <w:tr w14:paraId="6A80F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CC3BBF">
            <w:pPr>
              <w:keepNext w:val="0"/>
              <w:keepLines w:val="0"/>
              <w:widowControl/>
              <w:suppressLineNumbers w:val="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合计</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8501">
            <w:pPr>
              <w:keepNext w:val="0"/>
              <w:keepLines w:val="0"/>
              <w:widowControl/>
              <w:suppressLineNumbers w:val="0"/>
              <w:jc w:val="right"/>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500.742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C697">
            <w:pPr>
              <w:keepNext w:val="0"/>
              <w:keepLines w:val="0"/>
              <w:widowControl/>
              <w:suppressLineNumbers w:val="0"/>
              <w:jc w:val="right"/>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496.907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8260">
            <w:pPr>
              <w:keepNext w:val="0"/>
              <w:keepLines w:val="0"/>
              <w:widowControl/>
              <w:suppressLineNumbers w:val="0"/>
              <w:jc w:val="right"/>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496.58</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CB31">
            <w:pPr>
              <w:keepNext w:val="0"/>
              <w:keepLines w:val="0"/>
              <w:widowControl/>
              <w:suppressLineNumbers w:val="0"/>
              <w:jc w:val="right"/>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0.327</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B46C">
            <w:pPr>
              <w:keepNext w:val="0"/>
              <w:keepLines w:val="0"/>
              <w:widowControl/>
              <w:suppressLineNumbers w:val="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等线" w:eastAsia="仿宋_GB2312" w:cs="仿宋_GB2312"/>
                <w:b/>
                <w:bCs/>
                <w:i w:val="0"/>
                <w:iCs w:val="0"/>
                <w:color w:val="auto"/>
                <w:kern w:val="0"/>
                <w:sz w:val="22"/>
                <w:szCs w:val="22"/>
                <w:highlight w:val="none"/>
                <w:u w:val="none"/>
                <w:lang w:val="en-US" w:eastAsia="zh-CN" w:bidi="ar"/>
              </w:rPr>
              <w:t>99.93%</w:t>
            </w:r>
          </w:p>
        </w:tc>
      </w:tr>
    </w:tbl>
    <w:p w14:paraId="2E51E8C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ascii="楷体" w:hAnsi="楷体" w:eastAsia="楷体"/>
          <w:b/>
          <w:bCs w:val="0"/>
          <w:color w:val="auto"/>
          <w:kern w:val="0"/>
          <w:sz w:val="32"/>
          <w:szCs w:val="28"/>
          <w:highlight w:val="none"/>
        </w:rPr>
      </w:pPr>
      <w:bookmarkStart w:id="20" w:name="_Toc7686"/>
      <w:bookmarkStart w:id="21" w:name="_Toc25100"/>
      <w:r>
        <w:rPr>
          <w:rFonts w:hint="eastAsia" w:ascii="楷体" w:hAnsi="楷体" w:eastAsia="楷体"/>
          <w:b/>
          <w:bCs w:val="0"/>
          <w:color w:val="auto"/>
          <w:kern w:val="0"/>
          <w:sz w:val="32"/>
          <w:szCs w:val="28"/>
          <w:highlight w:val="none"/>
        </w:rPr>
        <w:t>（二）项目绩效目标</w:t>
      </w:r>
      <w:bookmarkEnd w:id="20"/>
      <w:bookmarkEnd w:id="21"/>
    </w:p>
    <w:p w14:paraId="4FCBC65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22" w:name="_Toc24569"/>
      <w:bookmarkStart w:id="23" w:name="_Toc12251"/>
      <w:bookmarkStart w:id="24" w:name="_Toc5665"/>
      <w:r>
        <w:rPr>
          <w:rFonts w:hint="eastAsia" w:ascii="仿宋_GB2312" w:hAnsi="宋体" w:eastAsia="仿宋_GB2312" w:cs="宋体"/>
          <w:b/>
          <w:bCs w:val="0"/>
          <w:color w:val="auto"/>
          <w:kern w:val="0"/>
          <w:sz w:val="32"/>
          <w:szCs w:val="32"/>
          <w:highlight w:val="none"/>
        </w:rPr>
        <w:t>1.年度目标</w:t>
      </w:r>
      <w:bookmarkEnd w:id="22"/>
      <w:bookmarkEnd w:id="23"/>
      <w:bookmarkEnd w:id="24"/>
    </w:p>
    <w:p w14:paraId="510808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color w:val="auto"/>
          <w:sz w:val="32"/>
          <w:highlight w:val="none"/>
          <w:lang w:val="en-US" w:eastAsia="zh-CN"/>
        </w:rPr>
      </w:pPr>
      <w:r>
        <w:rPr>
          <w:rFonts w:hint="default" w:ascii="仿宋_GB2312" w:hAnsi="仿宋_GB2312" w:eastAsia="仿宋_GB2312" w:cs="仿宋_GB2312"/>
          <w:color w:val="auto"/>
          <w:sz w:val="32"/>
          <w:highlight w:val="none"/>
          <w:lang w:val="en-US" w:eastAsia="zh-CN"/>
        </w:rPr>
        <w:t>落实立德树人根本任务，抓牢课程思政大方向，打造体现“祖国至上、团结协作、顽强拼搏、永不言败”体育精神的立德树人思政课程体系。构建学校、运动队、企业“共建、共育、共管”的机制，形成人才培养主体的“三元化”，形成“三元互融、学训同步、阶梯递进”的人才培养模式。提升学生专项体育技能、实践能力以及生活与运动融合的多元化综合能力，促使学生增强核心竞争力，提升学生就业率。以“公共基础课、专业共享课、专业技术课、专业拓展课”四类课程，形成融合理论基础、技术技能、实践拓展、素养教育为一体的课程体系。深化学训同步，运动队、学校、体育企业共同研究制定运动与健康专业群课程标准、教学标准、信息化教学资源建设标准。合理运用现代信息技术手段，持续完善</w:t>
      </w:r>
      <w:r>
        <w:rPr>
          <w:rFonts w:hint="eastAsia" w:ascii="仿宋_GB2312" w:hAnsi="仿宋_GB2312" w:eastAsia="仿宋_GB2312" w:cs="仿宋_GB2312"/>
          <w:color w:val="auto"/>
          <w:sz w:val="32"/>
          <w:highlight w:val="none"/>
          <w:lang w:val="en-US" w:eastAsia="zh-CN"/>
        </w:rPr>
        <w:t>“</w:t>
      </w:r>
      <w:r>
        <w:rPr>
          <w:rFonts w:hint="default" w:ascii="仿宋_GB2312" w:hAnsi="仿宋_GB2312" w:eastAsia="仿宋_GB2312" w:cs="仿宋_GB2312"/>
          <w:color w:val="auto"/>
          <w:sz w:val="32"/>
          <w:highlight w:val="none"/>
          <w:lang w:val="en-US" w:eastAsia="zh-CN"/>
        </w:rPr>
        <w:t>一平三端</w:t>
      </w:r>
      <w:r>
        <w:rPr>
          <w:rFonts w:hint="eastAsia" w:ascii="仿宋_GB2312" w:hAnsi="仿宋_GB2312" w:eastAsia="仿宋_GB2312" w:cs="仿宋_GB2312"/>
          <w:color w:val="auto"/>
          <w:sz w:val="32"/>
          <w:highlight w:val="none"/>
          <w:lang w:val="en-US" w:eastAsia="zh-CN"/>
        </w:rPr>
        <w:t>”</w:t>
      </w:r>
      <w:r>
        <w:rPr>
          <w:rFonts w:hint="default" w:ascii="仿宋_GB2312" w:hAnsi="仿宋_GB2312" w:eastAsia="仿宋_GB2312" w:cs="仿宋_GB2312"/>
          <w:color w:val="auto"/>
          <w:sz w:val="32"/>
          <w:highlight w:val="none"/>
          <w:lang w:val="en-US" w:eastAsia="zh-CN"/>
        </w:rPr>
        <w:t>网络教学平台。通过教学大赛，探索构建</w:t>
      </w:r>
      <w:r>
        <w:rPr>
          <w:rFonts w:hint="eastAsia" w:ascii="仿宋_GB2312" w:hAnsi="仿宋_GB2312" w:eastAsia="仿宋_GB2312" w:cs="仿宋_GB2312"/>
          <w:color w:val="auto"/>
          <w:sz w:val="32"/>
          <w:highlight w:val="none"/>
          <w:lang w:val="en-US" w:eastAsia="zh-CN"/>
        </w:rPr>
        <w:t>“</w:t>
      </w:r>
      <w:r>
        <w:rPr>
          <w:rFonts w:hint="default" w:ascii="仿宋_GB2312" w:hAnsi="仿宋_GB2312" w:eastAsia="仿宋_GB2312" w:cs="仿宋_GB2312"/>
          <w:color w:val="auto"/>
          <w:sz w:val="32"/>
          <w:highlight w:val="none"/>
          <w:lang w:val="en-US" w:eastAsia="zh-CN"/>
        </w:rPr>
        <w:t>三有</w:t>
      </w:r>
      <w:r>
        <w:rPr>
          <w:rFonts w:hint="eastAsia" w:ascii="仿宋_GB2312" w:hAnsi="仿宋_GB2312" w:eastAsia="仿宋_GB2312" w:cs="仿宋_GB2312"/>
          <w:color w:val="auto"/>
          <w:sz w:val="32"/>
          <w:highlight w:val="none"/>
          <w:lang w:val="en-US" w:eastAsia="zh-CN"/>
        </w:rPr>
        <w:t>”</w:t>
      </w:r>
      <w:r>
        <w:rPr>
          <w:rFonts w:hint="default" w:ascii="仿宋_GB2312" w:hAnsi="仿宋_GB2312" w:eastAsia="仿宋_GB2312" w:cs="仿宋_GB2312"/>
          <w:color w:val="auto"/>
          <w:sz w:val="32"/>
          <w:highlight w:val="none"/>
          <w:lang w:val="en-US" w:eastAsia="zh-CN"/>
        </w:rPr>
        <w:t>课堂的教学模式。加强教学团队的教师培养和梯队建设工作，有针对性</w:t>
      </w:r>
      <w:r>
        <w:rPr>
          <w:rFonts w:hint="eastAsia" w:ascii="仿宋_GB2312" w:hAnsi="仿宋_GB2312" w:eastAsia="仿宋_GB2312" w:cs="仿宋_GB2312"/>
          <w:color w:val="auto"/>
          <w:sz w:val="32"/>
          <w:highlight w:val="none"/>
          <w:lang w:val="en-US" w:eastAsia="zh-CN"/>
        </w:rPr>
        <w:t>地</w:t>
      </w:r>
      <w:r>
        <w:rPr>
          <w:rFonts w:hint="default" w:ascii="仿宋_GB2312" w:hAnsi="仿宋_GB2312" w:eastAsia="仿宋_GB2312" w:cs="仿宋_GB2312"/>
          <w:color w:val="auto"/>
          <w:sz w:val="32"/>
          <w:highlight w:val="none"/>
          <w:lang w:val="en-US" w:eastAsia="zh-CN"/>
        </w:rPr>
        <w:t>打造一支结构合理，专兼结合、双师型及“三创”能力较强的教学团队，为专业群发展奠定基础。建立学训同步的实训基地</w:t>
      </w:r>
      <w:r>
        <w:rPr>
          <w:rFonts w:hint="eastAsia" w:ascii="仿宋_GB2312" w:hAnsi="仿宋_GB2312" w:eastAsia="仿宋_GB2312" w:cs="仿宋_GB2312"/>
          <w:color w:val="auto"/>
          <w:sz w:val="32"/>
          <w:highlight w:val="none"/>
          <w:lang w:val="en-US" w:eastAsia="zh-CN"/>
        </w:rPr>
        <w:t>，</w:t>
      </w:r>
      <w:r>
        <w:rPr>
          <w:rFonts w:hint="default" w:ascii="仿宋_GB2312" w:hAnsi="仿宋_GB2312" w:eastAsia="仿宋_GB2312" w:cs="仿宋_GB2312"/>
          <w:color w:val="auto"/>
          <w:sz w:val="32"/>
          <w:highlight w:val="none"/>
          <w:lang w:val="en-US" w:eastAsia="zh-CN"/>
        </w:rPr>
        <w:t>打造完成智慧型体能训练教室，整体提高实习实训技术装备应用水平。在满足专业教学需求的前提下，构建共享管理模式，实现实训室及实训设备共享使用。对接体育产业发展人才需求，形成由运动队、合作院校、体育企业、科研院所多元参与的“一平台，三中心”的技术技能平台，共同进行新技术、新标准的研究，提升教学效率，提高教学质量。紧贴社会需求和北京奥运城市定位，发挥自身专业、师资、场地的优势，打造专业群社会服务品牌，促进冬奥教育实践活动及文化教育进校园，增强大众健康意识。开展国外先进的运动训练理论本土化研究，形成高端化、国际化、协同化的人才培养特色。在专业群建设指导委员会指导下，统筹开展专业建设、教育教学改革、人才培养等方面建设，提升专业群建设的质量和水平。建立专业群质量评价标准，依据专业群建设指导委员会在建设中诊断的问题，采取改进措施，提出改进建议并出具整改方案，保证专业群建设目标的达成。</w:t>
      </w:r>
    </w:p>
    <w:p w14:paraId="6FCFF26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25" w:name="_Toc24849"/>
      <w:bookmarkStart w:id="26" w:name="_Toc13036"/>
      <w:bookmarkStart w:id="27" w:name="_Toc2370"/>
      <w:r>
        <w:rPr>
          <w:rFonts w:hint="eastAsia" w:ascii="仿宋_GB2312" w:hAnsi="宋体" w:eastAsia="仿宋_GB2312" w:cs="宋体"/>
          <w:b/>
          <w:bCs w:val="0"/>
          <w:color w:val="auto"/>
          <w:kern w:val="0"/>
          <w:sz w:val="32"/>
          <w:szCs w:val="32"/>
          <w:highlight w:val="none"/>
        </w:rPr>
        <w:t>2.绩效指标</w:t>
      </w:r>
      <w:bookmarkEnd w:id="25"/>
      <w:bookmarkEnd w:id="26"/>
      <w:bookmarkEnd w:id="27"/>
    </w:p>
    <w:p w14:paraId="04DA5ACD">
      <w:pPr>
        <w:pStyle w:val="17"/>
        <w:keepNext w:val="0"/>
        <w:keepLines w:val="0"/>
        <w:pageBreakBefore w:val="0"/>
        <w:widowControl w:val="0"/>
        <w:kinsoku/>
        <w:wordWrap/>
        <w:overflowPunct/>
        <w:topLinePunct w:val="0"/>
        <w:autoSpaceDE/>
        <w:autoSpaceDN/>
        <w:bidi w:val="0"/>
        <w:adjustRightInd/>
        <w:snapToGrid/>
        <w:spacing w:before="0" w:line="560" w:lineRule="exact"/>
        <w:ind w:left="0" w:firstLine="640" w:firstLineChars="200"/>
        <w:textAlignment w:val="auto"/>
        <w:rPr>
          <w:rFonts w:hint="eastAsia" w:ascii="仿宋_GB2312" w:hAnsi="仿宋_GB2312" w:eastAsia="仿宋_GB2312" w:cs="仿宋_GB2312"/>
          <w:b w:val="0"/>
          <w:bCs w:val="0"/>
          <w:color w:val="auto"/>
          <w:sz w:val="32"/>
          <w:highlight w:val="none"/>
          <w:lang w:val="en-US" w:eastAsia="zh-CN"/>
        </w:rPr>
      </w:pPr>
      <w:bookmarkStart w:id="28" w:name="_Toc27794"/>
      <w:r>
        <w:rPr>
          <w:rFonts w:hint="eastAsia" w:ascii="仿宋_GB2312" w:hAnsi="仿宋_GB2312" w:eastAsia="仿宋_GB2312" w:cs="仿宋_GB2312"/>
          <w:b w:val="0"/>
          <w:bCs w:val="0"/>
          <w:color w:val="auto"/>
          <w:sz w:val="32"/>
          <w:highlight w:val="none"/>
          <w:lang w:val="en-US" w:eastAsia="zh-CN"/>
        </w:rPr>
        <w:t>（1）数量指标：校企合作研发课程数量≥5门；教材开发编写本数≥5本；实训教室建设数量≥1个；</w:t>
      </w:r>
    </w:p>
    <w:p w14:paraId="2B2C9427">
      <w:pPr>
        <w:pStyle w:val="17"/>
        <w:keepNext w:val="0"/>
        <w:keepLines w:val="0"/>
        <w:pageBreakBefore w:val="0"/>
        <w:widowControl w:val="0"/>
        <w:kinsoku/>
        <w:wordWrap/>
        <w:overflowPunct/>
        <w:topLinePunct w:val="0"/>
        <w:autoSpaceDE/>
        <w:autoSpaceDN/>
        <w:bidi w:val="0"/>
        <w:adjustRightInd/>
        <w:snapToGrid/>
        <w:spacing w:before="0" w:line="560" w:lineRule="exact"/>
        <w:ind w:left="0" w:firstLine="640" w:firstLineChars="200"/>
        <w:textAlignment w:val="auto"/>
        <w:rPr>
          <w:rFonts w:hint="eastAsia" w:ascii="仿宋_GB2312" w:hAnsi="仿宋_GB2312" w:eastAsia="仿宋_GB2312" w:cs="仿宋_GB2312"/>
          <w:b w:val="0"/>
          <w:bCs w:val="0"/>
          <w:color w:val="auto"/>
          <w:sz w:val="32"/>
          <w:highlight w:val="none"/>
          <w:lang w:val="en-US" w:eastAsia="zh-CN"/>
        </w:rPr>
      </w:pPr>
      <w:r>
        <w:rPr>
          <w:rFonts w:hint="eastAsia" w:ascii="仿宋_GB2312" w:hAnsi="仿宋_GB2312" w:eastAsia="仿宋_GB2312" w:cs="仿宋_GB2312"/>
          <w:b w:val="0"/>
          <w:bCs w:val="0"/>
          <w:color w:val="auto"/>
          <w:sz w:val="32"/>
          <w:highlight w:val="none"/>
          <w:lang w:val="en-US" w:eastAsia="zh-CN"/>
        </w:rPr>
        <w:t>（2）质量指标：培训合格率≥90%；培训覆盖率≥90%；</w:t>
      </w:r>
    </w:p>
    <w:p w14:paraId="02CBA351">
      <w:pPr>
        <w:pStyle w:val="17"/>
        <w:keepNext w:val="0"/>
        <w:keepLines w:val="0"/>
        <w:pageBreakBefore w:val="0"/>
        <w:widowControl w:val="0"/>
        <w:kinsoku/>
        <w:wordWrap/>
        <w:overflowPunct/>
        <w:topLinePunct w:val="0"/>
        <w:autoSpaceDE/>
        <w:autoSpaceDN/>
        <w:bidi w:val="0"/>
        <w:adjustRightInd/>
        <w:snapToGrid/>
        <w:spacing w:before="0" w:line="560" w:lineRule="exact"/>
        <w:ind w:left="0" w:firstLine="640" w:firstLineChars="200"/>
        <w:textAlignment w:val="auto"/>
        <w:rPr>
          <w:rFonts w:hint="eastAsia" w:ascii="仿宋_GB2312" w:hAnsi="仿宋_GB2312" w:eastAsia="仿宋_GB2312" w:cs="仿宋_GB2312"/>
          <w:b w:val="0"/>
          <w:bCs w:val="0"/>
          <w:color w:val="auto"/>
          <w:sz w:val="32"/>
          <w:highlight w:val="none"/>
          <w:lang w:val="en-US" w:eastAsia="zh-CN"/>
        </w:rPr>
      </w:pPr>
      <w:r>
        <w:rPr>
          <w:rFonts w:hint="eastAsia" w:ascii="仿宋_GB2312" w:hAnsi="仿宋_GB2312" w:eastAsia="仿宋_GB2312" w:cs="仿宋_GB2312"/>
          <w:b w:val="0"/>
          <w:bCs w:val="0"/>
          <w:color w:val="auto"/>
          <w:sz w:val="32"/>
          <w:highlight w:val="none"/>
          <w:lang w:val="en-US" w:eastAsia="zh-CN"/>
        </w:rPr>
        <w:t>（3）时效指标：工作任务完成及时率≥90%；</w:t>
      </w:r>
    </w:p>
    <w:p w14:paraId="4560F3FC">
      <w:pPr>
        <w:pStyle w:val="17"/>
        <w:keepNext w:val="0"/>
        <w:keepLines w:val="0"/>
        <w:pageBreakBefore w:val="0"/>
        <w:widowControl w:val="0"/>
        <w:kinsoku/>
        <w:wordWrap/>
        <w:overflowPunct/>
        <w:topLinePunct w:val="0"/>
        <w:autoSpaceDE/>
        <w:autoSpaceDN/>
        <w:bidi w:val="0"/>
        <w:adjustRightInd/>
        <w:snapToGrid/>
        <w:spacing w:before="0" w:line="560" w:lineRule="exact"/>
        <w:ind w:left="0" w:firstLine="640" w:firstLineChars="200"/>
        <w:textAlignment w:val="auto"/>
        <w:rPr>
          <w:rFonts w:hint="eastAsia" w:ascii="仿宋_GB2312" w:hAnsi="仿宋_GB2312" w:eastAsia="仿宋_GB2312" w:cs="仿宋_GB2312"/>
          <w:b w:val="0"/>
          <w:bCs w:val="0"/>
          <w:color w:val="auto"/>
          <w:sz w:val="32"/>
          <w:highlight w:val="none"/>
          <w:lang w:val="en-US" w:eastAsia="zh-CN"/>
        </w:rPr>
      </w:pPr>
      <w:r>
        <w:rPr>
          <w:rFonts w:hint="eastAsia" w:ascii="仿宋_GB2312" w:hAnsi="仿宋_GB2312" w:eastAsia="仿宋_GB2312" w:cs="仿宋_GB2312"/>
          <w:b w:val="0"/>
          <w:bCs w:val="0"/>
          <w:color w:val="auto"/>
          <w:sz w:val="32"/>
          <w:highlight w:val="none"/>
          <w:lang w:val="en-US" w:eastAsia="zh-CN"/>
        </w:rPr>
        <w:t>（4）可持续影响指标：提升体育专业师资整体素质≥90%；对竞技体育可持续发展影响程度≥90%；提升整体教学能力≥90%；</w:t>
      </w:r>
    </w:p>
    <w:p w14:paraId="47D3C7F6">
      <w:pPr>
        <w:pStyle w:val="17"/>
        <w:keepNext w:val="0"/>
        <w:keepLines w:val="0"/>
        <w:pageBreakBefore w:val="0"/>
        <w:widowControl w:val="0"/>
        <w:kinsoku/>
        <w:wordWrap/>
        <w:overflowPunct/>
        <w:topLinePunct w:val="0"/>
        <w:autoSpaceDE/>
        <w:autoSpaceDN/>
        <w:bidi w:val="0"/>
        <w:adjustRightInd/>
        <w:snapToGrid/>
        <w:spacing w:before="0" w:line="560" w:lineRule="exact"/>
        <w:ind w:left="0" w:firstLine="640" w:firstLineChars="200"/>
        <w:textAlignment w:val="auto"/>
        <w:rPr>
          <w:rFonts w:hint="eastAsia" w:ascii="仿宋_GB2312" w:hAnsi="仿宋_GB2312" w:eastAsia="仿宋_GB2312" w:cs="仿宋_GB2312"/>
          <w:b w:val="0"/>
          <w:bCs w:val="0"/>
          <w:color w:val="auto"/>
          <w:sz w:val="32"/>
          <w:highlight w:val="none"/>
          <w:lang w:val="en-US" w:eastAsia="zh-CN"/>
        </w:rPr>
      </w:pPr>
      <w:r>
        <w:rPr>
          <w:rFonts w:hint="eastAsia" w:ascii="仿宋_GB2312" w:hAnsi="仿宋_GB2312" w:eastAsia="仿宋_GB2312" w:cs="仿宋_GB2312"/>
          <w:b w:val="0"/>
          <w:bCs w:val="0"/>
          <w:color w:val="auto"/>
          <w:sz w:val="32"/>
          <w:highlight w:val="none"/>
          <w:lang w:val="en-US" w:eastAsia="zh-CN"/>
        </w:rPr>
        <w:t>（5）服务对象满意度指标：教师满意度≥90%；学生满意度≥90%。</w:t>
      </w:r>
    </w:p>
    <w:p w14:paraId="2374260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ascii="黑体" w:hAnsi="黑体" w:eastAsia="黑体"/>
          <w:b/>
          <w:bCs w:val="0"/>
          <w:color w:val="auto"/>
          <w:kern w:val="0"/>
          <w:sz w:val="32"/>
          <w:szCs w:val="28"/>
          <w:highlight w:val="none"/>
        </w:rPr>
      </w:pPr>
      <w:bookmarkStart w:id="29" w:name="_Toc29411"/>
      <w:r>
        <w:rPr>
          <w:rFonts w:hint="eastAsia" w:ascii="黑体" w:hAnsi="黑体" w:eastAsia="黑体"/>
          <w:b/>
          <w:bCs w:val="0"/>
          <w:color w:val="auto"/>
          <w:kern w:val="0"/>
          <w:sz w:val="32"/>
          <w:szCs w:val="28"/>
          <w:highlight w:val="none"/>
        </w:rPr>
        <w:t>二、绩效评价工作开展情况</w:t>
      </w:r>
      <w:bookmarkEnd w:id="28"/>
      <w:bookmarkEnd w:id="29"/>
    </w:p>
    <w:p w14:paraId="3E42523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ascii="楷体" w:hAnsi="楷体" w:eastAsia="楷体"/>
          <w:b/>
          <w:bCs w:val="0"/>
          <w:color w:val="auto"/>
          <w:kern w:val="0"/>
          <w:sz w:val="32"/>
          <w:szCs w:val="28"/>
          <w:highlight w:val="none"/>
        </w:rPr>
      </w:pPr>
      <w:bookmarkStart w:id="30" w:name="_Toc75"/>
      <w:bookmarkStart w:id="31" w:name="_Toc24897"/>
      <w:r>
        <w:rPr>
          <w:rFonts w:hint="eastAsia" w:ascii="楷体" w:hAnsi="楷体" w:eastAsia="楷体"/>
          <w:b/>
          <w:bCs w:val="0"/>
          <w:color w:val="auto"/>
          <w:kern w:val="0"/>
          <w:sz w:val="32"/>
          <w:szCs w:val="28"/>
          <w:highlight w:val="none"/>
        </w:rPr>
        <w:t>（一）绩效评价目的、对象和范围</w:t>
      </w:r>
      <w:bookmarkEnd w:id="30"/>
      <w:bookmarkEnd w:id="31"/>
    </w:p>
    <w:p w14:paraId="5CD959A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32" w:name="_Toc22880"/>
      <w:bookmarkStart w:id="33" w:name="_Toc73028722"/>
      <w:bookmarkStart w:id="34" w:name="_Toc5358"/>
      <w:bookmarkStart w:id="35" w:name="_Toc18661"/>
      <w:bookmarkStart w:id="36" w:name="_Toc72117815"/>
      <w:bookmarkStart w:id="37" w:name="_Toc72129830"/>
      <w:r>
        <w:rPr>
          <w:rFonts w:hint="eastAsia" w:ascii="仿宋_GB2312" w:hAnsi="宋体" w:eastAsia="仿宋_GB2312" w:cs="宋体"/>
          <w:b/>
          <w:bCs w:val="0"/>
          <w:color w:val="auto"/>
          <w:kern w:val="0"/>
          <w:sz w:val="32"/>
          <w:szCs w:val="32"/>
          <w:highlight w:val="none"/>
        </w:rPr>
        <w:t>1.评价目的</w:t>
      </w:r>
      <w:bookmarkEnd w:id="32"/>
      <w:bookmarkEnd w:id="33"/>
      <w:bookmarkEnd w:id="34"/>
      <w:bookmarkEnd w:id="35"/>
      <w:bookmarkEnd w:id="36"/>
      <w:bookmarkEnd w:id="37"/>
    </w:p>
    <w:p w14:paraId="1B561E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highlight w:val="none"/>
        </w:rPr>
      </w:pPr>
      <w:r>
        <w:rPr>
          <w:rFonts w:hint="eastAsia" w:ascii="仿宋_GB2312" w:hAnsi="仿宋_GB2312" w:eastAsia="仿宋_GB2312" w:cs="仿宋_GB2312"/>
          <w:color w:val="auto"/>
          <w:sz w:val="32"/>
          <w:highlight w:val="none"/>
        </w:rPr>
        <w:t>通过开展项目绩效评价，对该项目整体情况进行分析，全面、客观地反映项目单位的工作成效，对项目决策、项目过程、项目产出、项目效益四个方面存在的不足提出合理化建议，使预算绩效管理更加科学、规范，提高项目预算绩效管理水平和财政资金使用效益效率。</w:t>
      </w:r>
    </w:p>
    <w:p w14:paraId="344744E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38" w:name="_Toc72117816"/>
      <w:bookmarkStart w:id="39" w:name="_Toc22477"/>
      <w:bookmarkStart w:id="40" w:name="_Toc12372"/>
      <w:bookmarkStart w:id="41" w:name="_Toc8487"/>
      <w:bookmarkStart w:id="42" w:name="_Toc73028723"/>
      <w:bookmarkStart w:id="43" w:name="_Toc72129831"/>
      <w:r>
        <w:rPr>
          <w:rFonts w:hint="eastAsia" w:ascii="仿宋_GB2312" w:hAnsi="宋体" w:eastAsia="仿宋_GB2312" w:cs="宋体"/>
          <w:b/>
          <w:bCs w:val="0"/>
          <w:color w:val="auto"/>
          <w:kern w:val="0"/>
          <w:sz w:val="32"/>
          <w:szCs w:val="32"/>
          <w:highlight w:val="none"/>
        </w:rPr>
        <w:t>2.评价对象和范围</w:t>
      </w:r>
      <w:bookmarkEnd w:id="38"/>
      <w:bookmarkEnd w:id="39"/>
      <w:bookmarkEnd w:id="40"/>
      <w:bookmarkEnd w:id="41"/>
      <w:bookmarkEnd w:id="42"/>
      <w:bookmarkEnd w:id="43"/>
    </w:p>
    <w:p w14:paraId="0FCB42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highlight w:val="none"/>
        </w:rPr>
      </w:pPr>
      <w:bookmarkStart w:id="44" w:name="_Toc28767"/>
      <w:r>
        <w:rPr>
          <w:rFonts w:hint="eastAsia" w:ascii="仿宋_GB2312" w:hAnsi="仿宋_GB2312" w:eastAsia="仿宋_GB2312" w:cs="仿宋_GB2312"/>
          <w:color w:val="auto"/>
          <w:sz w:val="32"/>
          <w:highlight w:val="none"/>
        </w:rPr>
        <w:t>对</w:t>
      </w:r>
      <w:r>
        <w:rPr>
          <w:rFonts w:hint="eastAsia" w:ascii="仿宋_GB2312" w:hAnsi="仿宋_GB2312" w:eastAsia="仿宋_GB2312" w:cs="仿宋_GB2312"/>
          <w:color w:val="auto"/>
          <w:sz w:val="32"/>
          <w:highlight w:val="none"/>
          <w:lang w:eastAsia="zh-CN"/>
        </w:rPr>
        <w:t>北京市特色高水平骨干专业（群）-运动与健康专业群</w:t>
      </w:r>
      <w:r>
        <w:rPr>
          <w:rFonts w:hint="eastAsia" w:ascii="仿宋_GB2312" w:hAnsi="仿宋_GB2312" w:eastAsia="仿宋_GB2312" w:cs="仿宋_GB2312"/>
          <w:color w:val="auto"/>
          <w:sz w:val="32"/>
          <w:highlight w:val="none"/>
          <w:lang w:val="en-US" w:eastAsia="zh-CN"/>
        </w:rPr>
        <w:t>项目496.907</w:t>
      </w:r>
      <w:r>
        <w:rPr>
          <w:rFonts w:hint="eastAsia" w:ascii="仿宋_GB2312" w:hAnsi="仿宋_GB2312" w:eastAsia="仿宋_GB2312" w:cs="仿宋_GB2312"/>
          <w:color w:val="auto"/>
          <w:sz w:val="32"/>
          <w:highlight w:val="none"/>
        </w:rPr>
        <w:t>万元的资金支出情况开展绩效评价。</w:t>
      </w:r>
    </w:p>
    <w:p w14:paraId="4D0BF1E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ascii="楷体" w:hAnsi="楷体" w:eastAsia="楷体"/>
          <w:b/>
          <w:bCs w:val="0"/>
          <w:color w:val="auto"/>
          <w:kern w:val="0"/>
          <w:sz w:val="32"/>
          <w:szCs w:val="28"/>
          <w:highlight w:val="none"/>
        </w:rPr>
      </w:pPr>
      <w:bookmarkStart w:id="45" w:name="_Toc15169"/>
      <w:r>
        <w:rPr>
          <w:rFonts w:hint="eastAsia" w:ascii="楷体" w:hAnsi="楷体" w:eastAsia="楷体"/>
          <w:b/>
          <w:bCs w:val="0"/>
          <w:color w:val="auto"/>
          <w:kern w:val="0"/>
          <w:sz w:val="32"/>
          <w:szCs w:val="28"/>
          <w:highlight w:val="none"/>
        </w:rPr>
        <w:t>（二）绩效评价基本情况</w:t>
      </w:r>
      <w:bookmarkEnd w:id="44"/>
      <w:bookmarkEnd w:id="45"/>
    </w:p>
    <w:p w14:paraId="4DE6FFD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46" w:name="_Toc16989"/>
      <w:bookmarkStart w:id="47" w:name="_Toc2042"/>
      <w:bookmarkStart w:id="48" w:name="_Toc72117818"/>
      <w:bookmarkStart w:id="49" w:name="_Toc13605"/>
      <w:bookmarkStart w:id="50" w:name="_Toc72129833"/>
      <w:bookmarkStart w:id="51" w:name="_Toc73028725"/>
      <w:r>
        <w:rPr>
          <w:rFonts w:hint="eastAsia" w:ascii="仿宋_GB2312" w:hAnsi="宋体" w:eastAsia="仿宋_GB2312" w:cs="宋体"/>
          <w:b/>
          <w:bCs w:val="0"/>
          <w:color w:val="auto"/>
          <w:kern w:val="0"/>
          <w:sz w:val="32"/>
          <w:szCs w:val="32"/>
          <w:highlight w:val="none"/>
        </w:rPr>
        <w:t>1.绩效评价原则及方法</w:t>
      </w:r>
      <w:bookmarkEnd w:id="46"/>
      <w:bookmarkEnd w:id="47"/>
      <w:bookmarkEnd w:id="48"/>
      <w:bookmarkEnd w:id="49"/>
      <w:bookmarkEnd w:id="50"/>
      <w:bookmarkEnd w:id="51"/>
    </w:p>
    <w:p w14:paraId="4BE307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highlight w:val="none"/>
        </w:rPr>
      </w:pPr>
      <w:r>
        <w:rPr>
          <w:rFonts w:hint="eastAsia" w:ascii="仿宋_GB2312" w:hAnsi="仿宋_GB2312" w:eastAsia="仿宋_GB2312" w:cs="仿宋_GB2312"/>
          <w:color w:val="auto"/>
          <w:sz w:val="32"/>
          <w:highlight w:val="none"/>
        </w:rPr>
        <w:t>本次绩效评价遵循“客观、公正、科学、规范”的原则，结合项目的特点，采用比较法、因素分析法、专家评议法等方法，</w:t>
      </w:r>
      <w:r>
        <w:rPr>
          <w:rFonts w:hint="eastAsia" w:ascii="仿宋_GB2312" w:hAnsi="仿宋_GB2312" w:eastAsia="仿宋_GB2312" w:cs="仿宋_GB2312"/>
          <w:color w:val="auto"/>
          <w:sz w:val="32"/>
          <w:highlight w:val="none"/>
          <w:lang w:val="en-US" w:eastAsia="zh-CN"/>
        </w:rPr>
        <w:t>通过</w:t>
      </w:r>
      <w:r>
        <w:rPr>
          <w:rFonts w:hint="eastAsia" w:ascii="仿宋_GB2312" w:hAnsi="仿宋_GB2312" w:eastAsia="仿宋_GB2312" w:cs="仿宋_GB2312"/>
          <w:color w:val="auto"/>
          <w:sz w:val="32"/>
          <w:highlight w:val="none"/>
        </w:rPr>
        <w:t>定性与定量相结合，从项目决策、项目过程、项目产出、项目效益四个方面对本项目开展绩效评价。</w:t>
      </w:r>
    </w:p>
    <w:p w14:paraId="23CDF2F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52" w:name="_Toc72117819"/>
      <w:bookmarkStart w:id="53" w:name="_Toc1471"/>
      <w:bookmarkStart w:id="54" w:name="_Toc72129834"/>
      <w:bookmarkStart w:id="55" w:name="_Toc314"/>
      <w:bookmarkStart w:id="56" w:name="_Toc73028726"/>
      <w:bookmarkStart w:id="57" w:name="_Toc733"/>
      <w:r>
        <w:rPr>
          <w:rFonts w:hint="eastAsia" w:ascii="仿宋_GB2312" w:hAnsi="宋体" w:eastAsia="仿宋_GB2312" w:cs="宋体"/>
          <w:b/>
          <w:bCs w:val="0"/>
          <w:color w:val="auto"/>
          <w:kern w:val="0"/>
          <w:sz w:val="32"/>
          <w:szCs w:val="32"/>
          <w:highlight w:val="none"/>
        </w:rPr>
        <w:t>2.绩效评价指标体系</w:t>
      </w:r>
      <w:bookmarkEnd w:id="52"/>
      <w:bookmarkEnd w:id="53"/>
      <w:bookmarkEnd w:id="54"/>
      <w:bookmarkEnd w:id="55"/>
      <w:bookmarkEnd w:id="56"/>
      <w:bookmarkEnd w:id="57"/>
    </w:p>
    <w:p w14:paraId="4BE1D9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highlight w:val="none"/>
        </w:rPr>
      </w:pPr>
      <w:bookmarkStart w:id="58" w:name="_Toc72129835"/>
      <w:bookmarkStart w:id="59" w:name="_Toc72117820"/>
      <w:bookmarkStart w:id="60" w:name="_Toc73028727"/>
      <w:r>
        <w:rPr>
          <w:rFonts w:hint="eastAsia" w:ascii="仿宋_GB2312" w:hAnsi="仿宋_GB2312" w:eastAsia="仿宋_GB2312" w:cs="仿宋_GB2312"/>
          <w:color w:val="auto"/>
          <w:sz w:val="32"/>
          <w:highlight w:val="none"/>
        </w:rPr>
        <w:t>绩效评价指标体系主要包括项目决策、项目过程、项目产出、项目效益四个方面，满分100分。决策指标</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10分</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，主要评价项目立项、绩效目标和资金投入内容；过程指标</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20分</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，主要评价项目资金管理和组织实施内容；产出指标</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40分</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，主要评价项目产出数量、产出质量、产出时效和产出成本；效益指标</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30分</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rPr>
        <w:t>，主要评价项目实施效益和服务对象满意度内容。绩效评价指标体系详见附件。</w:t>
      </w:r>
    </w:p>
    <w:p w14:paraId="7302042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宋体"/>
          <w:b/>
          <w:bCs w:val="0"/>
          <w:color w:val="auto"/>
          <w:kern w:val="0"/>
          <w:sz w:val="32"/>
          <w:szCs w:val="32"/>
          <w:highlight w:val="none"/>
        </w:rPr>
      </w:pPr>
      <w:bookmarkStart w:id="61" w:name="_Toc6994"/>
      <w:bookmarkStart w:id="62" w:name="_Toc15426"/>
      <w:bookmarkStart w:id="63" w:name="_Toc32182"/>
      <w:r>
        <w:rPr>
          <w:rFonts w:hint="eastAsia" w:ascii="仿宋_GB2312" w:hAnsi="宋体" w:eastAsia="仿宋_GB2312" w:cs="宋体"/>
          <w:b/>
          <w:bCs w:val="0"/>
          <w:color w:val="auto"/>
          <w:kern w:val="0"/>
          <w:sz w:val="32"/>
          <w:szCs w:val="32"/>
          <w:highlight w:val="none"/>
        </w:rPr>
        <w:t>3.评价标准</w:t>
      </w:r>
      <w:bookmarkEnd w:id="58"/>
      <w:bookmarkEnd w:id="59"/>
      <w:bookmarkEnd w:id="60"/>
      <w:bookmarkEnd w:id="61"/>
      <w:bookmarkEnd w:id="62"/>
      <w:bookmarkEnd w:id="63"/>
    </w:p>
    <w:p w14:paraId="3955E6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highlight w:val="none"/>
        </w:rPr>
      </w:pPr>
      <w:r>
        <w:rPr>
          <w:rFonts w:hint="eastAsia" w:ascii="仿宋_GB2312" w:hAnsi="仿宋_GB2312" w:eastAsia="仿宋_GB2312" w:cs="仿宋_GB2312"/>
          <w:color w:val="auto"/>
          <w:sz w:val="32"/>
          <w:highlight w:val="none"/>
        </w:rPr>
        <w:t>本次绩效评价标准为计划标准，以该项目预先制定的项目</w:t>
      </w:r>
      <w:r>
        <w:rPr>
          <w:rFonts w:hint="eastAsia" w:ascii="仿宋_GB2312" w:hAnsi="仿宋_GB2312" w:eastAsia="仿宋_GB2312" w:cs="仿宋_GB2312"/>
          <w:color w:val="auto"/>
          <w:sz w:val="32"/>
          <w:highlight w:val="none"/>
          <w:lang w:val="en-US" w:eastAsia="zh-CN"/>
        </w:rPr>
        <w:t>绩效</w:t>
      </w:r>
      <w:r>
        <w:rPr>
          <w:rFonts w:hint="eastAsia" w:ascii="仿宋_GB2312" w:hAnsi="仿宋_GB2312" w:eastAsia="仿宋_GB2312" w:cs="仿宋_GB2312"/>
          <w:color w:val="auto"/>
          <w:sz w:val="32"/>
          <w:highlight w:val="none"/>
        </w:rPr>
        <w:t>目标、计划、预算作为评价标准，对绩效指标完成情况进行比较。</w:t>
      </w:r>
    </w:p>
    <w:p w14:paraId="51E542E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ascii="楷体" w:hAnsi="楷体" w:eastAsia="楷体"/>
          <w:b/>
          <w:bCs w:val="0"/>
          <w:color w:val="auto"/>
          <w:kern w:val="0"/>
          <w:sz w:val="32"/>
          <w:szCs w:val="28"/>
          <w:highlight w:val="none"/>
        </w:rPr>
      </w:pPr>
      <w:bookmarkStart w:id="64" w:name="_Toc15840"/>
      <w:bookmarkStart w:id="65" w:name="_Toc15796"/>
      <w:r>
        <w:rPr>
          <w:rFonts w:hint="eastAsia" w:ascii="楷体" w:hAnsi="楷体" w:eastAsia="楷体"/>
          <w:b/>
          <w:bCs w:val="0"/>
          <w:color w:val="auto"/>
          <w:kern w:val="0"/>
          <w:sz w:val="32"/>
          <w:szCs w:val="28"/>
          <w:highlight w:val="none"/>
        </w:rPr>
        <w:t>（三）绩效评价工作过程</w:t>
      </w:r>
      <w:bookmarkEnd w:id="64"/>
      <w:bookmarkEnd w:id="65"/>
    </w:p>
    <w:p w14:paraId="565791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楷体" w:eastAsia="仿宋_GB2312"/>
          <w:bCs/>
          <w:color w:val="auto"/>
          <w:kern w:val="0"/>
          <w:sz w:val="32"/>
          <w:szCs w:val="28"/>
          <w:highlight w:val="none"/>
        </w:rPr>
      </w:pPr>
      <w:bookmarkStart w:id="66" w:name="_Toc24343"/>
      <w:r>
        <w:rPr>
          <w:rFonts w:hint="eastAsia" w:ascii="仿宋_GB2312" w:hAnsi="楷体" w:eastAsia="仿宋_GB2312"/>
          <w:bCs/>
          <w:color w:val="auto"/>
          <w:kern w:val="0"/>
          <w:sz w:val="32"/>
          <w:szCs w:val="28"/>
          <w:highlight w:val="none"/>
        </w:rPr>
        <w:t>1.4月</w:t>
      </w:r>
      <w:r>
        <w:rPr>
          <w:rFonts w:hint="eastAsia" w:ascii="仿宋_GB2312" w:hAnsi="楷体" w:eastAsia="仿宋_GB2312"/>
          <w:bCs/>
          <w:color w:val="auto"/>
          <w:kern w:val="0"/>
          <w:sz w:val="32"/>
          <w:szCs w:val="28"/>
          <w:highlight w:val="none"/>
          <w:lang w:val="en-US" w:eastAsia="zh-CN"/>
        </w:rPr>
        <w:t>26</w:t>
      </w:r>
      <w:r>
        <w:rPr>
          <w:rFonts w:hint="eastAsia" w:ascii="仿宋_GB2312" w:hAnsi="楷体" w:eastAsia="仿宋_GB2312"/>
          <w:bCs/>
          <w:color w:val="auto"/>
          <w:kern w:val="0"/>
          <w:sz w:val="32"/>
          <w:szCs w:val="28"/>
          <w:highlight w:val="none"/>
        </w:rPr>
        <w:t>日前根据</w:t>
      </w:r>
      <w:r>
        <w:rPr>
          <w:rFonts w:hint="eastAsia" w:ascii="仿宋_GB2312" w:eastAsia="仿宋_GB2312"/>
          <w:color w:val="auto"/>
          <w:sz w:val="32"/>
          <w:szCs w:val="28"/>
          <w:highlight w:val="none"/>
        </w:rPr>
        <w:t>北京市财政局《关于开展2024年预算绩效管理相关工作的函》</w:t>
      </w:r>
      <w:r>
        <w:rPr>
          <w:rFonts w:hint="eastAsia" w:ascii="仿宋_GB2312" w:hAnsi="楷体" w:eastAsia="仿宋_GB2312"/>
          <w:bCs/>
          <w:color w:val="auto"/>
          <w:kern w:val="0"/>
          <w:sz w:val="32"/>
          <w:szCs w:val="28"/>
          <w:highlight w:val="none"/>
        </w:rPr>
        <w:t>的要求，成立评价工作组。制定实施方案、明确评价组织机构、人员分工、评价范围、具体时间安排等内容。并按照工作方案要求，组织开展部门评价培训沟通会。</w:t>
      </w:r>
    </w:p>
    <w:p w14:paraId="2FAF20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2.4月</w:t>
      </w:r>
      <w:r>
        <w:rPr>
          <w:rFonts w:hint="eastAsia" w:ascii="仿宋_GB2312" w:hAnsi="楷体" w:eastAsia="仿宋_GB2312"/>
          <w:bCs/>
          <w:color w:val="auto"/>
          <w:kern w:val="0"/>
          <w:sz w:val="32"/>
          <w:szCs w:val="28"/>
          <w:highlight w:val="none"/>
          <w:lang w:val="en-US" w:eastAsia="zh-CN"/>
        </w:rPr>
        <w:t>30</w:t>
      </w:r>
      <w:r>
        <w:rPr>
          <w:rFonts w:hint="eastAsia" w:ascii="仿宋_GB2312" w:hAnsi="楷体" w:eastAsia="仿宋_GB2312"/>
          <w:bCs/>
          <w:color w:val="auto"/>
          <w:kern w:val="0"/>
          <w:sz w:val="32"/>
          <w:szCs w:val="28"/>
          <w:highlight w:val="none"/>
        </w:rPr>
        <w:t>日前收集资料。项目实施部门根据部门评价资料清单，结合评价对象实际情况收集项目资料。项目实施部门将收集的资料及绩效报告提交评价工作组。</w:t>
      </w:r>
    </w:p>
    <w:p w14:paraId="41916E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3.5月</w:t>
      </w:r>
      <w:r>
        <w:rPr>
          <w:rFonts w:hint="eastAsia" w:ascii="仿宋_GB2312" w:hAnsi="楷体" w:eastAsia="仿宋_GB2312"/>
          <w:bCs/>
          <w:color w:val="auto"/>
          <w:kern w:val="0"/>
          <w:sz w:val="32"/>
          <w:szCs w:val="28"/>
          <w:highlight w:val="none"/>
          <w:lang w:val="en-US" w:eastAsia="zh-CN"/>
        </w:rPr>
        <w:t>8</w:t>
      </w:r>
      <w:r>
        <w:rPr>
          <w:rFonts w:hint="eastAsia" w:ascii="仿宋_GB2312" w:hAnsi="楷体" w:eastAsia="仿宋_GB2312"/>
          <w:bCs/>
          <w:color w:val="auto"/>
          <w:kern w:val="0"/>
          <w:sz w:val="32"/>
          <w:szCs w:val="28"/>
          <w:highlight w:val="none"/>
        </w:rPr>
        <w:t>日前评价工作组对所收集资料进行核实和全面分析，并遴选专家，组成专家评价组。会同专家细化评价指标，制定绩效评价指标体系。</w:t>
      </w:r>
    </w:p>
    <w:p w14:paraId="3B139E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4.5月10日前补充资料。项目实施部门根据评价工作组的意见，补充绩效评价资料。</w:t>
      </w:r>
    </w:p>
    <w:p w14:paraId="59BC83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5.5月1</w:t>
      </w:r>
      <w:r>
        <w:rPr>
          <w:rFonts w:hint="eastAsia" w:ascii="仿宋_GB2312" w:hAnsi="楷体" w:eastAsia="仿宋_GB2312"/>
          <w:bCs/>
          <w:color w:val="auto"/>
          <w:kern w:val="0"/>
          <w:sz w:val="32"/>
          <w:szCs w:val="28"/>
          <w:highlight w:val="none"/>
          <w:lang w:val="en-US" w:eastAsia="zh-CN"/>
        </w:rPr>
        <w:t>0</w:t>
      </w:r>
      <w:r>
        <w:rPr>
          <w:rFonts w:hint="eastAsia" w:ascii="仿宋_GB2312" w:hAnsi="楷体" w:eastAsia="仿宋_GB2312"/>
          <w:bCs/>
          <w:color w:val="auto"/>
          <w:kern w:val="0"/>
          <w:sz w:val="32"/>
          <w:szCs w:val="28"/>
          <w:highlight w:val="none"/>
        </w:rPr>
        <w:t>日召开专家评价会。评价工作组组织召开专家评价会，</w:t>
      </w:r>
      <w:r>
        <w:rPr>
          <w:rFonts w:hint="eastAsia" w:ascii="仿宋_GB2312" w:hAnsi="楷体" w:eastAsia="仿宋_GB2312"/>
          <w:bCs/>
          <w:color w:val="auto"/>
          <w:kern w:val="0"/>
          <w:sz w:val="32"/>
          <w:szCs w:val="28"/>
          <w:highlight w:val="none"/>
          <w:lang w:val="en-US" w:eastAsia="zh-CN"/>
        </w:rPr>
        <w:t>并邀请人大代表参会。</w:t>
      </w:r>
      <w:r>
        <w:rPr>
          <w:rFonts w:hint="eastAsia" w:ascii="仿宋_GB2312" w:hAnsi="楷体" w:eastAsia="仿宋_GB2312"/>
          <w:bCs/>
          <w:color w:val="auto"/>
          <w:kern w:val="0"/>
          <w:sz w:val="32"/>
          <w:szCs w:val="28"/>
          <w:highlight w:val="none"/>
        </w:rPr>
        <w:t>项目实施部门负责项目绩效情况汇报及答疑，由专家对绩效实现情况进行评价和打分，并出具评价意见。</w:t>
      </w:r>
    </w:p>
    <w:p w14:paraId="18531C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6.5月1</w:t>
      </w:r>
      <w:r>
        <w:rPr>
          <w:rFonts w:hint="eastAsia" w:ascii="仿宋_GB2312" w:hAnsi="楷体" w:eastAsia="仿宋_GB2312"/>
          <w:bCs/>
          <w:color w:val="auto"/>
          <w:kern w:val="0"/>
          <w:sz w:val="32"/>
          <w:szCs w:val="28"/>
          <w:highlight w:val="none"/>
          <w:lang w:val="en-US" w:eastAsia="zh-CN"/>
        </w:rPr>
        <w:t>6</w:t>
      </w:r>
      <w:r>
        <w:rPr>
          <w:rFonts w:hint="eastAsia" w:ascii="仿宋_GB2312" w:hAnsi="楷体" w:eastAsia="仿宋_GB2312"/>
          <w:bCs/>
          <w:color w:val="auto"/>
          <w:kern w:val="0"/>
          <w:sz w:val="32"/>
          <w:szCs w:val="28"/>
          <w:highlight w:val="none"/>
        </w:rPr>
        <w:t>日前，完成部门评价报告。</w:t>
      </w:r>
    </w:p>
    <w:p w14:paraId="572D90D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ascii="黑体" w:hAnsi="黑体" w:eastAsia="黑体"/>
          <w:b/>
          <w:bCs w:val="0"/>
          <w:color w:val="auto"/>
          <w:kern w:val="0"/>
          <w:sz w:val="32"/>
          <w:szCs w:val="28"/>
          <w:highlight w:val="none"/>
        </w:rPr>
      </w:pPr>
      <w:bookmarkStart w:id="67" w:name="_Toc15506"/>
      <w:r>
        <w:rPr>
          <w:rFonts w:hint="eastAsia" w:ascii="黑体" w:hAnsi="黑体" w:eastAsia="黑体"/>
          <w:b/>
          <w:bCs w:val="0"/>
          <w:color w:val="auto"/>
          <w:kern w:val="0"/>
          <w:sz w:val="32"/>
          <w:szCs w:val="28"/>
          <w:highlight w:val="none"/>
        </w:rPr>
        <w:t>三、综合评价情况及评价结论</w:t>
      </w:r>
      <w:bookmarkEnd w:id="66"/>
      <w:bookmarkEnd w:id="67"/>
    </w:p>
    <w:p w14:paraId="1FB176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bCs/>
          <w:color w:val="auto"/>
          <w:sz w:val="32"/>
          <w:szCs w:val="32"/>
          <w:highlight w:val="none"/>
        </w:rPr>
      </w:pPr>
      <w:r>
        <w:rPr>
          <w:rFonts w:hint="eastAsia" w:ascii="仿宋_GB2312" w:hAnsi="仿宋" w:eastAsia="仿宋_GB2312" w:cs="仿宋"/>
          <w:bCs/>
          <w:color w:val="auto"/>
          <w:kern w:val="0"/>
          <w:sz w:val="32"/>
          <w:szCs w:val="32"/>
          <w:highlight w:val="none"/>
        </w:rPr>
        <w:t>经专家综合评价</w:t>
      </w:r>
      <w:r>
        <w:rPr>
          <w:rFonts w:hint="eastAsia" w:ascii="仿宋_GB2312" w:hAnsi="仿宋" w:eastAsia="仿宋_GB2312" w:cs="仿宋"/>
          <w:bCs/>
          <w:color w:val="auto"/>
          <w:kern w:val="0"/>
          <w:sz w:val="32"/>
          <w:szCs w:val="32"/>
          <w:highlight w:val="none"/>
          <w:lang w:eastAsia="zh-CN"/>
        </w:rPr>
        <w:t>，</w:t>
      </w:r>
      <w:r>
        <w:rPr>
          <w:rFonts w:hint="eastAsia" w:ascii="仿宋_GB2312" w:hAnsi="仿宋_GB2312" w:eastAsia="仿宋_GB2312" w:cs="仿宋_GB2312"/>
          <w:color w:val="auto"/>
          <w:sz w:val="32"/>
          <w:highlight w:val="none"/>
          <w:lang w:eastAsia="zh-CN"/>
        </w:rPr>
        <w:t>北京市特色高水平骨干专业（群）－运动与健康专业群</w:t>
      </w:r>
      <w:r>
        <w:rPr>
          <w:rFonts w:hint="eastAsia" w:ascii="仿宋_GB2312" w:eastAsia="仿宋_GB2312"/>
          <w:bCs/>
          <w:color w:val="auto"/>
          <w:sz w:val="32"/>
          <w:szCs w:val="32"/>
          <w:highlight w:val="none"/>
        </w:rPr>
        <w:t>项目绩效评价综合得分</w:t>
      </w:r>
      <w:r>
        <w:rPr>
          <w:rFonts w:hint="eastAsia" w:ascii="仿宋_GB2312" w:hAnsi="仿宋_GB2312" w:eastAsia="仿宋_GB2312" w:cs="仿宋_GB2312"/>
          <w:i w:val="0"/>
          <w:iCs w:val="0"/>
          <w:color w:val="auto"/>
          <w:kern w:val="0"/>
          <w:sz w:val="32"/>
          <w:szCs w:val="32"/>
          <w:highlight w:val="none"/>
          <w:u w:val="none"/>
          <w:lang w:val="en-US" w:eastAsia="zh-CN" w:bidi="ar"/>
        </w:rPr>
        <w:t>91.15</w:t>
      </w:r>
      <w:r>
        <w:rPr>
          <w:rFonts w:hint="eastAsia" w:ascii="仿宋_GB2312" w:eastAsia="仿宋_GB2312"/>
          <w:bCs/>
          <w:color w:val="auto"/>
          <w:sz w:val="32"/>
          <w:szCs w:val="32"/>
          <w:highlight w:val="none"/>
        </w:rPr>
        <w:t>分，绩效评价结论等级为“</w:t>
      </w:r>
      <w:r>
        <w:rPr>
          <w:rFonts w:hint="eastAsia" w:ascii="仿宋_GB2312" w:eastAsia="仿宋_GB2312"/>
          <w:bCs/>
          <w:color w:val="auto"/>
          <w:sz w:val="32"/>
          <w:szCs w:val="32"/>
          <w:highlight w:val="none"/>
          <w:lang w:val="en-US" w:eastAsia="zh-CN"/>
        </w:rPr>
        <w:t>优</w:t>
      </w:r>
      <w:r>
        <w:rPr>
          <w:rFonts w:hint="eastAsia" w:ascii="仿宋_GB2312" w:eastAsia="仿宋_GB2312"/>
          <w:bCs/>
          <w:color w:val="auto"/>
          <w:sz w:val="32"/>
          <w:szCs w:val="32"/>
          <w:highlight w:val="none"/>
        </w:rPr>
        <w:t>”。其中，项目决策得分</w:t>
      </w:r>
      <w:r>
        <w:rPr>
          <w:rFonts w:hint="eastAsia" w:ascii="仿宋_GB2312" w:hAnsi="仿宋_GB2312" w:eastAsia="仿宋_GB2312" w:cs="仿宋_GB2312"/>
          <w:i w:val="0"/>
          <w:iCs w:val="0"/>
          <w:color w:val="auto"/>
          <w:kern w:val="0"/>
          <w:sz w:val="32"/>
          <w:szCs w:val="32"/>
          <w:highlight w:val="none"/>
          <w:u w:val="none"/>
          <w:lang w:val="en-US" w:eastAsia="zh-CN" w:bidi="ar"/>
        </w:rPr>
        <w:t>9.03</w:t>
      </w:r>
      <w:r>
        <w:rPr>
          <w:rFonts w:hint="eastAsia" w:ascii="仿宋_GB2312" w:eastAsia="仿宋_GB2312"/>
          <w:bCs/>
          <w:color w:val="auto"/>
          <w:sz w:val="32"/>
          <w:szCs w:val="32"/>
          <w:highlight w:val="none"/>
        </w:rPr>
        <w:t>分，项目过程得分</w:t>
      </w:r>
      <w:r>
        <w:rPr>
          <w:rFonts w:hint="eastAsia" w:ascii="仿宋_GB2312" w:hAnsi="仿宋_GB2312" w:eastAsia="仿宋_GB2312" w:cs="仿宋_GB2312"/>
          <w:i w:val="0"/>
          <w:iCs w:val="0"/>
          <w:color w:val="auto"/>
          <w:kern w:val="0"/>
          <w:sz w:val="32"/>
          <w:szCs w:val="32"/>
          <w:highlight w:val="none"/>
          <w:u w:val="none"/>
          <w:lang w:val="en-US" w:eastAsia="zh-CN" w:bidi="ar"/>
        </w:rPr>
        <w:t>18.44</w:t>
      </w:r>
      <w:r>
        <w:rPr>
          <w:rFonts w:hint="eastAsia" w:ascii="仿宋_GB2312" w:eastAsia="仿宋_GB2312"/>
          <w:bCs/>
          <w:color w:val="auto"/>
          <w:sz w:val="32"/>
          <w:szCs w:val="32"/>
          <w:highlight w:val="none"/>
        </w:rPr>
        <w:t>分，项目产出得分</w:t>
      </w:r>
      <w:r>
        <w:rPr>
          <w:rFonts w:hint="eastAsia" w:ascii="仿宋_GB2312" w:hAnsi="仿宋_GB2312" w:eastAsia="仿宋_GB2312" w:cs="仿宋_GB2312"/>
          <w:i w:val="0"/>
          <w:iCs w:val="0"/>
          <w:color w:val="auto"/>
          <w:kern w:val="0"/>
          <w:sz w:val="32"/>
          <w:szCs w:val="32"/>
          <w:highlight w:val="none"/>
          <w:u w:val="none"/>
          <w:lang w:val="en-US" w:eastAsia="zh-CN" w:bidi="ar"/>
        </w:rPr>
        <w:t>37.80</w:t>
      </w:r>
      <w:r>
        <w:rPr>
          <w:rFonts w:hint="eastAsia" w:ascii="仿宋_GB2312" w:eastAsia="仿宋_GB2312"/>
          <w:bCs/>
          <w:color w:val="auto"/>
          <w:sz w:val="32"/>
          <w:szCs w:val="32"/>
          <w:highlight w:val="none"/>
        </w:rPr>
        <w:t>分，项目效益得分</w:t>
      </w:r>
      <w:r>
        <w:rPr>
          <w:rFonts w:hint="eastAsia" w:ascii="仿宋_GB2312" w:hAnsi="仿宋_GB2312" w:eastAsia="仿宋_GB2312" w:cs="仿宋_GB2312"/>
          <w:i w:val="0"/>
          <w:iCs w:val="0"/>
          <w:color w:val="auto"/>
          <w:kern w:val="0"/>
          <w:sz w:val="32"/>
          <w:szCs w:val="32"/>
          <w:highlight w:val="none"/>
          <w:u w:val="none"/>
          <w:lang w:val="en-US" w:eastAsia="zh-CN" w:bidi="ar"/>
        </w:rPr>
        <w:t>25.88</w:t>
      </w:r>
      <w:r>
        <w:rPr>
          <w:rFonts w:hint="eastAsia" w:ascii="仿宋_GB2312" w:eastAsia="仿宋_GB2312"/>
          <w:bCs/>
          <w:color w:val="auto"/>
          <w:sz w:val="32"/>
          <w:szCs w:val="32"/>
          <w:highlight w:val="none"/>
        </w:rPr>
        <w:t>分。</w:t>
      </w:r>
    </w:p>
    <w:p w14:paraId="4547E2BF">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43" w:firstLineChars="200"/>
        <w:jc w:val="center"/>
        <w:textAlignment w:val="auto"/>
        <w:rPr>
          <w:rFonts w:ascii="仿宋_GB2312" w:eastAsia="仿宋_GB2312"/>
          <w:b/>
          <w:bCs w:val="0"/>
          <w:color w:val="auto"/>
          <w:sz w:val="32"/>
          <w:szCs w:val="32"/>
          <w:highlight w:val="none"/>
        </w:rPr>
      </w:pPr>
      <w:r>
        <w:rPr>
          <w:rFonts w:hint="eastAsia" w:eastAsia="仿宋_GB2312"/>
          <w:b/>
          <w:bCs w:val="0"/>
          <w:color w:val="auto"/>
          <w:sz w:val="32"/>
          <w:szCs w:val="32"/>
          <w:highlight w:val="none"/>
        </w:rPr>
        <w:t>项目绩效评价结论一览表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3745"/>
        <w:gridCol w:w="1934"/>
        <w:gridCol w:w="2840"/>
      </w:tblGrid>
      <w:tr w14:paraId="43FA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753" w:hRule="atLeast"/>
          <w:tblHeader/>
        </w:trPr>
        <w:tc>
          <w:tcPr>
            <w:tcW w:w="3745" w:type="dxa"/>
            <w:shd w:val="clear" w:color="000000" w:fill="auto"/>
            <w:vAlign w:val="center"/>
          </w:tcPr>
          <w:p w14:paraId="7F6715A1">
            <w:pPr>
              <w:keepNext w:val="0"/>
              <w:keepLines w:val="0"/>
              <w:widowControl/>
              <w:suppressLineNumbers w:val="0"/>
              <w:jc w:val="center"/>
              <w:textAlignment w:val="center"/>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评价内容</w:t>
            </w:r>
          </w:p>
        </w:tc>
        <w:tc>
          <w:tcPr>
            <w:tcW w:w="1934" w:type="dxa"/>
            <w:shd w:val="clear" w:color="000000" w:fill="auto"/>
            <w:vAlign w:val="center"/>
          </w:tcPr>
          <w:p w14:paraId="7C256FAA">
            <w:pPr>
              <w:keepNext w:val="0"/>
              <w:keepLines w:val="0"/>
              <w:widowControl/>
              <w:suppressLineNumbers w:val="0"/>
              <w:jc w:val="center"/>
              <w:textAlignment w:val="center"/>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分值</w:t>
            </w:r>
          </w:p>
        </w:tc>
        <w:tc>
          <w:tcPr>
            <w:tcW w:w="2840" w:type="dxa"/>
            <w:shd w:val="clear" w:color="000000" w:fill="auto"/>
            <w:vAlign w:val="center"/>
          </w:tcPr>
          <w:p w14:paraId="557CD71C">
            <w:pPr>
              <w:keepNext w:val="0"/>
              <w:keepLines w:val="0"/>
              <w:widowControl/>
              <w:suppressLineNumbers w:val="0"/>
              <w:jc w:val="center"/>
              <w:textAlignment w:val="center"/>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评价得分</w:t>
            </w:r>
          </w:p>
        </w:tc>
      </w:tr>
      <w:tr w14:paraId="44C6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753" w:hRule="atLeast"/>
        </w:trPr>
        <w:tc>
          <w:tcPr>
            <w:tcW w:w="3745" w:type="dxa"/>
            <w:shd w:val="clear" w:color="000000" w:fill="auto"/>
            <w:vAlign w:val="center"/>
          </w:tcPr>
          <w:p w14:paraId="1F659B6B">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u w:val="none"/>
                <w:lang w:val="en-US" w:eastAsia="zh-CN" w:bidi="ar"/>
              </w:rPr>
              <w:t>项目决策</w:t>
            </w:r>
          </w:p>
        </w:tc>
        <w:tc>
          <w:tcPr>
            <w:tcW w:w="1934" w:type="dxa"/>
            <w:shd w:val="clear" w:color="000000" w:fill="auto"/>
            <w:vAlign w:val="center"/>
          </w:tcPr>
          <w:p w14:paraId="3807D891">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i w:val="0"/>
                <w:iCs w:val="0"/>
                <w:color w:val="auto"/>
                <w:kern w:val="0"/>
                <w:sz w:val="32"/>
                <w:szCs w:val="32"/>
                <w:highlight w:val="none"/>
                <w:u w:val="none"/>
                <w:lang w:val="en-US" w:eastAsia="zh-CN" w:bidi="ar"/>
              </w:rPr>
              <w:t>10</w:t>
            </w:r>
          </w:p>
        </w:tc>
        <w:tc>
          <w:tcPr>
            <w:tcW w:w="2840" w:type="dxa"/>
            <w:shd w:val="clear" w:color="000000" w:fill="auto"/>
            <w:vAlign w:val="center"/>
          </w:tcPr>
          <w:p w14:paraId="4E4EE171">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i w:val="0"/>
                <w:iCs w:val="0"/>
                <w:color w:val="auto"/>
                <w:kern w:val="0"/>
                <w:sz w:val="32"/>
                <w:szCs w:val="32"/>
                <w:highlight w:val="none"/>
                <w:u w:val="none"/>
                <w:lang w:val="en-US" w:eastAsia="zh-CN" w:bidi="ar"/>
              </w:rPr>
              <w:t>9.03</w:t>
            </w:r>
          </w:p>
        </w:tc>
      </w:tr>
      <w:tr w14:paraId="1B89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721" w:hRule="atLeast"/>
        </w:trPr>
        <w:tc>
          <w:tcPr>
            <w:tcW w:w="3745" w:type="dxa"/>
            <w:shd w:val="clear" w:color="000000" w:fill="auto"/>
            <w:vAlign w:val="center"/>
          </w:tcPr>
          <w:p w14:paraId="065B081B">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u w:val="none"/>
                <w:lang w:val="en-US" w:eastAsia="zh-CN" w:bidi="ar"/>
              </w:rPr>
              <w:t>项目过程</w:t>
            </w:r>
          </w:p>
        </w:tc>
        <w:tc>
          <w:tcPr>
            <w:tcW w:w="1934" w:type="dxa"/>
            <w:shd w:val="clear" w:color="000000" w:fill="auto"/>
            <w:vAlign w:val="center"/>
          </w:tcPr>
          <w:p w14:paraId="25E5ED24">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u w:val="none"/>
                <w:lang w:val="en-US" w:eastAsia="zh-CN" w:bidi="ar"/>
              </w:rPr>
              <w:t>20</w:t>
            </w:r>
          </w:p>
        </w:tc>
        <w:tc>
          <w:tcPr>
            <w:tcW w:w="2840" w:type="dxa"/>
            <w:shd w:val="clear" w:color="000000" w:fill="auto"/>
            <w:vAlign w:val="center"/>
          </w:tcPr>
          <w:p w14:paraId="5A1C29F8">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i w:val="0"/>
                <w:iCs w:val="0"/>
                <w:color w:val="auto"/>
                <w:kern w:val="0"/>
                <w:sz w:val="32"/>
                <w:szCs w:val="32"/>
                <w:highlight w:val="none"/>
                <w:u w:val="none"/>
                <w:lang w:val="en-US" w:eastAsia="zh-CN" w:bidi="ar"/>
              </w:rPr>
              <w:t>18.44</w:t>
            </w:r>
          </w:p>
        </w:tc>
      </w:tr>
      <w:tr w14:paraId="47BA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711" w:hRule="atLeast"/>
        </w:trPr>
        <w:tc>
          <w:tcPr>
            <w:tcW w:w="3745" w:type="dxa"/>
            <w:shd w:val="clear" w:color="000000" w:fill="auto"/>
            <w:vAlign w:val="center"/>
          </w:tcPr>
          <w:p w14:paraId="3CCFC0A7">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u w:val="none"/>
                <w:lang w:val="en-US" w:eastAsia="zh-CN" w:bidi="ar"/>
              </w:rPr>
              <w:t>项目产出</w:t>
            </w:r>
          </w:p>
        </w:tc>
        <w:tc>
          <w:tcPr>
            <w:tcW w:w="1934" w:type="dxa"/>
            <w:shd w:val="clear" w:color="000000" w:fill="auto"/>
            <w:vAlign w:val="center"/>
          </w:tcPr>
          <w:p w14:paraId="0CC194AB">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i w:val="0"/>
                <w:iCs w:val="0"/>
                <w:color w:val="auto"/>
                <w:kern w:val="0"/>
                <w:sz w:val="32"/>
                <w:szCs w:val="32"/>
                <w:highlight w:val="none"/>
                <w:u w:val="none"/>
                <w:lang w:val="en-US" w:eastAsia="zh-CN" w:bidi="ar"/>
              </w:rPr>
              <w:t>40</w:t>
            </w:r>
          </w:p>
        </w:tc>
        <w:tc>
          <w:tcPr>
            <w:tcW w:w="2840" w:type="dxa"/>
            <w:shd w:val="clear" w:color="000000" w:fill="auto"/>
            <w:vAlign w:val="center"/>
          </w:tcPr>
          <w:p w14:paraId="5A81BEC7">
            <w:pPr>
              <w:keepNext w:val="0"/>
              <w:keepLines w:val="0"/>
              <w:widowControl/>
              <w:suppressLineNumbers w:val="0"/>
              <w:jc w:val="center"/>
              <w:textAlignment w:val="center"/>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i w:val="0"/>
                <w:iCs w:val="0"/>
                <w:color w:val="auto"/>
                <w:kern w:val="0"/>
                <w:sz w:val="32"/>
                <w:szCs w:val="32"/>
                <w:highlight w:val="none"/>
                <w:u w:val="none"/>
                <w:lang w:val="en-US" w:eastAsia="zh-CN" w:bidi="ar"/>
              </w:rPr>
              <w:t>37.80</w:t>
            </w:r>
          </w:p>
        </w:tc>
      </w:tr>
      <w:tr w14:paraId="3EE2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689" w:hRule="atLeast"/>
        </w:trPr>
        <w:tc>
          <w:tcPr>
            <w:tcW w:w="3745" w:type="dxa"/>
            <w:shd w:val="clear" w:color="000000" w:fill="auto"/>
            <w:vAlign w:val="center"/>
          </w:tcPr>
          <w:p w14:paraId="512BC3A7">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u w:val="none"/>
                <w:lang w:val="en-US" w:eastAsia="zh-CN" w:bidi="ar"/>
              </w:rPr>
              <w:t>项目效益</w:t>
            </w:r>
          </w:p>
        </w:tc>
        <w:tc>
          <w:tcPr>
            <w:tcW w:w="1934" w:type="dxa"/>
            <w:shd w:val="clear" w:color="000000" w:fill="auto"/>
            <w:vAlign w:val="center"/>
          </w:tcPr>
          <w:p w14:paraId="2B555E2E">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u w:val="none"/>
                <w:lang w:val="en-US" w:eastAsia="zh-CN" w:bidi="ar"/>
              </w:rPr>
              <w:t>30</w:t>
            </w:r>
          </w:p>
        </w:tc>
        <w:tc>
          <w:tcPr>
            <w:tcW w:w="2840" w:type="dxa"/>
            <w:shd w:val="clear" w:color="000000" w:fill="auto"/>
            <w:vAlign w:val="center"/>
          </w:tcPr>
          <w:p w14:paraId="05CC23DF">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i w:val="0"/>
                <w:iCs w:val="0"/>
                <w:color w:val="auto"/>
                <w:kern w:val="0"/>
                <w:sz w:val="32"/>
                <w:szCs w:val="32"/>
                <w:highlight w:val="none"/>
                <w:u w:val="none"/>
                <w:lang w:val="en-US" w:eastAsia="zh-CN" w:bidi="ar"/>
              </w:rPr>
              <w:t>25.88</w:t>
            </w:r>
          </w:p>
        </w:tc>
      </w:tr>
      <w:tr w14:paraId="766D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785" w:hRule="atLeast"/>
        </w:trPr>
        <w:tc>
          <w:tcPr>
            <w:tcW w:w="3745" w:type="dxa"/>
            <w:shd w:val="clear" w:color="000000" w:fill="auto"/>
            <w:vAlign w:val="center"/>
          </w:tcPr>
          <w:p w14:paraId="700660B4">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u w:val="none"/>
                <w:lang w:val="en-US" w:eastAsia="zh-CN" w:bidi="ar"/>
              </w:rPr>
              <w:t>综合得分</w:t>
            </w:r>
          </w:p>
        </w:tc>
        <w:tc>
          <w:tcPr>
            <w:tcW w:w="1934" w:type="dxa"/>
            <w:shd w:val="clear" w:color="000000" w:fill="auto"/>
            <w:vAlign w:val="center"/>
          </w:tcPr>
          <w:p w14:paraId="0287499C">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i w:val="0"/>
                <w:iCs w:val="0"/>
                <w:color w:val="auto"/>
                <w:kern w:val="0"/>
                <w:sz w:val="32"/>
                <w:szCs w:val="32"/>
                <w:highlight w:val="none"/>
                <w:u w:val="none"/>
                <w:lang w:val="en-US" w:eastAsia="zh-CN" w:bidi="ar"/>
              </w:rPr>
              <w:t>100</w:t>
            </w:r>
          </w:p>
        </w:tc>
        <w:tc>
          <w:tcPr>
            <w:tcW w:w="2840" w:type="dxa"/>
            <w:shd w:val="clear" w:color="000000" w:fill="auto"/>
            <w:vAlign w:val="center"/>
          </w:tcPr>
          <w:p w14:paraId="7DEDB618">
            <w:pPr>
              <w:keepNext w:val="0"/>
              <w:keepLines w:val="0"/>
              <w:widowControl/>
              <w:suppressLineNumbers w:val="0"/>
              <w:jc w:val="center"/>
              <w:textAlignment w:val="center"/>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i w:val="0"/>
                <w:iCs w:val="0"/>
                <w:color w:val="auto"/>
                <w:kern w:val="0"/>
                <w:sz w:val="32"/>
                <w:szCs w:val="32"/>
                <w:highlight w:val="none"/>
                <w:u w:val="none"/>
                <w:lang w:val="en-US" w:eastAsia="zh-CN" w:bidi="ar"/>
              </w:rPr>
              <w:t>91.15</w:t>
            </w:r>
          </w:p>
        </w:tc>
      </w:tr>
      <w:tr w14:paraId="3BF8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881" w:hRule="atLeast"/>
        </w:trPr>
        <w:tc>
          <w:tcPr>
            <w:tcW w:w="3745" w:type="dxa"/>
            <w:shd w:val="clear" w:color="000000" w:fill="auto"/>
            <w:vAlign w:val="center"/>
          </w:tcPr>
          <w:p w14:paraId="0847764A">
            <w:pPr>
              <w:keepNext w:val="0"/>
              <w:keepLines w:val="0"/>
              <w:widowControl/>
              <w:suppressLineNumbers w:val="0"/>
              <w:jc w:val="center"/>
              <w:textAlignment w:val="center"/>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绩效评定级别</w:t>
            </w:r>
          </w:p>
        </w:tc>
        <w:tc>
          <w:tcPr>
            <w:tcW w:w="4774" w:type="dxa"/>
            <w:gridSpan w:val="2"/>
            <w:shd w:val="clear" w:color="000000" w:fill="auto"/>
            <w:vAlign w:val="center"/>
          </w:tcPr>
          <w:p w14:paraId="768AEFDB">
            <w:pPr>
              <w:keepNext w:val="0"/>
              <w:keepLines w:val="0"/>
              <w:widowControl/>
              <w:suppressLineNumbers w:val="0"/>
              <w:jc w:val="center"/>
              <w:textAlignment w:val="center"/>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优</w:t>
            </w:r>
          </w:p>
        </w:tc>
      </w:tr>
    </w:tbl>
    <w:p w14:paraId="13BE90CF">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Fonts w:ascii="黑体" w:hAnsi="黑体" w:eastAsia="黑体"/>
          <w:b/>
          <w:bCs w:val="0"/>
          <w:color w:val="auto"/>
          <w:kern w:val="0"/>
          <w:sz w:val="32"/>
          <w:szCs w:val="28"/>
          <w:highlight w:val="none"/>
        </w:rPr>
      </w:pPr>
      <w:bookmarkStart w:id="68" w:name="_Toc7381"/>
      <w:bookmarkStart w:id="69" w:name="_Toc12922"/>
      <w:r>
        <w:rPr>
          <w:rFonts w:hint="eastAsia" w:ascii="黑体" w:hAnsi="黑体" w:eastAsia="黑体"/>
          <w:b/>
          <w:bCs w:val="0"/>
          <w:color w:val="auto"/>
          <w:kern w:val="0"/>
          <w:sz w:val="32"/>
          <w:szCs w:val="28"/>
          <w:highlight w:val="none"/>
        </w:rPr>
        <w:t>四、绩效评价指标分析</w:t>
      </w:r>
      <w:bookmarkEnd w:id="68"/>
      <w:bookmarkEnd w:id="69"/>
    </w:p>
    <w:p w14:paraId="7FF865D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ascii="楷体" w:hAnsi="楷体" w:eastAsia="楷体"/>
          <w:b/>
          <w:bCs w:val="0"/>
          <w:color w:val="auto"/>
          <w:kern w:val="0"/>
          <w:sz w:val="32"/>
          <w:szCs w:val="28"/>
          <w:highlight w:val="none"/>
        </w:rPr>
      </w:pPr>
      <w:bookmarkStart w:id="70" w:name="_Toc22171"/>
      <w:bookmarkStart w:id="71" w:name="_Toc30899"/>
      <w:r>
        <w:rPr>
          <w:rFonts w:hint="eastAsia" w:ascii="楷体" w:hAnsi="楷体" w:eastAsia="楷体"/>
          <w:b/>
          <w:bCs w:val="0"/>
          <w:color w:val="auto"/>
          <w:kern w:val="0"/>
          <w:sz w:val="32"/>
          <w:szCs w:val="28"/>
          <w:highlight w:val="none"/>
        </w:rPr>
        <w:t>（一）项目决策情况</w:t>
      </w:r>
      <w:bookmarkEnd w:id="70"/>
      <w:bookmarkEnd w:id="71"/>
    </w:p>
    <w:p w14:paraId="066C2282">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项目决策指标，满分</w:t>
      </w:r>
      <w:r>
        <w:rPr>
          <w:rFonts w:hint="eastAsia" w:ascii="仿宋_GB2312" w:hAnsi="楷体" w:eastAsia="仿宋_GB2312"/>
          <w:bCs/>
          <w:color w:val="auto"/>
          <w:kern w:val="0"/>
          <w:sz w:val="32"/>
          <w:szCs w:val="28"/>
          <w:highlight w:val="none"/>
          <w:lang w:val="en-US" w:eastAsia="zh-CN"/>
        </w:rPr>
        <w:t>10</w:t>
      </w:r>
      <w:r>
        <w:rPr>
          <w:rFonts w:hint="eastAsia" w:ascii="仿宋_GB2312" w:hAnsi="楷体" w:eastAsia="仿宋_GB2312"/>
          <w:bCs/>
          <w:color w:val="auto"/>
          <w:kern w:val="0"/>
          <w:sz w:val="32"/>
          <w:szCs w:val="28"/>
          <w:highlight w:val="none"/>
        </w:rPr>
        <w:t>分，评价得分为</w:t>
      </w:r>
      <w:r>
        <w:rPr>
          <w:rFonts w:hint="eastAsia" w:ascii="仿宋_GB2312" w:hAnsi="仿宋_GB2312" w:eastAsia="仿宋_GB2312" w:cs="仿宋_GB2312"/>
          <w:i w:val="0"/>
          <w:iCs w:val="0"/>
          <w:color w:val="auto"/>
          <w:kern w:val="0"/>
          <w:sz w:val="32"/>
          <w:szCs w:val="32"/>
          <w:highlight w:val="none"/>
          <w:u w:val="none"/>
          <w:lang w:val="en-US" w:eastAsia="zh-CN" w:bidi="ar"/>
        </w:rPr>
        <w:t>9.03</w:t>
      </w:r>
      <w:r>
        <w:rPr>
          <w:rFonts w:hint="eastAsia" w:ascii="仿宋_GB2312" w:hAnsi="楷体" w:eastAsia="仿宋_GB2312"/>
          <w:bCs/>
          <w:color w:val="auto"/>
          <w:kern w:val="0"/>
          <w:sz w:val="32"/>
          <w:szCs w:val="28"/>
          <w:highlight w:val="none"/>
        </w:rPr>
        <w:t>分。</w:t>
      </w:r>
    </w:p>
    <w:p w14:paraId="6A1299EA">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kern w:val="2"/>
          <w:sz w:val="32"/>
          <w:szCs w:val="24"/>
          <w:highlight w:val="none"/>
          <w:lang w:val="en-US" w:eastAsia="zh-CN" w:bidi="ar-SA"/>
        </w:rPr>
      </w:pPr>
      <w:bookmarkStart w:id="72" w:name="_Toc136"/>
      <w:r>
        <w:rPr>
          <w:rFonts w:hint="eastAsia" w:ascii="仿宋_GB2312" w:hAnsi="仿宋_GB2312" w:eastAsia="仿宋_GB2312" w:cs="仿宋_GB2312"/>
          <w:color w:val="auto"/>
          <w:kern w:val="2"/>
          <w:sz w:val="32"/>
          <w:szCs w:val="24"/>
          <w:highlight w:val="none"/>
          <w:lang w:val="en-US" w:eastAsia="zh-CN" w:bidi="ar-SA"/>
        </w:rPr>
        <w:t>该项目符合体育发展规划和相关政策，与部门职责范围相符。2022年11月14日，召开北京体育职业学院院长办公会，明确该项目纳入2023年度预算，按照规定的程序申请立项。组织开展了可行性研究，并对其中的智慧体能康复实训室建设工作进行了专家论证。</w:t>
      </w:r>
      <w:r>
        <w:rPr>
          <w:rFonts w:ascii="仿宋_GB2312" w:hAnsi="楷体" w:eastAsia="仿宋_GB2312"/>
          <w:bCs/>
          <w:color w:val="auto"/>
          <w:kern w:val="0"/>
          <w:sz w:val="32"/>
          <w:szCs w:val="28"/>
          <w:highlight w:val="none"/>
        </w:rPr>
        <w:t>北京市体育局委托第三方中介机构对</w:t>
      </w:r>
      <w:r>
        <w:rPr>
          <w:rFonts w:hint="eastAsia" w:ascii="仿宋_GB2312" w:hAnsi="楷体" w:eastAsia="仿宋_GB2312"/>
          <w:bCs/>
          <w:color w:val="auto"/>
          <w:kern w:val="0"/>
          <w:sz w:val="32"/>
          <w:szCs w:val="28"/>
          <w:highlight w:val="none"/>
        </w:rPr>
        <w:t>该项目</w:t>
      </w:r>
      <w:r>
        <w:rPr>
          <w:rFonts w:ascii="仿宋_GB2312" w:hAnsi="楷体" w:eastAsia="仿宋_GB2312"/>
          <w:bCs/>
          <w:color w:val="auto"/>
          <w:kern w:val="0"/>
          <w:sz w:val="32"/>
          <w:szCs w:val="28"/>
          <w:highlight w:val="none"/>
        </w:rPr>
        <w:t>进行项目预算评审，并于202</w:t>
      </w:r>
      <w:r>
        <w:rPr>
          <w:rFonts w:hint="eastAsia" w:ascii="仿宋_GB2312" w:hAnsi="楷体" w:eastAsia="仿宋_GB2312"/>
          <w:bCs/>
          <w:color w:val="auto"/>
          <w:kern w:val="0"/>
          <w:sz w:val="32"/>
          <w:szCs w:val="28"/>
          <w:highlight w:val="none"/>
          <w:lang w:val="en-US" w:eastAsia="zh-CN"/>
        </w:rPr>
        <w:t>2</w:t>
      </w:r>
      <w:r>
        <w:rPr>
          <w:rFonts w:ascii="仿宋_GB2312" w:hAnsi="楷体" w:eastAsia="仿宋_GB2312"/>
          <w:bCs/>
          <w:color w:val="auto"/>
          <w:kern w:val="0"/>
          <w:sz w:val="32"/>
          <w:szCs w:val="28"/>
          <w:highlight w:val="none"/>
        </w:rPr>
        <w:t>年1</w:t>
      </w:r>
      <w:r>
        <w:rPr>
          <w:rFonts w:hint="eastAsia" w:ascii="仿宋_GB2312" w:hAnsi="楷体" w:eastAsia="仿宋_GB2312"/>
          <w:bCs/>
          <w:color w:val="auto"/>
          <w:kern w:val="0"/>
          <w:sz w:val="32"/>
          <w:szCs w:val="28"/>
          <w:highlight w:val="none"/>
          <w:lang w:val="en-US" w:eastAsia="zh-CN"/>
        </w:rPr>
        <w:t>0</w:t>
      </w:r>
      <w:r>
        <w:rPr>
          <w:rFonts w:ascii="仿宋_GB2312" w:hAnsi="楷体" w:eastAsia="仿宋_GB2312"/>
          <w:bCs/>
          <w:color w:val="auto"/>
          <w:kern w:val="0"/>
          <w:sz w:val="32"/>
          <w:szCs w:val="28"/>
          <w:highlight w:val="none"/>
        </w:rPr>
        <w:t>月1</w:t>
      </w:r>
      <w:r>
        <w:rPr>
          <w:rFonts w:hint="eastAsia" w:ascii="仿宋_GB2312" w:hAnsi="楷体" w:eastAsia="仿宋_GB2312"/>
          <w:bCs/>
          <w:color w:val="auto"/>
          <w:kern w:val="0"/>
          <w:sz w:val="32"/>
          <w:szCs w:val="28"/>
          <w:highlight w:val="none"/>
          <w:lang w:val="en-US" w:eastAsia="zh-CN"/>
        </w:rPr>
        <w:t>4</w:t>
      </w:r>
      <w:r>
        <w:rPr>
          <w:rFonts w:ascii="仿宋_GB2312" w:hAnsi="楷体" w:eastAsia="仿宋_GB2312"/>
          <w:bCs/>
          <w:color w:val="auto"/>
          <w:kern w:val="0"/>
          <w:sz w:val="32"/>
          <w:szCs w:val="28"/>
          <w:highlight w:val="none"/>
        </w:rPr>
        <w:t>日出具了《</w:t>
      </w:r>
      <w:r>
        <w:rPr>
          <w:rFonts w:hint="eastAsia" w:ascii="仿宋_GB2312" w:hAnsi="楷体" w:eastAsia="仿宋_GB2312"/>
          <w:bCs/>
          <w:color w:val="auto"/>
          <w:kern w:val="0"/>
          <w:sz w:val="32"/>
          <w:szCs w:val="28"/>
          <w:highlight w:val="none"/>
        </w:rPr>
        <w:t>关于北京体育职业学院北京市特色高水平骨干专业</w:t>
      </w:r>
      <w:r>
        <w:rPr>
          <w:rFonts w:hint="eastAsia" w:ascii="仿宋_GB2312" w:hAnsi="楷体" w:eastAsia="仿宋_GB2312"/>
          <w:bCs/>
          <w:color w:val="auto"/>
          <w:kern w:val="0"/>
          <w:sz w:val="32"/>
          <w:szCs w:val="28"/>
          <w:highlight w:val="none"/>
          <w:lang w:eastAsia="zh-CN"/>
        </w:rPr>
        <w:t>（</w:t>
      </w:r>
      <w:r>
        <w:rPr>
          <w:rFonts w:hint="eastAsia" w:ascii="仿宋_GB2312" w:hAnsi="楷体" w:eastAsia="仿宋_GB2312"/>
          <w:bCs/>
          <w:color w:val="auto"/>
          <w:kern w:val="0"/>
          <w:sz w:val="32"/>
          <w:szCs w:val="28"/>
          <w:highlight w:val="none"/>
        </w:rPr>
        <w:t>群</w:t>
      </w:r>
      <w:r>
        <w:rPr>
          <w:rFonts w:hint="eastAsia" w:ascii="仿宋_GB2312" w:hAnsi="楷体" w:eastAsia="仿宋_GB2312"/>
          <w:bCs/>
          <w:color w:val="auto"/>
          <w:kern w:val="0"/>
          <w:sz w:val="32"/>
          <w:szCs w:val="28"/>
          <w:highlight w:val="none"/>
          <w:lang w:eastAsia="zh-CN"/>
        </w:rPr>
        <w:t>）－</w:t>
      </w:r>
      <w:r>
        <w:rPr>
          <w:rFonts w:hint="eastAsia" w:ascii="仿宋_GB2312" w:hAnsi="楷体" w:eastAsia="仿宋_GB2312"/>
          <w:bCs/>
          <w:color w:val="auto"/>
          <w:kern w:val="0"/>
          <w:sz w:val="32"/>
          <w:szCs w:val="28"/>
          <w:highlight w:val="none"/>
        </w:rPr>
        <w:t>运动与健康专业群项目预算的评审报告</w:t>
      </w:r>
      <w:r>
        <w:rPr>
          <w:rFonts w:ascii="仿宋_GB2312" w:hAnsi="楷体" w:eastAsia="仿宋_GB2312"/>
          <w:bCs/>
          <w:color w:val="auto"/>
          <w:kern w:val="0"/>
          <w:sz w:val="32"/>
          <w:szCs w:val="28"/>
          <w:highlight w:val="none"/>
        </w:rPr>
        <w:t>》</w:t>
      </w:r>
      <w:r>
        <w:rPr>
          <w:rFonts w:hint="eastAsia" w:ascii="仿宋_GB2312" w:hAnsi="仿宋_GB2312" w:eastAsia="仿宋_GB2312" w:cs="仿宋_GB2312"/>
          <w:color w:val="auto"/>
          <w:kern w:val="2"/>
          <w:sz w:val="32"/>
          <w:szCs w:val="24"/>
          <w:highlight w:val="none"/>
          <w:lang w:val="en-US" w:eastAsia="zh-CN" w:bidi="ar-SA"/>
        </w:rPr>
        <w:t>。但项目可行性研究和专家论证不够充分，绩效目标合理性、可衡量性有待提高，各指标未一一对应。</w:t>
      </w:r>
    </w:p>
    <w:p w14:paraId="43455072">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ascii="楷体" w:hAnsi="楷体" w:eastAsia="楷体"/>
          <w:b/>
          <w:bCs w:val="0"/>
          <w:color w:val="auto"/>
          <w:kern w:val="0"/>
          <w:sz w:val="32"/>
          <w:szCs w:val="28"/>
          <w:highlight w:val="none"/>
        </w:rPr>
      </w:pPr>
      <w:bookmarkStart w:id="73" w:name="_Toc31255"/>
      <w:r>
        <w:rPr>
          <w:rFonts w:hint="eastAsia" w:ascii="楷体" w:hAnsi="楷体" w:eastAsia="楷体"/>
          <w:b/>
          <w:bCs w:val="0"/>
          <w:color w:val="auto"/>
          <w:kern w:val="0"/>
          <w:sz w:val="32"/>
          <w:szCs w:val="28"/>
          <w:highlight w:val="none"/>
        </w:rPr>
        <w:t>（二）项目过程情况</w:t>
      </w:r>
      <w:bookmarkEnd w:id="72"/>
      <w:bookmarkEnd w:id="73"/>
    </w:p>
    <w:p w14:paraId="6B7BB96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项目过程指标，满分</w:t>
      </w:r>
      <w:r>
        <w:rPr>
          <w:rFonts w:hint="eastAsia" w:ascii="仿宋_GB2312" w:hAnsi="楷体" w:eastAsia="仿宋_GB2312"/>
          <w:bCs/>
          <w:color w:val="auto"/>
          <w:kern w:val="0"/>
          <w:sz w:val="32"/>
          <w:szCs w:val="28"/>
          <w:highlight w:val="none"/>
          <w:lang w:val="en-US" w:eastAsia="zh-CN"/>
        </w:rPr>
        <w:t>20</w:t>
      </w:r>
      <w:r>
        <w:rPr>
          <w:rFonts w:hint="eastAsia" w:ascii="仿宋_GB2312" w:hAnsi="楷体" w:eastAsia="仿宋_GB2312"/>
          <w:bCs/>
          <w:color w:val="auto"/>
          <w:kern w:val="0"/>
          <w:sz w:val="32"/>
          <w:szCs w:val="28"/>
          <w:highlight w:val="none"/>
        </w:rPr>
        <w:t>分，评价得分为</w:t>
      </w:r>
      <w:r>
        <w:rPr>
          <w:rFonts w:hint="eastAsia" w:ascii="仿宋_GB2312" w:hAnsi="仿宋_GB2312" w:eastAsia="仿宋_GB2312" w:cs="仿宋_GB2312"/>
          <w:i w:val="0"/>
          <w:iCs w:val="0"/>
          <w:color w:val="auto"/>
          <w:kern w:val="0"/>
          <w:sz w:val="32"/>
          <w:szCs w:val="32"/>
          <w:highlight w:val="none"/>
          <w:u w:val="none"/>
          <w:lang w:val="en-US" w:eastAsia="zh-CN" w:bidi="ar"/>
        </w:rPr>
        <w:t>18.44</w:t>
      </w:r>
      <w:r>
        <w:rPr>
          <w:rFonts w:hint="eastAsia" w:ascii="仿宋_GB2312" w:hAnsi="楷体" w:eastAsia="仿宋_GB2312"/>
          <w:bCs/>
          <w:color w:val="auto"/>
          <w:kern w:val="0"/>
          <w:sz w:val="32"/>
          <w:szCs w:val="28"/>
          <w:highlight w:val="none"/>
        </w:rPr>
        <w:t>分。</w:t>
      </w:r>
    </w:p>
    <w:p w14:paraId="2225402D">
      <w:pPr>
        <w:pStyle w:val="7"/>
        <w:keepNext w:val="0"/>
        <w:keepLines w:val="0"/>
        <w:pageBreakBefore w:val="0"/>
        <w:kinsoku/>
        <w:wordWrap/>
        <w:overflowPunct/>
        <w:topLinePunct w:val="0"/>
        <w:autoSpaceDE/>
        <w:autoSpaceDN/>
        <w:bidi w:val="0"/>
        <w:adjustRightInd/>
        <w:snapToGrid/>
        <w:spacing w:before="0" w:line="560" w:lineRule="exact"/>
        <w:ind w:left="0" w:firstLine="640" w:firstLineChars="200"/>
        <w:textAlignment w:val="auto"/>
        <w:rPr>
          <w:rFonts w:hint="default" w:ascii="仿宋_GB2312" w:hAnsi="仿宋_GB2312" w:eastAsia="仿宋_GB2312" w:cs="仿宋_GB2312"/>
          <w:color w:val="FF0000"/>
          <w:kern w:val="2"/>
          <w:sz w:val="32"/>
          <w:szCs w:val="32"/>
          <w:highlight w:val="none"/>
          <w:lang w:val="en-US" w:eastAsia="zh-CN" w:bidi="ar"/>
        </w:rPr>
      </w:pPr>
      <w:r>
        <w:rPr>
          <w:rFonts w:hint="eastAsia" w:ascii="仿宋_GB2312" w:hAnsi="楷体" w:eastAsia="仿宋_GB2312"/>
          <w:bCs/>
          <w:color w:val="auto"/>
          <w:kern w:val="0"/>
          <w:sz w:val="32"/>
          <w:szCs w:val="28"/>
          <w:highlight w:val="none"/>
          <w:lang w:val="en-US" w:eastAsia="zh-CN"/>
        </w:rPr>
        <w:t>该项目2023年全年预算金额</w:t>
      </w:r>
      <w:r>
        <w:rPr>
          <w:rFonts w:hint="eastAsia" w:ascii="仿宋_GB2312" w:hAnsi="仿宋_GB2312" w:eastAsia="仿宋_GB2312" w:cs="仿宋_GB2312"/>
          <w:color w:val="auto"/>
          <w:kern w:val="0"/>
          <w:sz w:val="32"/>
          <w:szCs w:val="32"/>
          <w:highlight w:val="none"/>
          <w:lang w:val="en-US" w:eastAsia="zh-CN"/>
        </w:rPr>
        <w:t>496.907万元，资金到位率100%。截至2023年12月31日，实际支出金额496.58万元，预算执行率99.93%。制定了《运动与健康专业群2023年建设方案》，方案中明确了2023年建设目标、预期效益指标及标志性成果、组织机构与职责分工、管理控制措施、实施计划、预期风险和措施、应急预案等内容。并依据《北京体育职业学院内控手册》《北京市特色高水平职业院校、骨干专业和实训基地（工程师学院和技术技能大师工作室）建设项目管理办法》《运动与健康专业群建设经费管理办法》组织实施，通过公开招标确定供应商。项目</w:t>
      </w:r>
      <w:r>
        <w:rPr>
          <w:rFonts w:hint="default" w:ascii="仿宋_GB2312" w:hAnsi="仿宋_GB2312" w:eastAsia="仿宋_GB2312" w:cs="仿宋_GB2312"/>
          <w:color w:val="auto"/>
          <w:kern w:val="2"/>
          <w:sz w:val="32"/>
          <w:szCs w:val="32"/>
          <w:highlight w:val="none"/>
          <w:lang w:val="en-US" w:eastAsia="zh-CN" w:bidi="ar"/>
        </w:rPr>
        <w:t>支出</w:t>
      </w:r>
      <w:r>
        <w:rPr>
          <w:rFonts w:hint="eastAsia" w:ascii="仿宋_GB2312" w:hAnsi="仿宋_GB2312" w:eastAsia="仿宋_GB2312" w:cs="仿宋_GB2312"/>
          <w:color w:val="auto"/>
          <w:kern w:val="2"/>
          <w:sz w:val="32"/>
          <w:szCs w:val="32"/>
          <w:highlight w:val="none"/>
          <w:lang w:val="en-US" w:eastAsia="zh-CN" w:bidi="ar"/>
        </w:rPr>
        <w:t>上会决策并</w:t>
      </w:r>
      <w:r>
        <w:rPr>
          <w:rFonts w:hint="default" w:ascii="仿宋_GB2312" w:hAnsi="仿宋_GB2312" w:eastAsia="仿宋_GB2312" w:cs="仿宋_GB2312"/>
          <w:color w:val="auto"/>
          <w:kern w:val="2"/>
          <w:sz w:val="32"/>
          <w:szCs w:val="32"/>
          <w:highlight w:val="none"/>
          <w:lang w:val="en-US" w:eastAsia="zh-CN" w:bidi="ar"/>
        </w:rPr>
        <w:t>填写《北京体育职业学院资金支出审批单》，经相关领导逐级签字审批</w:t>
      </w:r>
      <w:r>
        <w:rPr>
          <w:rFonts w:hint="eastAsia" w:ascii="仿宋_GB2312" w:hAnsi="仿宋_GB2312" w:eastAsia="仿宋_GB2312" w:cs="仿宋_GB2312"/>
          <w:color w:val="auto"/>
          <w:kern w:val="2"/>
          <w:sz w:val="32"/>
          <w:szCs w:val="32"/>
          <w:highlight w:val="none"/>
          <w:lang w:val="en-US" w:eastAsia="zh-CN" w:bidi="ar"/>
        </w:rPr>
        <w:t>后支付项目资金，项目采购达到固定资产标准的均验收入库，纳入固定资产管理，但项目实施方案指导性有待提升。</w:t>
      </w:r>
    </w:p>
    <w:p w14:paraId="1609E27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ascii="楷体" w:hAnsi="楷体" w:eastAsia="楷体"/>
          <w:b/>
          <w:bCs w:val="0"/>
          <w:color w:val="auto"/>
          <w:kern w:val="0"/>
          <w:sz w:val="32"/>
          <w:szCs w:val="28"/>
          <w:highlight w:val="none"/>
        </w:rPr>
      </w:pPr>
      <w:bookmarkStart w:id="74" w:name="_Toc22050"/>
      <w:bookmarkStart w:id="75" w:name="_Toc11329"/>
      <w:r>
        <w:rPr>
          <w:rFonts w:hint="eastAsia" w:ascii="楷体" w:hAnsi="楷体" w:eastAsia="楷体"/>
          <w:b/>
          <w:bCs w:val="0"/>
          <w:color w:val="auto"/>
          <w:kern w:val="0"/>
          <w:sz w:val="32"/>
          <w:szCs w:val="28"/>
          <w:highlight w:val="none"/>
        </w:rPr>
        <w:t>（三）项目产出情况</w:t>
      </w:r>
      <w:bookmarkEnd w:id="74"/>
      <w:bookmarkEnd w:id="75"/>
    </w:p>
    <w:p w14:paraId="28DFD27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项目产出指标，满分</w:t>
      </w:r>
      <w:r>
        <w:rPr>
          <w:rFonts w:hint="eastAsia" w:ascii="仿宋_GB2312" w:hAnsi="楷体" w:eastAsia="仿宋_GB2312"/>
          <w:bCs/>
          <w:color w:val="auto"/>
          <w:kern w:val="0"/>
          <w:sz w:val="32"/>
          <w:szCs w:val="28"/>
          <w:highlight w:val="none"/>
          <w:lang w:val="en-US" w:eastAsia="zh-CN"/>
        </w:rPr>
        <w:t>40</w:t>
      </w:r>
      <w:r>
        <w:rPr>
          <w:rFonts w:hint="eastAsia" w:ascii="仿宋_GB2312" w:hAnsi="楷体" w:eastAsia="仿宋_GB2312"/>
          <w:bCs/>
          <w:color w:val="auto"/>
          <w:kern w:val="0"/>
          <w:sz w:val="32"/>
          <w:szCs w:val="28"/>
          <w:highlight w:val="none"/>
        </w:rPr>
        <w:t>分，评价得分为</w:t>
      </w:r>
      <w:r>
        <w:rPr>
          <w:rFonts w:hint="eastAsia" w:ascii="仿宋_GB2312" w:hAnsi="仿宋_GB2312" w:eastAsia="仿宋_GB2312" w:cs="仿宋_GB2312"/>
          <w:i w:val="0"/>
          <w:iCs w:val="0"/>
          <w:color w:val="auto"/>
          <w:kern w:val="0"/>
          <w:sz w:val="32"/>
          <w:szCs w:val="32"/>
          <w:highlight w:val="none"/>
          <w:u w:val="none"/>
          <w:lang w:val="en-US" w:eastAsia="zh-CN" w:bidi="ar"/>
        </w:rPr>
        <w:t>37.80</w:t>
      </w:r>
      <w:r>
        <w:rPr>
          <w:rFonts w:hint="eastAsia" w:ascii="仿宋_GB2312" w:hAnsi="楷体" w:eastAsia="仿宋_GB2312"/>
          <w:bCs/>
          <w:color w:val="auto"/>
          <w:kern w:val="0"/>
          <w:sz w:val="32"/>
          <w:szCs w:val="28"/>
          <w:highlight w:val="none"/>
        </w:rPr>
        <w:t>分。</w:t>
      </w:r>
    </w:p>
    <w:p w14:paraId="2AD07ED4">
      <w:pPr>
        <w:pStyle w:val="7"/>
        <w:keepNext w:val="0"/>
        <w:keepLines w:val="0"/>
        <w:pageBreakBefore w:val="0"/>
        <w:kinsoku/>
        <w:wordWrap/>
        <w:overflowPunct/>
        <w:topLinePunct w:val="0"/>
        <w:autoSpaceDE/>
        <w:autoSpaceDN/>
        <w:bidi w:val="0"/>
        <w:adjustRightInd/>
        <w:snapToGrid/>
        <w:spacing w:before="0" w:line="560" w:lineRule="exact"/>
        <w:ind w:left="0" w:firstLine="643" w:firstLineChars="200"/>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b/>
          <w:bCs/>
          <w:color w:val="auto"/>
          <w:highlight w:val="none"/>
        </w:rPr>
        <w:t>1.</w:t>
      </w:r>
      <w:r>
        <w:rPr>
          <w:rFonts w:hint="default" w:ascii="仿宋_GB2312" w:hAnsi="仿宋_GB2312" w:eastAsia="仿宋_GB2312" w:cs="仿宋_GB2312"/>
          <w:color w:val="auto"/>
          <w:kern w:val="2"/>
          <w:sz w:val="32"/>
          <w:szCs w:val="32"/>
          <w:highlight w:val="none"/>
          <w:lang w:val="en-US" w:eastAsia="zh-CN" w:bidi="ar"/>
        </w:rPr>
        <w:t>2023年北京体育职业学院</w:t>
      </w:r>
      <w:r>
        <w:rPr>
          <w:rFonts w:hint="eastAsia" w:ascii="仿宋_GB2312" w:hAnsi="仿宋_GB2312" w:eastAsia="仿宋_GB2312" w:cs="仿宋_GB2312"/>
          <w:color w:val="auto"/>
          <w:kern w:val="2"/>
          <w:sz w:val="32"/>
          <w:szCs w:val="32"/>
          <w:highlight w:val="none"/>
          <w:lang w:val="en-US" w:eastAsia="zh-CN" w:bidi="ar"/>
        </w:rPr>
        <w:t>按计划完成1个</w:t>
      </w:r>
      <w:r>
        <w:rPr>
          <w:rFonts w:hint="default" w:ascii="仿宋_GB2312" w:hAnsi="仿宋_GB2312" w:eastAsia="仿宋_GB2312" w:cs="仿宋_GB2312"/>
          <w:color w:val="auto"/>
          <w:kern w:val="2"/>
          <w:sz w:val="32"/>
          <w:szCs w:val="32"/>
          <w:highlight w:val="none"/>
          <w:lang w:val="en-US" w:eastAsia="zh-CN" w:bidi="ar"/>
        </w:rPr>
        <w:t>实训教室建设</w:t>
      </w:r>
      <w:r>
        <w:rPr>
          <w:rFonts w:hint="eastAsia" w:ascii="仿宋_GB2312" w:hAnsi="仿宋_GB2312" w:eastAsia="仿宋_GB2312" w:cs="仿宋_GB2312"/>
          <w:color w:val="auto"/>
          <w:kern w:val="2"/>
          <w:sz w:val="32"/>
          <w:szCs w:val="32"/>
          <w:highlight w:val="none"/>
          <w:lang w:val="en-US" w:eastAsia="zh-CN" w:bidi="ar"/>
        </w:rPr>
        <w:t>，42台（套）设备已验收入库，纳入固定资产管理，购置设备明细如下表：</w:t>
      </w:r>
    </w:p>
    <w:p w14:paraId="6C7A506E">
      <w:pPr>
        <w:pStyle w:val="7"/>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firstLine="643" w:firstLineChars="200"/>
        <w:jc w:val="center"/>
        <w:textAlignment w:val="auto"/>
        <w:rPr>
          <w:rFonts w:hint="default" w:ascii="仿宋_GB2312" w:hAnsi="仿宋_GB2312" w:eastAsia="仿宋_GB2312" w:cs="仿宋_GB2312"/>
          <w:b/>
          <w:bCs/>
          <w:color w:val="auto"/>
          <w:kern w:val="2"/>
          <w:sz w:val="32"/>
          <w:szCs w:val="32"/>
          <w:highlight w:val="none"/>
          <w:lang w:val="en-US" w:eastAsia="zh-CN" w:bidi="ar"/>
        </w:rPr>
      </w:pPr>
      <w:r>
        <w:rPr>
          <w:rFonts w:hint="eastAsia" w:ascii="仿宋_GB2312" w:hAnsi="仿宋_GB2312" w:eastAsia="仿宋_GB2312" w:cs="仿宋_GB2312"/>
          <w:b/>
          <w:bCs/>
          <w:color w:val="auto"/>
          <w:sz w:val="32"/>
          <w:highlight w:val="none"/>
          <w:lang w:val="en-US" w:eastAsia="zh-CN"/>
        </w:rPr>
        <w:t>保健康复专业实训教室建设设备明细表</w:t>
      </w:r>
    </w:p>
    <w:tbl>
      <w:tblPr>
        <w:tblStyle w:val="19"/>
        <w:tblW w:w="8303"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5"/>
        <w:gridCol w:w="2961"/>
        <w:gridCol w:w="2116"/>
        <w:gridCol w:w="1075"/>
        <w:gridCol w:w="1076"/>
      </w:tblGrid>
      <w:tr w14:paraId="189E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blHeader/>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7C08">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Style w:val="33"/>
                <w:rFonts w:hint="eastAsia" w:ascii="仿宋_GB2312" w:hAnsi="仿宋_GB2312" w:eastAsia="仿宋_GB2312" w:cs="仿宋_GB2312"/>
                <w:b/>
                <w:bCs/>
                <w:color w:val="auto"/>
                <w:sz w:val="24"/>
                <w:szCs w:val="24"/>
                <w:highlight w:val="none"/>
                <w:lang w:val="en-US" w:eastAsia="zh-CN" w:bidi="ar"/>
              </w:rPr>
              <w:t>序号</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51E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Style w:val="33"/>
                <w:rFonts w:hint="eastAsia" w:ascii="仿宋_GB2312" w:hAnsi="仿宋_GB2312" w:eastAsia="仿宋_GB2312" w:cs="仿宋_GB2312"/>
                <w:b/>
                <w:bCs/>
                <w:color w:val="auto"/>
                <w:sz w:val="24"/>
                <w:szCs w:val="24"/>
                <w:highlight w:val="none"/>
                <w:lang w:val="en-US" w:eastAsia="zh-CN" w:bidi="ar"/>
              </w:rPr>
              <w:t>名称</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6D85">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Style w:val="33"/>
                <w:rFonts w:hint="eastAsia" w:ascii="仿宋_GB2312" w:hAnsi="仿宋_GB2312" w:eastAsia="仿宋_GB2312" w:cs="仿宋_GB2312"/>
                <w:b/>
                <w:bCs/>
                <w:color w:val="auto"/>
                <w:sz w:val="24"/>
                <w:szCs w:val="24"/>
                <w:highlight w:val="none"/>
                <w:lang w:val="en-US" w:eastAsia="zh-CN" w:bidi="ar"/>
              </w:rPr>
              <w:t>型号规格</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8EAD">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Style w:val="33"/>
                <w:rFonts w:hint="eastAsia" w:ascii="仿宋_GB2312" w:hAnsi="仿宋_GB2312" w:eastAsia="仿宋_GB2312" w:cs="仿宋_GB2312"/>
                <w:b/>
                <w:bCs/>
                <w:color w:val="auto"/>
                <w:sz w:val="24"/>
                <w:szCs w:val="24"/>
                <w:highlight w:val="none"/>
                <w:lang w:val="en-US" w:eastAsia="zh-CN" w:bidi="ar"/>
              </w:rPr>
              <w:t>数量</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95FE">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Style w:val="33"/>
                <w:rFonts w:hint="eastAsia" w:ascii="仿宋_GB2312" w:hAnsi="仿宋_GB2312" w:eastAsia="仿宋_GB2312" w:cs="仿宋_GB2312"/>
                <w:b/>
                <w:bCs/>
                <w:color w:val="auto"/>
                <w:sz w:val="24"/>
                <w:szCs w:val="24"/>
                <w:highlight w:val="none"/>
                <w:lang w:val="en-US" w:eastAsia="zh-CN" w:bidi="ar"/>
              </w:rPr>
              <w:t>单位</w:t>
            </w:r>
          </w:p>
        </w:tc>
      </w:tr>
      <w:tr w14:paraId="69EA8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CFC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5C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微波治疗仪</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486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SW-61A3</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94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7D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台</w:t>
            </w:r>
          </w:p>
        </w:tc>
      </w:tr>
      <w:tr w14:paraId="28F7D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A0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B16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磁振热治疗仪</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82F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SC-CZ-4000型</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DC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60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台</w:t>
            </w:r>
          </w:p>
        </w:tc>
      </w:tr>
      <w:tr w14:paraId="3CB85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9FB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3</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2E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多功能康复训练仪</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DA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DQ-24</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35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1B4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台</w:t>
            </w:r>
          </w:p>
        </w:tc>
      </w:tr>
      <w:tr w14:paraId="0F3E2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43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FE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拉力康复训练器</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2A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JY-LLC</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AE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264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26B52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C7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5C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腹肌训练器</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06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JY-S109</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4D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C7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78CC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084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6</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9C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背肌训练器</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A7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JY-S110</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DD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59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186D3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F9C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7</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31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数字肌力测试系统</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70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JY-YJ10OA</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8C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B00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台</w:t>
            </w:r>
          </w:p>
        </w:tc>
      </w:tr>
      <w:tr w14:paraId="1A84A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0E2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8</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72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悬吊康复治疗系统</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5F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SGST-01</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D2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FBF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2F03A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93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9</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AB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生物反馈治疗仪</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1F3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KRL-NRP</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2F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74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50814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CE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64A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人体骨骼模型</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247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GD/A11101</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14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186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46798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B51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11</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53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人体骨骼散骨模型</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CC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GD/A11103</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D3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60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20C74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3AE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F9A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电刺激仪</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48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DK-401A</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99D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7C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091E8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748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13</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76D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肋木架</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02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JY-LMU-1</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B94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E2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6AA15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1F6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14</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857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普拉提器械五件套</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121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JY-PLT</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A02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82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1CBB1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6D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15</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29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姿势矫正镜</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E73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JY-JZJ-1</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1B3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A6D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59DA5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F49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16</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9EB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步态分析系统</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0D5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SENNOSCAN-21A</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278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1DF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台</w:t>
            </w:r>
          </w:p>
        </w:tc>
      </w:tr>
      <w:tr w14:paraId="0A4A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A6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17</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31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动态训练器</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24C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JY-HXC</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ED8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9A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台</w:t>
            </w:r>
          </w:p>
        </w:tc>
      </w:tr>
      <w:tr w14:paraId="6234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97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18</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DD8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数字化髋关节便携测训椅</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D88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SCK-C</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9FA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A8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台</w:t>
            </w:r>
          </w:p>
        </w:tc>
      </w:tr>
      <w:tr w14:paraId="635DD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5A1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19</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FB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无线平衡协调测训系统</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379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DK-PHY</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C1D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668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套</w:t>
            </w:r>
          </w:p>
        </w:tc>
      </w:tr>
      <w:tr w14:paraId="07C33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432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20</w:t>
            </w:r>
          </w:p>
        </w:tc>
        <w:tc>
          <w:tcPr>
            <w:tcW w:w="2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2D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运动防护包</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C6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GJ-YD008</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13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ED4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Style w:val="33"/>
                <w:rFonts w:hint="eastAsia" w:ascii="仿宋_GB2312" w:hAnsi="仿宋_GB2312" w:eastAsia="仿宋_GB2312" w:cs="仿宋_GB2312"/>
                <w:color w:val="auto"/>
                <w:sz w:val="24"/>
                <w:szCs w:val="24"/>
                <w:highlight w:val="none"/>
                <w:lang w:val="en-US" w:eastAsia="zh-CN" w:bidi="ar"/>
              </w:rPr>
              <w:t>个</w:t>
            </w:r>
          </w:p>
        </w:tc>
      </w:tr>
      <w:tr w14:paraId="3D396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17A52D">
            <w:pPr>
              <w:keepNext w:val="0"/>
              <w:keepLines w:val="0"/>
              <w:widowControl/>
              <w:suppressLineNumbers w:val="0"/>
              <w:jc w:val="center"/>
              <w:textAlignment w:val="center"/>
              <w:rPr>
                <w:rStyle w:val="33"/>
                <w:rFonts w:hint="default" w:ascii="仿宋_GB2312" w:hAnsi="仿宋_GB2312" w:eastAsia="仿宋_GB2312" w:cs="仿宋_GB2312"/>
                <w:color w:val="auto"/>
                <w:sz w:val="24"/>
                <w:szCs w:val="24"/>
                <w:highlight w:val="none"/>
                <w:lang w:val="en-US" w:eastAsia="zh-CN" w:bidi="ar"/>
              </w:rPr>
            </w:pPr>
            <w:r>
              <w:rPr>
                <w:rStyle w:val="33"/>
                <w:rFonts w:hint="eastAsia" w:ascii="仿宋_GB2312" w:hAnsi="仿宋_GB2312" w:eastAsia="仿宋_GB2312" w:cs="仿宋_GB2312"/>
                <w:color w:val="auto"/>
                <w:sz w:val="24"/>
                <w:szCs w:val="24"/>
                <w:highlight w:val="none"/>
                <w:lang w:val="en-US" w:eastAsia="zh-CN" w:bidi="ar"/>
              </w:rPr>
              <w:t>合计</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2402">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42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9890">
            <w:pPr>
              <w:keepNext w:val="0"/>
              <w:keepLines w:val="0"/>
              <w:widowControl/>
              <w:suppressLineNumbers w:val="0"/>
              <w:jc w:val="center"/>
              <w:textAlignment w:val="center"/>
              <w:rPr>
                <w:rStyle w:val="33"/>
                <w:rFonts w:hint="eastAsia" w:ascii="仿宋_GB2312" w:hAnsi="仿宋_GB2312" w:eastAsia="仿宋_GB2312" w:cs="仿宋_GB2312"/>
                <w:color w:val="auto"/>
                <w:sz w:val="24"/>
                <w:szCs w:val="24"/>
                <w:highlight w:val="none"/>
                <w:lang w:val="en-US" w:eastAsia="zh-CN" w:bidi="ar"/>
              </w:rPr>
            </w:pPr>
          </w:p>
        </w:tc>
      </w:tr>
    </w:tbl>
    <w:p w14:paraId="7310E9D2">
      <w:pPr>
        <w:pStyle w:val="7"/>
        <w:keepNext w:val="0"/>
        <w:keepLines w:val="0"/>
        <w:pageBreakBefore w:val="0"/>
        <w:kinsoku/>
        <w:wordWrap/>
        <w:overflowPunct/>
        <w:topLinePunct w:val="0"/>
        <w:autoSpaceDE/>
        <w:autoSpaceDN/>
        <w:bidi w:val="0"/>
        <w:adjustRightInd/>
        <w:snapToGrid/>
        <w:spacing w:before="0" w:line="560" w:lineRule="exact"/>
        <w:ind w:left="0" w:firstLine="640" w:firstLineChars="200"/>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w:t>
      </w:r>
      <w:r>
        <w:rPr>
          <w:rFonts w:hint="default" w:ascii="仿宋_GB2312" w:hAnsi="仿宋_GB2312" w:eastAsia="仿宋_GB2312" w:cs="仿宋_GB2312"/>
          <w:color w:val="auto"/>
          <w:kern w:val="2"/>
          <w:sz w:val="32"/>
          <w:szCs w:val="32"/>
          <w:highlight w:val="none"/>
          <w:lang w:val="en-US" w:eastAsia="zh-CN" w:bidi="ar"/>
        </w:rPr>
        <w:t>2023年北京体育职业学院</w:t>
      </w:r>
      <w:r>
        <w:rPr>
          <w:rFonts w:hint="eastAsia" w:ascii="仿宋_GB2312" w:hAnsi="仿宋_GB2312" w:eastAsia="仿宋_GB2312" w:cs="仿宋_GB2312"/>
          <w:color w:val="auto"/>
          <w:kern w:val="2"/>
          <w:sz w:val="32"/>
          <w:szCs w:val="32"/>
          <w:highlight w:val="none"/>
          <w:lang w:val="en-US" w:eastAsia="zh-CN" w:bidi="ar"/>
        </w:rPr>
        <w:t>按计划</w:t>
      </w:r>
      <w:r>
        <w:rPr>
          <w:rFonts w:hint="default" w:ascii="仿宋_GB2312" w:hAnsi="仿宋_GB2312" w:eastAsia="仿宋_GB2312" w:cs="仿宋_GB2312"/>
          <w:color w:val="auto"/>
          <w:kern w:val="2"/>
          <w:sz w:val="32"/>
          <w:szCs w:val="32"/>
          <w:highlight w:val="none"/>
          <w:lang w:val="en-US" w:eastAsia="zh-CN" w:bidi="ar"/>
        </w:rPr>
        <w:t>完成校企合作研发</w:t>
      </w:r>
      <w:r>
        <w:rPr>
          <w:rFonts w:hint="eastAsia" w:ascii="仿宋_GB2312" w:hAnsi="仿宋_GB2312" w:eastAsia="仿宋_GB2312" w:cs="仿宋_GB2312"/>
          <w:color w:val="auto"/>
          <w:kern w:val="2"/>
          <w:sz w:val="32"/>
          <w:szCs w:val="32"/>
          <w:highlight w:val="none"/>
          <w:lang w:val="en-US" w:eastAsia="zh-CN" w:bidi="ar"/>
        </w:rPr>
        <w:t>信息化</w:t>
      </w:r>
      <w:r>
        <w:rPr>
          <w:rFonts w:hint="default" w:ascii="仿宋_GB2312" w:hAnsi="仿宋_GB2312" w:eastAsia="仿宋_GB2312" w:cs="仿宋_GB2312"/>
          <w:color w:val="auto"/>
          <w:kern w:val="2"/>
          <w:sz w:val="32"/>
          <w:szCs w:val="32"/>
          <w:highlight w:val="none"/>
          <w:lang w:val="en-US" w:eastAsia="zh-CN" w:bidi="ar"/>
        </w:rPr>
        <w:t>课程</w:t>
      </w:r>
      <w:r>
        <w:rPr>
          <w:rFonts w:hint="eastAsia" w:ascii="仿宋_GB2312" w:hAnsi="仿宋_GB2312" w:eastAsia="仿宋_GB2312" w:cs="仿宋_GB2312"/>
          <w:color w:val="auto"/>
          <w:kern w:val="2"/>
          <w:sz w:val="32"/>
          <w:szCs w:val="32"/>
          <w:highlight w:val="none"/>
          <w:lang w:val="en-US" w:eastAsia="zh-CN" w:bidi="ar"/>
        </w:rPr>
        <w:t>资源5</w:t>
      </w:r>
      <w:r>
        <w:rPr>
          <w:rFonts w:hint="default" w:ascii="仿宋_GB2312" w:hAnsi="仿宋_GB2312" w:eastAsia="仿宋_GB2312" w:cs="仿宋_GB2312"/>
          <w:color w:val="auto"/>
          <w:kern w:val="2"/>
          <w:sz w:val="32"/>
          <w:szCs w:val="32"/>
          <w:highlight w:val="none"/>
          <w:lang w:val="en-US" w:eastAsia="zh-CN" w:bidi="ar"/>
        </w:rPr>
        <w:t>门，包括：体质测评与运动处方</w:t>
      </w:r>
      <w:r>
        <w:rPr>
          <w:rFonts w:hint="eastAsia" w:ascii="仿宋_GB2312" w:hAnsi="仿宋_GB2312" w:eastAsia="仿宋_GB2312" w:cs="仿宋_GB2312"/>
          <w:color w:val="auto"/>
          <w:kern w:val="2"/>
          <w:sz w:val="32"/>
          <w:szCs w:val="32"/>
          <w:highlight w:val="none"/>
          <w:lang w:val="en-US" w:eastAsia="zh-CN" w:bidi="ar"/>
        </w:rPr>
        <w:t>、</w:t>
      </w:r>
      <w:r>
        <w:rPr>
          <w:rFonts w:hint="default" w:ascii="仿宋_GB2312" w:hAnsi="仿宋_GB2312" w:eastAsia="仿宋_GB2312" w:cs="仿宋_GB2312"/>
          <w:color w:val="auto"/>
          <w:kern w:val="2"/>
          <w:sz w:val="32"/>
          <w:szCs w:val="32"/>
          <w:highlight w:val="none"/>
          <w:lang w:val="en-US" w:eastAsia="zh-CN" w:bidi="ar"/>
        </w:rPr>
        <w:t>运动员兴奋剂风险与防范</w:t>
      </w:r>
      <w:r>
        <w:rPr>
          <w:rFonts w:hint="eastAsia" w:ascii="仿宋_GB2312" w:hAnsi="仿宋_GB2312" w:eastAsia="仿宋_GB2312" w:cs="仿宋_GB2312"/>
          <w:color w:val="auto"/>
          <w:kern w:val="2"/>
          <w:sz w:val="32"/>
          <w:szCs w:val="32"/>
          <w:highlight w:val="none"/>
          <w:lang w:val="en-US" w:eastAsia="zh-CN" w:bidi="ar"/>
        </w:rPr>
        <w:t>、</w:t>
      </w:r>
      <w:r>
        <w:rPr>
          <w:rFonts w:hint="default" w:ascii="仿宋_GB2312" w:hAnsi="仿宋_GB2312" w:eastAsia="仿宋_GB2312" w:cs="仿宋_GB2312"/>
          <w:color w:val="auto"/>
          <w:kern w:val="2"/>
          <w:sz w:val="32"/>
          <w:szCs w:val="32"/>
          <w:highlight w:val="none"/>
          <w:lang w:val="en-US" w:eastAsia="zh-CN" w:bidi="ar"/>
        </w:rPr>
        <w:t>儿童基本技能培养</w:t>
      </w:r>
      <w:r>
        <w:rPr>
          <w:rFonts w:hint="eastAsia" w:ascii="仿宋_GB2312" w:hAnsi="仿宋_GB2312" w:eastAsia="仿宋_GB2312" w:cs="仿宋_GB2312"/>
          <w:color w:val="auto"/>
          <w:kern w:val="2"/>
          <w:sz w:val="32"/>
          <w:szCs w:val="32"/>
          <w:highlight w:val="none"/>
          <w:lang w:val="en-US" w:eastAsia="zh-CN" w:bidi="ar"/>
        </w:rPr>
        <w:t>、</w:t>
      </w:r>
      <w:r>
        <w:rPr>
          <w:rFonts w:hint="default" w:ascii="仿宋_GB2312" w:hAnsi="仿宋_GB2312" w:eastAsia="仿宋_GB2312" w:cs="仿宋_GB2312"/>
          <w:color w:val="auto"/>
          <w:kern w:val="2"/>
          <w:sz w:val="32"/>
          <w:szCs w:val="32"/>
          <w:highlight w:val="none"/>
          <w:lang w:val="en-US" w:eastAsia="zh-CN" w:bidi="ar"/>
        </w:rPr>
        <w:t>中华体育精神资源库</w:t>
      </w:r>
      <w:r>
        <w:rPr>
          <w:rFonts w:hint="eastAsia" w:ascii="仿宋_GB2312" w:hAnsi="仿宋_GB2312" w:eastAsia="仿宋_GB2312" w:cs="仿宋_GB2312"/>
          <w:color w:val="auto"/>
          <w:kern w:val="2"/>
          <w:sz w:val="32"/>
          <w:szCs w:val="32"/>
          <w:highlight w:val="none"/>
          <w:lang w:val="en-US" w:eastAsia="zh-CN" w:bidi="ar"/>
        </w:rPr>
        <w:t>、</w:t>
      </w:r>
      <w:r>
        <w:rPr>
          <w:rFonts w:hint="default" w:ascii="仿宋_GB2312" w:hAnsi="仿宋_GB2312" w:eastAsia="仿宋_GB2312" w:cs="仿宋_GB2312"/>
          <w:color w:val="auto"/>
          <w:kern w:val="2"/>
          <w:sz w:val="32"/>
          <w:szCs w:val="32"/>
          <w:highlight w:val="none"/>
          <w:lang w:val="en-US" w:eastAsia="zh-CN" w:bidi="ar"/>
        </w:rPr>
        <w:t>运动解剖</w:t>
      </w:r>
      <w:r>
        <w:rPr>
          <w:rFonts w:hint="eastAsia" w:ascii="仿宋_GB2312" w:hAnsi="仿宋_GB2312" w:eastAsia="仿宋_GB2312" w:cs="仿宋_GB2312"/>
          <w:color w:val="auto"/>
          <w:kern w:val="2"/>
          <w:sz w:val="32"/>
          <w:szCs w:val="32"/>
          <w:highlight w:val="none"/>
          <w:lang w:val="en-US" w:eastAsia="zh-CN" w:bidi="ar"/>
        </w:rPr>
        <w:t>。</w:t>
      </w:r>
    </w:p>
    <w:p w14:paraId="20295ABA">
      <w:pPr>
        <w:pStyle w:val="7"/>
        <w:keepNext w:val="0"/>
        <w:keepLines w:val="0"/>
        <w:pageBreakBefore w:val="0"/>
        <w:kinsoku/>
        <w:wordWrap/>
        <w:overflowPunct/>
        <w:topLinePunct w:val="0"/>
        <w:autoSpaceDE/>
        <w:autoSpaceDN/>
        <w:bidi w:val="0"/>
        <w:adjustRightInd/>
        <w:snapToGrid/>
        <w:spacing w:before="0" w:line="560" w:lineRule="exact"/>
        <w:ind w:left="0" w:firstLine="640" w:firstLineChars="200"/>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3.</w:t>
      </w:r>
      <w:r>
        <w:rPr>
          <w:rFonts w:hint="default" w:ascii="仿宋_GB2312" w:hAnsi="仿宋_GB2312" w:eastAsia="仿宋_GB2312" w:cs="仿宋_GB2312"/>
          <w:color w:val="auto"/>
          <w:kern w:val="2"/>
          <w:sz w:val="32"/>
          <w:szCs w:val="32"/>
          <w:highlight w:val="none"/>
          <w:lang w:val="en-US" w:eastAsia="zh-CN" w:bidi="ar"/>
        </w:rPr>
        <w:t>2023年北京体育职业学院</w:t>
      </w:r>
      <w:r>
        <w:rPr>
          <w:rFonts w:hint="eastAsia" w:ascii="仿宋_GB2312" w:hAnsi="仿宋_GB2312" w:eastAsia="仿宋_GB2312" w:cs="仿宋_GB2312"/>
          <w:color w:val="auto"/>
          <w:kern w:val="2"/>
          <w:sz w:val="32"/>
          <w:szCs w:val="32"/>
          <w:highlight w:val="none"/>
          <w:lang w:val="en-US" w:eastAsia="zh-CN" w:bidi="ar"/>
        </w:rPr>
        <w:t>按计划完成</w:t>
      </w:r>
      <w:r>
        <w:rPr>
          <w:rFonts w:hint="default" w:ascii="仿宋_GB2312" w:hAnsi="仿宋_GB2312" w:eastAsia="仿宋_GB2312" w:cs="仿宋_GB2312"/>
          <w:color w:val="auto"/>
          <w:kern w:val="2"/>
          <w:sz w:val="32"/>
          <w:szCs w:val="32"/>
          <w:highlight w:val="none"/>
          <w:lang w:val="en-US" w:eastAsia="zh-CN" w:bidi="ar"/>
        </w:rPr>
        <w:t>教材开发编写</w:t>
      </w:r>
      <w:r>
        <w:rPr>
          <w:rFonts w:hint="eastAsia" w:ascii="仿宋_GB2312" w:hAnsi="仿宋_GB2312" w:eastAsia="仿宋_GB2312" w:cs="仿宋_GB2312"/>
          <w:color w:val="auto"/>
          <w:kern w:val="2"/>
          <w:sz w:val="32"/>
          <w:szCs w:val="32"/>
          <w:highlight w:val="none"/>
          <w:lang w:val="en-US" w:eastAsia="zh-CN" w:bidi="ar"/>
        </w:rPr>
        <w:t>5</w:t>
      </w:r>
      <w:r>
        <w:rPr>
          <w:rFonts w:hint="default" w:ascii="仿宋_GB2312" w:hAnsi="仿宋_GB2312" w:eastAsia="仿宋_GB2312" w:cs="仿宋_GB2312"/>
          <w:color w:val="auto"/>
          <w:kern w:val="2"/>
          <w:sz w:val="32"/>
          <w:szCs w:val="32"/>
          <w:highlight w:val="none"/>
          <w:lang w:val="en-US" w:eastAsia="zh-CN" w:bidi="ar"/>
        </w:rPr>
        <w:t>本，包括：</w:t>
      </w:r>
      <w:r>
        <w:rPr>
          <w:rFonts w:hint="eastAsia" w:ascii="仿宋_GB2312" w:hAnsi="仿宋_GB2312" w:eastAsia="仿宋_GB2312" w:cs="仿宋_GB2312"/>
          <w:color w:val="auto"/>
          <w:kern w:val="2"/>
          <w:sz w:val="32"/>
          <w:szCs w:val="32"/>
          <w:highlight w:val="none"/>
          <w:lang w:val="en-US" w:eastAsia="zh-CN" w:bidi="ar"/>
        </w:rPr>
        <w:t>《健身瑜伽》《运动恢复的理论与</w:t>
      </w:r>
      <w:r>
        <w:rPr>
          <w:rFonts w:hint="default" w:ascii="仿宋_GB2312" w:hAnsi="仿宋_GB2312" w:eastAsia="仿宋_GB2312" w:cs="仿宋_GB2312"/>
          <w:color w:val="auto"/>
          <w:kern w:val="2"/>
          <w:sz w:val="32"/>
          <w:szCs w:val="32"/>
          <w:highlight w:val="none"/>
          <w:lang w:val="en-US" w:eastAsia="zh-CN" w:bidi="ar"/>
        </w:rPr>
        <w:t>方法</w:t>
      </w:r>
      <w:r>
        <w:rPr>
          <w:rFonts w:hint="eastAsia" w:ascii="仿宋_GB2312" w:hAnsi="仿宋_GB2312" w:eastAsia="仿宋_GB2312" w:cs="仿宋_GB2312"/>
          <w:color w:val="auto"/>
          <w:kern w:val="2"/>
          <w:sz w:val="32"/>
          <w:szCs w:val="32"/>
          <w:highlight w:val="none"/>
          <w:lang w:val="en-US" w:eastAsia="zh-CN" w:bidi="ar"/>
        </w:rPr>
        <w:t>》《儿童青少年体质健康</w:t>
      </w:r>
      <w:r>
        <w:rPr>
          <w:rFonts w:hint="default" w:ascii="仿宋_GB2312" w:hAnsi="仿宋_GB2312" w:eastAsia="仿宋_GB2312" w:cs="仿宋_GB2312"/>
          <w:color w:val="auto"/>
          <w:kern w:val="2"/>
          <w:sz w:val="32"/>
          <w:szCs w:val="32"/>
          <w:highlight w:val="none"/>
          <w:lang w:val="en-US" w:eastAsia="zh-CN" w:bidi="ar"/>
        </w:rPr>
        <w:t>测评</w:t>
      </w:r>
      <w:r>
        <w:rPr>
          <w:rFonts w:hint="eastAsia" w:ascii="仿宋_GB2312" w:hAnsi="仿宋_GB2312" w:eastAsia="仿宋_GB2312" w:cs="仿宋_GB2312"/>
          <w:color w:val="auto"/>
          <w:kern w:val="2"/>
          <w:sz w:val="32"/>
          <w:szCs w:val="32"/>
          <w:highlight w:val="none"/>
          <w:lang w:val="en-US" w:eastAsia="zh-CN" w:bidi="ar"/>
        </w:rPr>
        <w:t>与评估》《青少年体能训练》和《体质测评与运动处</w:t>
      </w:r>
      <w:r>
        <w:rPr>
          <w:rFonts w:hint="default" w:ascii="仿宋_GB2312" w:hAnsi="仿宋_GB2312" w:eastAsia="仿宋_GB2312" w:cs="仿宋_GB2312"/>
          <w:color w:val="auto"/>
          <w:kern w:val="2"/>
          <w:sz w:val="32"/>
          <w:szCs w:val="32"/>
          <w:highlight w:val="none"/>
          <w:lang w:val="en-US" w:eastAsia="zh-CN" w:bidi="ar"/>
        </w:rPr>
        <w:t>方</w:t>
      </w:r>
      <w:r>
        <w:rPr>
          <w:rFonts w:hint="eastAsia" w:ascii="仿宋_GB2312" w:hAnsi="仿宋_GB2312" w:eastAsia="仿宋_GB2312" w:cs="仿宋_GB2312"/>
          <w:color w:val="auto"/>
          <w:kern w:val="2"/>
          <w:sz w:val="32"/>
          <w:szCs w:val="32"/>
          <w:highlight w:val="none"/>
          <w:lang w:val="en-US" w:eastAsia="zh-CN" w:bidi="ar"/>
        </w:rPr>
        <w:t>》，5门数字教材已经在学院指定的网络教学平台上线运营，达到教学使用标准，并处于正常开展教学运行状态。</w:t>
      </w:r>
    </w:p>
    <w:p w14:paraId="288EA0BC">
      <w:pPr>
        <w:pStyle w:val="7"/>
        <w:keepNext w:val="0"/>
        <w:keepLines w:val="0"/>
        <w:pageBreakBefore w:val="0"/>
        <w:kinsoku/>
        <w:wordWrap/>
        <w:overflowPunct/>
        <w:topLinePunct w:val="0"/>
        <w:autoSpaceDE/>
        <w:autoSpaceDN/>
        <w:bidi w:val="0"/>
        <w:adjustRightInd/>
        <w:snapToGrid/>
        <w:spacing w:before="0" w:line="560" w:lineRule="exact"/>
        <w:ind w:left="0" w:firstLine="640" w:firstLineChars="200"/>
        <w:textAlignment w:val="auto"/>
        <w:rPr>
          <w:rFonts w:hint="default"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4.</w:t>
      </w:r>
      <w:r>
        <w:rPr>
          <w:rFonts w:hint="default" w:ascii="仿宋_GB2312" w:hAnsi="仿宋_GB2312" w:eastAsia="仿宋_GB2312" w:cs="仿宋_GB2312"/>
          <w:color w:val="auto"/>
          <w:kern w:val="2"/>
          <w:sz w:val="32"/>
          <w:szCs w:val="32"/>
          <w:highlight w:val="none"/>
          <w:lang w:val="en-US" w:eastAsia="zh-CN" w:bidi="ar"/>
        </w:rPr>
        <w:t>2023年北京体育职业学院</w:t>
      </w:r>
      <w:r>
        <w:rPr>
          <w:rFonts w:hint="eastAsia" w:ascii="仿宋_GB2312" w:hAnsi="仿宋_GB2312" w:eastAsia="仿宋_GB2312" w:cs="仿宋_GB2312"/>
          <w:color w:val="auto"/>
          <w:kern w:val="2"/>
          <w:sz w:val="32"/>
          <w:szCs w:val="32"/>
          <w:highlight w:val="none"/>
          <w:lang w:val="en-US" w:eastAsia="zh-CN" w:bidi="ar"/>
        </w:rPr>
        <w:t>按计划完成了“推进现代职业教育体系建设改革重点任务专题培训”“职业教育教学成果奖培育、凝练与申报培训”“运动与健康专业群之幼儿体育师资培训与跟岗实践培训”“运动与健康专业群之体育中考师资培训与资源库建设培训”等相关培训工作，但未进行培训考核。</w:t>
      </w:r>
    </w:p>
    <w:p w14:paraId="45398E9A">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ascii="楷体" w:hAnsi="楷体" w:eastAsia="楷体"/>
          <w:b/>
          <w:bCs w:val="0"/>
          <w:color w:val="auto"/>
          <w:kern w:val="0"/>
          <w:sz w:val="32"/>
          <w:szCs w:val="28"/>
          <w:highlight w:val="none"/>
        </w:rPr>
      </w:pPr>
      <w:bookmarkStart w:id="76" w:name="_Toc10057"/>
      <w:bookmarkStart w:id="77" w:name="_Toc974"/>
      <w:r>
        <w:rPr>
          <w:rFonts w:hint="eastAsia" w:ascii="楷体" w:hAnsi="楷体" w:eastAsia="楷体"/>
          <w:b/>
          <w:bCs w:val="0"/>
          <w:color w:val="auto"/>
          <w:kern w:val="0"/>
          <w:sz w:val="32"/>
          <w:szCs w:val="28"/>
          <w:highlight w:val="none"/>
        </w:rPr>
        <w:t>（</w:t>
      </w:r>
      <w:r>
        <w:rPr>
          <w:rFonts w:hint="eastAsia" w:ascii="楷体" w:hAnsi="楷体" w:eastAsia="楷体"/>
          <w:b/>
          <w:bCs w:val="0"/>
          <w:color w:val="auto"/>
          <w:kern w:val="0"/>
          <w:sz w:val="32"/>
          <w:szCs w:val="28"/>
          <w:highlight w:val="none"/>
          <w:lang w:val="en-US" w:eastAsia="zh-CN"/>
        </w:rPr>
        <w:t>四</w:t>
      </w:r>
      <w:r>
        <w:rPr>
          <w:rFonts w:hint="eastAsia" w:ascii="楷体" w:hAnsi="楷体" w:eastAsia="楷体"/>
          <w:b/>
          <w:bCs w:val="0"/>
          <w:color w:val="auto"/>
          <w:kern w:val="0"/>
          <w:sz w:val="32"/>
          <w:szCs w:val="28"/>
          <w:highlight w:val="none"/>
        </w:rPr>
        <w:t>）项目效益情况</w:t>
      </w:r>
      <w:bookmarkEnd w:id="76"/>
      <w:bookmarkEnd w:id="77"/>
    </w:p>
    <w:p w14:paraId="5914519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楷体" w:eastAsia="仿宋_GB2312"/>
          <w:bCs/>
          <w:color w:val="auto"/>
          <w:kern w:val="0"/>
          <w:sz w:val="32"/>
          <w:szCs w:val="28"/>
          <w:highlight w:val="none"/>
        </w:rPr>
      </w:pPr>
      <w:r>
        <w:rPr>
          <w:rFonts w:hint="eastAsia" w:ascii="仿宋_GB2312" w:hAnsi="楷体" w:eastAsia="仿宋_GB2312"/>
          <w:bCs/>
          <w:color w:val="auto"/>
          <w:kern w:val="0"/>
          <w:sz w:val="32"/>
          <w:szCs w:val="28"/>
          <w:highlight w:val="none"/>
        </w:rPr>
        <w:t>项目效益指标，满分</w:t>
      </w:r>
      <w:r>
        <w:rPr>
          <w:rFonts w:hint="eastAsia" w:ascii="仿宋_GB2312" w:hAnsi="楷体" w:eastAsia="仿宋_GB2312"/>
          <w:bCs/>
          <w:color w:val="auto"/>
          <w:kern w:val="0"/>
          <w:sz w:val="32"/>
          <w:szCs w:val="28"/>
          <w:highlight w:val="none"/>
          <w:lang w:val="en-US" w:eastAsia="zh-CN"/>
        </w:rPr>
        <w:t>30</w:t>
      </w:r>
      <w:r>
        <w:rPr>
          <w:rFonts w:hint="eastAsia" w:ascii="仿宋_GB2312" w:hAnsi="楷体" w:eastAsia="仿宋_GB2312"/>
          <w:bCs/>
          <w:color w:val="auto"/>
          <w:kern w:val="0"/>
          <w:sz w:val="32"/>
          <w:szCs w:val="28"/>
          <w:highlight w:val="none"/>
        </w:rPr>
        <w:t>分，评价得分为</w:t>
      </w:r>
      <w:r>
        <w:rPr>
          <w:rFonts w:hint="eastAsia" w:ascii="仿宋_GB2312" w:hAnsi="仿宋_GB2312" w:eastAsia="仿宋_GB2312" w:cs="仿宋_GB2312"/>
          <w:i w:val="0"/>
          <w:iCs w:val="0"/>
          <w:color w:val="auto"/>
          <w:kern w:val="0"/>
          <w:sz w:val="32"/>
          <w:szCs w:val="32"/>
          <w:highlight w:val="none"/>
          <w:u w:val="none"/>
          <w:lang w:val="en-US" w:eastAsia="zh-CN" w:bidi="ar"/>
        </w:rPr>
        <w:t>25.88</w:t>
      </w:r>
      <w:r>
        <w:rPr>
          <w:rFonts w:hint="eastAsia" w:ascii="仿宋_GB2312" w:hAnsi="楷体" w:eastAsia="仿宋_GB2312"/>
          <w:bCs/>
          <w:color w:val="auto"/>
          <w:kern w:val="0"/>
          <w:sz w:val="32"/>
          <w:szCs w:val="28"/>
          <w:highlight w:val="none"/>
        </w:rPr>
        <w:t>分。</w:t>
      </w:r>
    </w:p>
    <w:p w14:paraId="32959B87">
      <w:pPr>
        <w:pStyle w:val="7"/>
        <w:keepNext w:val="0"/>
        <w:keepLines w:val="0"/>
        <w:pageBreakBefore w:val="0"/>
        <w:kinsoku/>
        <w:wordWrap/>
        <w:overflowPunct/>
        <w:topLinePunct w:val="0"/>
        <w:autoSpaceDE/>
        <w:autoSpaceDN/>
        <w:bidi w:val="0"/>
        <w:adjustRightInd/>
        <w:snapToGrid/>
        <w:spacing w:before="0" w:line="560" w:lineRule="exact"/>
        <w:ind w:left="0" w:firstLine="640" w:firstLineChars="200"/>
        <w:textAlignment w:val="auto"/>
        <w:rPr>
          <w:rFonts w:hint="default" w:ascii="仿宋_GB2312" w:hAnsi="仿宋_GB2312" w:eastAsia="仿宋_GB2312" w:cs="仿宋_GB2312"/>
          <w:color w:val="auto"/>
          <w:kern w:val="2"/>
          <w:sz w:val="32"/>
          <w:szCs w:val="32"/>
          <w:highlight w:val="none"/>
          <w:lang w:val="en-US" w:eastAsia="zh-CN" w:bidi="ar"/>
        </w:rPr>
      </w:pPr>
      <w:r>
        <w:rPr>
          <w:rFonts w:hint="default" w:ascii="仿宋_GB2312" w:hAnsi="仿宋_GB2312" w:eastAsia="仿宋_GB2312" w:cs="仿宋_GB2312"/>
          <w:color w:val="auto"/>
          <w:kern w:val="2"/>
          <w:sz w:val="32"/>
          <w:szCs w:val="32"/>
          <w:highlight w:val="none"/>
          <w:lang w:val="en-US" w:eastAsia="zh-CN" w:bidi="ar"/>
        </w:rPr>
        <w:t>截至2023年底，专业课教师、教练的双师率已达90%；学院冰雪专业教师团队冰雪运动损伤急救处理课程获得北京高校（职业教育）课程思政示范课程、教学名师和团队项目立项；学院申请的华体体育产业学院获批北京市第三批“特高”建设项目。</w:t>
      </w:r>
    </w:p>
    <w:p w14:paraId="7F55DEA3">
      <w:pPr>
        <w:pStyle w:val="7"/>
        <w:keepNext w:val="0"/>
        <w:keepLines w:val="0"/>
        <w:pageBreakBefore w:val="0"/>
        <w:kinsoku/>
        <w:wordWrap/>
        <w:overflowPunct/>
        <w:topLinePunct w:val="0"/>
        <w:autoSpaceDE/>
        <w:autoSpaceDN/>
        <w:bidi w:val="0"/>
        <w:adjustRightInd/>
        <w:snapToGrid/>
        <w:spacing w:before="0" w:line="560" w:lineRule="exact"/>
        <w:ind w:left="0" w:firstLine="640" w:firstLineChars="200"/>
        <w:textAlignment w:val="auto"/>
        <w:rPr>
          <w:rFonts w:hint="eastAsia"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202</w:t>
      </w:r>
      <w:r>
        <w:rPr>
          <w:rFonts w:hint="default" w:ascii="仿宋_GB2312" w:hAnsi="仿宋_GB2312" w:eastAsia="仿宋_GB2312" w:cs="仿宋_GB2312"/>
          <w:color w:val="auto"/>
          <w:kern w:val="2"/>
          <w:sz w:val="32"/>
          <w:szCs w:val="32"/>
          <w:highlight w:val="none"/>
          <w:lang w:val="en-US" w:eastAsia="zh-CN" w:bidi="ar"/>
        </w:rPr>
        <w:t>3</w:t>
      </w:r>
      <w:r>
        <w:rPr>
          <w:rFonts w:hint="eastAsia" w:ascii="仿宋_GB2312" w:hAnsi="仿宋_GB2312" w:eastAsia="仿宋_GB2312" w:cs="仿宋_GB2312"/>
          <w:color w:val="auto"/>
          <w:kern w:val="2"/>
          <w:sz w:val="32"/>
          <w:szCs w:val="32"/>
          <w:highlight w:val="none"/>
          <w:lang w:val="en-US" w:eastAsia="zh-CN" w:bidi="ar"/>
        </w:rPr>
        <w:t>年北京职业学院</w:t>
      </w:r>
      <w:r>
        <w:rPr>
          <w:rFonts w:hint="default" w:ascii="仿宋_GB2312" w:hAnsi="仿宋_GB2312" w:eastAsia="仿宋_GB2312" w:cs="仿宋_GB2312"/>
          <w:color w:val="auto"/>
          <w:kern w:val="2"/>
          <w:sz w:val="32"/>
          <w:szCs w:val="32"/>
          <w:highlight w:val="none"/>
          <w:lang w:val="en-US" w:eastAsia="zh-CN" w:bidi="ar"/>
        </w:rPr>
        <w:t>师生300余人次参加国际花滑、速滑比赛、北京国际马拉松等赛事的志愿服务，</w:t>
      </w:r>
      <w:r>
        <w:rPr>
          <w:rFonts w:hint="eastAsia" w:ascii="仿宋_GB2312" w:hAnsi="仿宋_GB2312" w:eastAsia="仿宋_GB2312" w:cs="仿宋_GB2312"/>
          <w:color w:val="auto"/>
          <w:kern w:val="2"/>
          <w:sz w:val="32"/>
          <w:szCs w:val="32"/>
          <w:highlight w:val="none"/>
          <w:lang w:val="en-US" w:eastAsia="zh-CN" w:bidi="ar"/>
        </w:rPr>
        <w:t>师生们的无私奉献多次受到</w:t>
      </w:r>
      <w:r>
        <w:rPr>
          <w:rFonts w:hint="default" w:ascii="仿宋_GB2312" w:hAnsi="仿宋_GB2312" w:eastAsia="仿宋_GB2312" w:cs="仿宋_GB2312"/>
          <w:color w:val="auto"/>
          <w:kern w:val="2"/>
          <w:sz w:val="32"/>
          <w:szCs w:val="32"/>
          <w:highlight w:val="none"/>
          <w:lang w:val="en-US" w:eastAsia="zh-CN" w:bidi="ar"/>
        </w:rPr>
        <w:t>赛事组织方</w:t>
      </w:r>
      <w:r>
        <w:rPr>
          <w:rFonts w:hint="eastAsia" w:ascii="仿宋_GB2312" w:hAnsi="仿宋_GB2312" w:eastAsia="仿宋_GB2312" w:cs="仿宋_GB2312"/>
          <w:color w:val="auto"/>
          <w:kern w:val="2"/>
          <w:sz w:val="32"/>
          <w:szCs w:val="32"/>
          <w:highlight w:val="none"/>
          <w:lang w:val="en-US" w:eastAsia="zh-CN" w:bidi="ar"/>
        </w:rPr>
        <w:t>、市体育局的肯定和表彰。</w:t>
      </w:r>
    </w:p>
    <w:p w14:paraId="6C15BD26">
      <w:pPr>
        <w:pStyle w:val="7"/>
        <w:keepNext w:val="0"/>
        <w:keepLines w:val="0"/>
        <w:pageBreakBefore w:val="0"/>
        <w:kinsoku/>
        <w:wordWrap/>
        <w:overflowPunct/>
        <w:topLinePunct w:val="0"/>
        <w:autoSpaceDE/>
        <w:autoSpaceDN/>
        <w:bidi w:val="0"/>
        <w:adjustRightInd/>
        <w:snapToGrid/>
        <w:spacing w:before="0" w:line="560" w:lineRule="exact"/>
        <w:ind w:left="0" w:firstLine="640" w:firstLineChars="200"/>
        <w:textAlignment w:val="auto"/>
        <w:rPr>
          <w:rFonts w:hint="default" w:ascii="仿宋_GB2312" w:hAnsi="仿宋_GB2312"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32"/>
          <w:szCs w:val="32"/>
          <w:highlight w:val="none"/>
          <w:lang w:val="en-US" w:eastAsia="zh-CN" w:bidi="ar"/>
        </w:rPr>
        <w:t>2023年，北京体育职业学院与麦可思数据（北京）有限公司签订委托代理协议，对2022-2023学年运动与健康专业群（包含运动训练专业、运动训练专业（儿童体智能）、体育运营与管理专业、体育保健与康复专业）全体在校生开展运动与健康专业群建设跟踪评价。对人才培养模式改革、课程资源建设、教材与教法改革、教师教学创新团队、实践教学基地、国际交流与合作、可持续发展保障机制等方面进行跟踪评价及满意度调查。学生对学校的总体满意度达94%以上。同时开展了2023年本专业群教师对学校各方面的满意度调查，满意度均在94%以上，其中对学校整体治理水平、教师培训、服务社会相关工作安排、教学评价工作、图书资源（含电子资源）方面的满意度均达到100.00%。</w:t>
      </w:r>
    </w:p>
    <w:p w14:paraId="2D648E0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楷体" w:eastAsia="仿宋_GB2312"/>
          <w:bCs/>
          <w:color w:val="auto"/>
          <w:kern w:val="0"/>
          <w:sz w:val="32"/>
          <w:szCs w:val="28"/>
          <w:highlight w:val="none"/>
          <w:lang w:val="en-US" w:eastAsia="zh-CN"/>
        </w:rPr>
      </w:pPr>
      <w:bookmarkStart w:id="78" w:name="_Toc19982"/>
      <w:bookmarkStart w:id="79" w:name="_Toc2952"/>
      <w:r>
        <w:rPr>
          <w:rFonts w:hint="eastAsia" w:ascii="仿宋_GB2312" w:hAnsi="楷体" w:eastAsia="仿宋_GB2312"/>
          <w:bCs/>
          <w:color w:val="auto"/>
          <w:kern w:val="0"/>
          <w:sz w:val="32"/>
          <w:szCs w:val="28"/>
          <w:highlight w:val="none"/>
          <w:lang w:val="en-US" w:eastAsia="zh-CN"/>
        </w:rPr>
        <w:t>该项目效益证明材料完善性有待提升，加强社会推广，进一步优化满意度调查表的内容设计和调查方式方法。</w:t>
      </w:r>
    </w:p>
    <w:p w14:paraId="3E8DB24E">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Fonts w:hint="eastAsia" w:ascii="黑体" w:hAnsi="黑体" w:eastAsia="黑体"/>
          <w:b/>
          <w:bCs w:val="0"/>
          <w:color w:val="auto"/>
          <w:kern w:val="0"/>
          <w:sz w:val="32"/>
          <w:szCs w:val="28"/>
          <w:highlight w:val="none"/>
        </w:rPr>
      </w:pPr>
      <w:r>
        <w:rPr>
          <w:rFonts w:hint="eastAsia" w:ascii="黑体" w:hAnsi="黑体" w:eastAsia="黑体"/>
          <w:b/>
          <w:bCs w:val="0"/>
          <w:color w:val="auto"/>
          <w:kern w:val="0"/>
          <w:sz w:val="32"/>
          <w:szCs w:val="28"/>
          <w:highlight w:val="none"/>
        </w:rPr>
        <w:t>五、存在的主要问题</w:t>
      </w:r>
      <w:bookmarkEnd w:id="78"/>
      <w:bookmarkEnd w:id="79"/>
    </w:p>
    <w:p w14:paraId="67E4C152">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b/>
          <w:bCs w:val="0"/>
          <w:color w:val="auto"/>
          <w:kern w:val="0"/>
          <w:sz w:val="32"/>
          <w:szCs w:val="28"/>
          <w:highlight w:val="none"/>
          <w:lang w:eastAsia="zh-CN"/>
        </w:rPr>
      </w:pPr>
      <w:bookmarkStart w:id="80" w:name="_Toc27504"/>
      <w:bookmarkStart w:id="81" w:name="_Toc31224"/>
      <w:r>
        <w:rPr>
          <w:rFonts w:hint="eastAsia" w:ascii="楷体" w:hAnsi="楷体" w:eastAsia="楷体"/>
          <w:b/>
          <w:bCs w:val="0"/>
          <w:color w:val="auto"/>
          <w:kern w:val="0"/>
          <w:sz w:val="32"/>
          <w:szCs w:val="28"/>
          <w:highlight w:val="none"/>
        </w:rPr>
        <w:t>（一）</w:t>
      </w:r>
      <w:r>
        <w:rPr>
          <w:rFonts w:hint="eastAsia" w:ascii="楷体" w:hAnsi="楷体" w:eastAsia="楷体"/>
          <w:b/>
          <w:bCs w:val="0"/>
          <w:color w:val="auto"/>
          <w:kern w:val="0"/>
          <w:sz w:val="32"/>
          <w:szCs w:val="28"/>
          <w:highlight w:val="none"/>
          <w:lang w:eastAsia="zh-CN"/>
        </w:rPr>
        <w:t>决策方面</w:t>
      </w:r>
      <w:bookmarkEnd w:id="80"/>
    </w:p>
    <w:p w14:paraId="2D6B5710">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outlineLvl w:val="9"/>
        <w:rPr>
          <w:rFonts w:hint="default" w:ascii="仿宋_GB2312" w:hAnsi="仿宋_GB2312" w:eastAsia="楷体" w:cs="仿宋_GB2312"/>
          <w:color w:val="auto"/>
          <w:sz w:val="32"/>
          <w:szCs w:val="32"/>
          <w:highlight w:val="none"/>
          <w:lang w:val="en-US" w:eastAsia="zh-CN"/>
        </w:rPr>
      </w:pPr>
      <w:bookmarkStart w:id="82" w:name="_Toc32022"/>
      <w:r>
        <w:rPr>
          <w:rFonts w:hint="eastAsia" w:ascii="仿宋_GB2312" w:hAnsi="仿宋_GB2312" w:eastAsia="仿宋_GB2312" w:cs="仿宋_GB2312"/>
          <w:color w:val="auto"/>
          <w:kern w:val="2"/>
          <w:sz w:val="32"/>
          <w:szCs w:val="24"/>
          <w:highlight w:val="none"/>
          <w:lang w:val="en-US" w:eastAsia="zh-CN" w:bidi="ar-SA"/>
        </w:rPr>
        <w:t>项目可行性研究和专家论证不够充分，未结合年度项目实施内容进行针对性研究，具体子项目前期需求调研不够充分，仅对智慧体能康复实训室建设工作进行了专家论证；绩效指标设置合理性、可衡量性有待提高，数量指标与质量指标缺乏对应性。</w:t>
      </w:r>
    </w:p>
    <w:p w14:paraId="3815CC73">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 w:hAnsi="楷体" w:eastAsia="楷体" w:cs="Times New Roman"/>
          <w:b/>
          <w:bCs w:val="0"/>
          <w:color w:val="auto"/>
          <w:kern w:val="0"/>
          <w:sz w:val="32"/>
          <w:szCs w:val="28"/>
          <w:highlight w:val="none"/>
          <w:lang w:val="en-US" w:eastAsia="zh-CN"/>
        </w:rPr>
      </w:pPr>
      <w:r>
        <w:rPr>
          <w:rFonts w:hint="eastAsia" w:ascii="楷体" w:hAnsi="楷体" w:eastAsia="楷体" w:cs="Times New Roman"/>
          <w:b/>
          <w:bCs w:val="0"/>
          <w:color w:val="auto"/>
          <w:kern w:val="0"/>
          <w:sz w:val="32"/>
          <w:szCs w:val="28"/>
          <w:highlight w:val="none"/>
          <w:lang w:val="en-US" w:eastAsia="zh-CN"/>
        </w:rPr>
        <w:t>（二）管理方面</w:t>
      </w:r>
      <w:bookmarkEnd w:id="82"/>
    </w:p>
    <w:p w14:paraId="3F9B22A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auto"/>
          <w:kern w:val="0"/>
          <w:sz w:val="32"/>
          <w:szCs w:val="28"/>
          <w:highlight w:val="none"/>
          <w:lang w:val="en-US" w:eastAsia="zh-CN"/>
        </w:rPr>
      </w:pPr>
      <w:bookmarkStart w:id="83" w:name="_Toc12339"/>
      <w:r>
        <w:rPr>
          <w:rFonts w:hint="eastAsia" w:ascii="仿宋_GB2312" w:hAnsi="仿宋_GB2312" w:eastAsia="仿宋_GB2312" w:cs="仿宋_GB2312"/>
          <w:bCs/>
          <w:color w:val="auto"/>
          <w:kern w:val="0"/>
          <w:sz w:val="32"/>
          <w:szCs w:val="28"/>
          <w:highlight w:val="none"/>
          <w:lang w:val="en-US" w:eastAsia="zh-CN"/>
        </w:rPr>
        <w:t>项目实施方案不够健全、可行性、指导性不足，未明确</w:t>
      </w:r>
      <w:r>
        <w:rPr>
          <w:rFonts w:hint="default" w:ascii="仿宋_GB2312" w:hAnsi="仿宋_GB2312" w:eastAsia="仿宋_GB2312" w:cs="仿宋_GB2312"/>
          <w:bCs/>
          <w:color w:val="auto"/>
          <w:kern w:val="0"/>
          <w:sz w:val="32"/>
          <w:szCs w:val="28"/>
          <w:highlight w:val="none"/>
          <w:lang w:val="en-US" w:eastAsia="zh-CN"/>
        </w:rPr>
        <w:t>第三方机构应具备的条件资质</w:t>
      </w:r>
      <w:r>
        <w:rPr>
          <w:rFonts w:hint="eastAsia" w:ascii="仿宋_GB2312" w:hAnsi="仿宋_GB2312" w:eastAsia="仿宋_GB2312" w:cs="仿宋_GB2312"/>
          <w:bCs/>
          <w:color w:val="auto"/>
          <w:kern w:val="0"/>
          <w:sz w:val="32"/>
          <w:szCs w:val="28"/>
          <w:highlight w:val="none"/>
          <w:lang w:val="en-US" w:eastAsia="zh-CN"/>
        </w:rPr>
        <w:t>、</w:t>
      </w:r>
      <w:r>
        <w:rPr>
          <w:rFonts w:hint="default" w:ascii="仿宋_GB2312" w:hAnsi="仿宋_GB2312" w:eastAsia="仿宋_GB2312" w:cs="仿宋_GB2312"/>
          <w:bCs/>
          <w:color w:val="auto"/>
          <w:kern w:val="0"/>
          <w:sz w:val="32"/>
          <w:szCs w:val="28"/>
          <w:highlight w:val="none"/>
          <w:lang w:val="en-US" w:eastAsia="zh-CN"/>
        </w:rPr>
        <w:t>考核验收的标准</w:t>
      </w:r>
      <w:r>
        <w:rPr>
          <w:rFonts w:hint="eastAsia" w:ascii="仿宋_GB2312" w:hAnsi="仿宋_GB2312" w:eastAsia="仿宋_GB2312" w:cs="仿宋_GB2312"/>
          <w:bCs/>
          <w:color w:val="auto"/>
          <w:kern w:val="0"/>
          <w:sz w:val="32"/>
          <w:szCs w:val="28"/>
          <w:highlight w:val="none"/>
          <w:lang w:val="en-US" w:eastAsia="zh-CN"/>
        </w:rPr>
        <w:t>等内容。</w:t>
      </w:r>
    </w:p>
    <w:p w14:paraId="4FFF237E">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outlineLvl w:val="1"/>
        <w:rPr>
          <w:rFonts w:hint="default" w:ascii="楷体" w:hAnsi="楷体" w:eastAsia="楷体" w:cs="Times New Roman"/>
          <w:b/>
          <w:bCs w:val="0"/>
          <w:color w:val="auto"/>
          <w:kern w:val="0"/>
          <w:sz w:val="32"/>
          <w:szCs w:val="28"/>
          <w:highlight w:val="none"/>
          <w:lang w:val="en-US" w:eastAsia="zh-CN"/>
        </w:rPr>
      </w:pPr>
      <w:r>
        <w:rPr>
          <w:rFonts w:hint="eastAsia" w:ascii="楷体" w:hAnsi="楷体" w:eastAsia="楷体" w:cs="Times New Roman"/>
          <w:b/>
          <w:bCs w:val="0"/>
          <w:color w:val="auto"/>
          <w:kern w:val="0"/>
          <w:sz w:val="32"/>
          <w:szCs w:val="28"/>
          <w:highlight w:val="none"/>
          <w:lang w:val="en-US" w:eastAsia="zh-CN"/>
        </w:rPr>
        <w:t>（三）产出效益方面</w:t>
      </w:r>
      <w:bookmarkEnd w:id="83"/>
    </w:p>
    <w:p w14:paraId="52C4634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auto"/>
          <w:kern w:val="0"/>
          <w:sz w:val="32"/>
          <w:szCs w:val="28"/>
          <w:highlight w:val="none"/>
          <w:lang w:val="en-US" w:eastAsia="zh-CN"/>
        </w:rPr>
      </w:pPr>
      <w:bookmarkStart w:id="84" w:name="_Toc11869"/>
      <w:r>
        <w:rPr>
          <w:rFonts w:hint="eastAsia" w:ascii="仿宋_GB2312" w:hAnsi="仿宋_GB2312" w:eastAsia="仿宋_GB2312" w:cs="仿宋_GB2312"/>
          <w:b w:val="0"/>
          <w:bCs/>
          <w:color w:val="auto"/>
          <w:kern w:val="0"/>
          <w:sz w:val="32"/>
          <w:szCs w:val="28"/>
          <w:highlight w:val="none"/>
          <w:lang w:val="en-US" w:eastAsia="zh-CN" w:bidi="ar-SA"/>
        </w:rPr>
        <w:t>项目</w:t>
      </w:r>
      <w:r>
        <w:rPr>
          <w:rFonts w:hint="default" w:ascii="仿宋_GB2312" w:hAnsi="仿宋_GB2312" w:eastAsia="仿宋_GB2312" w:cs="仿宋_GB2312"/>
          <w:b w:val="0"/>
          <w:bCs/>
          <w:color w:val="auto"/>
          <w:kern w:val="0"/>
          <w:sz w:val="32"/>
          <w:szCs w:val="28"/>
          <w:highlight w:val="none"/>
          <w:lang w:val="en-US" w:eastAsia="zh-CN" w:bidi="ar-SA"/>
        </w:rPr>
        <w:t>绩效资料汇总、归纳分析不足，</w:t>
      </w:r>
      <w:r>
        <w:rPr>
          <w:rFonts w:hint="eastAsia" w:ascii="仿宋_GB2312" w:hAnsi="仿宋_GB2312" w:eastAsia="仿宋_GB2312" w:cs="仿宋_GB2312"/>
          <w:b w:val="0"/>
          <w:bCs/>
          <w:color w:val="auto"/>
          <w:kern w:val="0"/>
          <w:sz w:val="32"/>
          <w:szCs w:val="28"/>
          <w:highlight w:val="none"/>
          <w:lang w:val="en-US" w:eastAsia="zh-CN" w:bidi="ar-SA"/>
        </w:rPr>
        <w:t>无法</w:t>
      </w:r>
      <w:r>
        <w:rPr>
          <w:rFonts w:hint="default" w:ascii="仿宋_GB2312" w:hAnsi="仿宋_GB2312" w:eastAsia="仿宋_GB2312" w:cs="仿宋_GB2312"/>
          <w:b w:val="0"/>
          <w:bCs/>
          <w:color w:val="auto"/>
          <w:kern w:val="0"/>
          <w:sz w:val="32"/>
          <w:szCs w:val="28"/>
          <w:highlight w:val="none"/>
          <w:lang w:val="en-US" w:eastAsia="zh-CN" w:bidi="ar-SA"/>
        </w:rPr>
        <w:t>全面支撑全部绩效目标的完成情况以及实施效果</w:t>
      </w:r>
      <w:r>
        <w:rPr>
          <w:rFonts w:hint="eastAsia" w:ascii="仿宋_GB2312" w:hAnsi="仿宋_GB2312" w:eastAsia="仿宋_GB2312" w:cs="仿宋_GB2312"/>
          <w:b w:val="0"/>
          <w:bCs/>
          <w:color w:val="auto"/>
          <w:kern w:val="0"/>
          <w:sz w:val="32"/>
          <w:szCs w:val="28"/>
          <w:highlight w:val="none"/>
          <w:lang w:val="en-US" w:eastAsia="zh-CN" w:bidi="ar-SA"/>
        </w:rPr>
        <w:t>，项目效益资料</w:t>
      </w:r>
      <w:r>
        <w:rPr>
          <w:rFonts w:hint="eastAsia" w:ascii="仿宋_GB2312" w:hAnsi="仿宋_GB2312" w:eastAsia="仿宋_GB2312" w:cs="仿宋_GB2312"/>
          <w:b w:val="0"/>
          <w:bCs/>
          <w:color w:val="auto"/>
          <w:kern w:val="0"/>
          <w:sz w:val="32"/>
          <w:szCs w:val="28"/>
          <w:highlight w:val="none"/>
          <w:lang w:val="en-US" w:eastAsia="zh-CN"/>
        </w:rPr>
        <w:t>证明力有待提升。</w:t>
      </w:r>
    </w:p>
    <w:p w14:paraId="31176F7E">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Fonts w:hint="eastAsia" w:ascii="黑体" w:hAnsi="黑体" w:eastAsia="黑体"/>
          <w:b/>
          <w:bCs w:val="0"/>
          <w:color w:val="auto"/>
          <w:kern w:val="0"/>
          <w:sz w:val="32"/>
          <w:szCs w:val="28"/>
          <w:highlight w:val="none"/>
        </w:rPr>
      </w:pPr>
      <w:r>
        <w:rPr>
          <w:rFonts w:hint="eastAsia" w:ascii="黑体" w:hAnsi="黑体" w:eastAsia="黑体"/>
          <w:b/>
          <w:bCs w:val="0"/>
          <w:color w:val="auto"/>
          <w:kern w:val="0"/>
          <w:sz w:val="32"/>
          <w:szCs w:val="28"/>
          <w:highlight w:val="none"/>
        </w:rPr>
        <w:t>六、有关建议</w:t>
      </w:r>
      <w:bookmarkEnd w:id="81"/>
      <w:bookmarkEnd w:id="84"/>
    </w:p>
    <w:p w14:paraId="0E3C651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kern w:val="0"/>
          <w:sz w:val="32"/>
          <w:szCs w:val="28"/>
          <w:highlight w:val="none"/>
          <w:lang w:val="en-US" w:eastAsia="zh-CN" w:bidi="ar-SA"/>
        </w:rPr>
      </w:pPr>
      <w:bookmarkStart w:id="85" w:name="_Toc21065"/>
      <w:r>
        <w:rPr>
          <w:rFonts w:hint="eastAsia" w:ascii="仿宋_GB2312" w:hAnsi="仿宋_GB2312" w:eastAsia="仿宋_GB2312" w:cs="仿宋_GB2312"/>
          <w:b w:val="0"/>
          <w:bCs/>
          <w:color w:val="auto"/>
          <w:kern w:val="0"/>
          <w:sz w:val="32"/>
          <w:szCs w:val="28"/>
          <w:highlight w:val="none"/>
          <w:lang w:val="en-US" w:eastAsia="zh-CN" w:bidi="ar-SA"/>
        </w:rPr>
        <w:t>（一）深入开展可行性研究和需求调研，组织专家开展全面论证；合理设置年度项目绩效目标，增强数量指标和质量指标的对应性，细化时效指标、量化效益指标。</w:t>
      </w:r>
    </w:p>
    <w:p w14:paraId="1C691AD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color w:val="FF0000"/>
          <w:kern w:val="0"/>
          <w:sz w:val="32"/>
          <w:szCs w:val="28"/>
          <w:highlight w:val="none"/>
          <w:lang w:val="en-US" w:eastAsia="zh-CN" w:bidi="ar-SA"/>
        </w:rPr>
      </w:pPr>
      <w:bookmarkStart w:id="86" w:name="_Toc15952"/>
      <w:r>
        <w:rPr>
          <w:rFonts w:hint="eastAsia" w:ascii="仿宋_GB2312" w:hAnsi="仿宋_GB2312" w:eastAsia="仿宋_GB2312" w:cs="仿宋_GB2312"/>
          <w:b w:val="0"/>
          <w:bCs/>
          <w:color w:val="auto"/>
          <w:kern w:val="0"/>
          <w:sz w:val="32"/>
          <w:szCs w:val="28"/>
          <w:highlight w:val="none"/>
          <w:lang w:val="en-US" w:eastAsia="zh-CN" w:bidi="ar-SA"/>
        </w:rPr>
        <w:t>（二）</w:t>
      </w:r>
      <w:r>
        <w:rPr>
          <w:rFonts w:hint="eastAsia" w:ascii="仿宋_GB2312" w:hAnsi="仿宋_GB2312" w:eastAsia="仿宋_GB2312" w:cs="仿宋_GB2312"/>
          <w:color w:val="auto"/>
          <w:sz w:val="32"/>
          <w:szCs w:val="32"/>
          <w:lang w:val="en-US" w:eastAsia="zh-CN"/>
        </w:rPr>
        <w:t>加强项目绩效管理意识，</w:t>
      </w:r>
      <w:r>
        <w:rPr>
          <w:rFonts w:hint="eastAsia" w:ascii="仿宋_GB2312" w:hAnsi="仿宋_GB2312" w:eastAsia="仿宋_GB2312" w:cs="仿宋_GB2312"/>
          <w:b w:val="0"/>
          <w:bCs/>
          <w:color w:val="auto"/>
          <w:kern w:val="0"/>
          <w:sz w:val="32"/>
          <w:szCs w:val="28"/>
          <w:highlight w:val="none"/>
          <w:lang w:val="en-US" w:eastAsia="zh-CN" w:bidi="ar-SA"/>
        </w:rPr>
        <w:t>完善项目实施方案，提高项目实施方案的可行性和指导性，</w:t>
      </w:r>
      <w:r>
        <w:rPr>
          <w:rFonts w:hint="eastAsia" w:ascii="仿宋_GB2312" w:hAnsi="仿宋_GB2312" w:eastAsia="仿宋_GB2312" w:cs="仿宋_GB2312"/>
          <w:bCs/>
          <w:color w:val="auto"/>
          <w:kern w:val="0"/>
          <w:sz w:val="32"/>
          <w:szCs w:val="28"/>
          <w:highlight w:val="none"/>
          <w:lang w:val="en-US" w:eastAsia="zh-CN"/>
        </w:rPr>
        <w:t>明确</w:t>
      </w:r>
      <w:r>
        <w:rPr>
          <w:rFonts w:hint="default" w:ascii="仿宋_GB2312" w:hAnsi="仿宋_GB2312" w:eastAsia="仿宋_GB2312" w:cs="仿宋_GB2312"/>
          <w:bCs/>
          <w:color w:val="auto"/>
          <w:kern w:val="0"/>
          <w:sz w:val="32"/>
          <w:szCs w:val="28"/>
          <w:highlight w:val="none"/>
          <w:lang w:val="en-US" w:eastAsia="zh-CN"/>
        </w:rPr>
        <w:t>第三方机构应具备的条件资质</w:t>
      </w:r>
      <w:r>
        <w:rPr>
          <w:rFonts w:hint="eastAsia" w:ascii="仿宋_GB2312" w:hAnsi="仿宋_GB2312" w:eastAsia="仿宋_GB2312" w:cs="仿宋_GB2312"/>
          <w:bCs/>
          <w:color w:val="auto"/>
          <w:kern w:val="0"/>
          <w:sz w:val="32"/>
          <w:szCs w:val="28"/>
          <w:highlight w:val="none"/>
          <w:lang w:val="en-US" w:eastAsia="zh-CN"/>
        </w:rPr>
        <w:t>、</w:t>
      </w:r>
      <w:r>
        <w:rPr>
          <w:rFonts w:hint="default" w:ascii="仿宋_GB2312" w:hAnsi="仿宋_GB2312" w:eastAsia="仿宋_GB2312" w:cs="仿宋_GB2312"/>
          <w:bCs/>
          <w:color w:val="auto"/>
          <w:kern w:val="0"/>
          <w:sz w:val="32"/>
          <w:szCs w:val="28"/>
          <w:highlight w:val="none"/>
          <w:lang w:val="en-US" w:eastAsia="zh-CN"/>
        </w:rPr>
        <w:t>考核验收的标准</w:t>
      </w:r>
      <w:r>
        <w:rPr>
          <w:rFonts w:hint="eastAsia" w:ascii="仿宋_GB2312" w:hAnsi="仿宋_GB2312" w:eastAsia="仿宋_GB2312" w:cs="仿宋_GB2312"/>
          <w:bCs/>
          <w:color w:val="auto"/>
          <w:kern w:val="0"/>
          <w:sz w:val="32"/>
          <w:szCs w:val="28"/>
          <w:highlight w:val="none"/>
          <w:lang w:val="en-US" w:eastAsia="zh-CN"/>
        </w:rPr>
        <w:t>等内容，</w:t>
      </w:r>
      <w:r>
        <w:rPr>
          <w:rFonts w:hint="eastAsia" w:ascii="仿宋_GB2312" w:hAnsi="仿宋_GB2312" w:eastAsia="仿宋_GB2312" w:cs="仿宋_GB2312"/>
          <w:b w:val="0"/>
          <w:bCs/>
          <w:color w:val="auto"/>
          <w:kern w:val="0"/>
          <w:sz w:val="32"/>
          <w:szCs w:val="28"/>
          <w:highlight w:val="none"/>
          <w:lang w:val="en-US" w:eastAsia="zh-CN" w:bidi="ar-SA"/>
        </w:rPr>
        <w:t>便于项目具体执行。</w:t>
      </w:r>
    </w:p>
    <w:p w14:paraId="4513B88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color w:val="auto"/>
          <w:kern w:val="0"/>
          <w:sz w:val="32"/>
          <w:szCs w:val="28"/>
          <w:highlight w:val="none"/>
          <w:lang w:val="en-US" w:eastAsia="zh-CN" w:bidi="ar-SA"/>
        </w:rPr>
      </w:pPr>
      <w:r>
        <w:rPr>
          <w:rFonts w:hint="eastAsia" w:ascii="仿宋_GB2312" w:hAnsi="仿宋_GB2312" w:eastAsia="仿宋_GB2312" w:cs="仿宋_GB2312"/>
          <w:b w:val="0"/>
          <w:bCs/>
          <w:color w:val="auto"/>
          <w:kern w:val="0"/>
          <w:sz w:val="32"/>
          <w:szCs w:val="28"/>
          <w:highlight w:val="none"/>
          <w:lang w:val="en-US" w:eastAsia="zh-CN" w:bidi="ar-SA"/>
        </w:rPr>
        <w:t>（三）</w:t>
      </w:r>
      <w:r>
        <w:rPr>
          <w:rFonts w:hint="eastAsia" w:ascii="仿宋_GB2312" w:hAnsi="仿宋_GB2312" w:eastAsia="仿宋_GB2312" w:cs="仿宋_GB2312"/>
          <w:color w:val="auto"/>
          <w:sz w:val="32"/>
          <w:szCs w:val="32"/>
        </w:rPr>
        <w:t>注重项目</w:t>
      </w:r>
      <w:r>
        <w:rPr>
          <w:rFonts w:hint="eastAsia" w:ascii="仿宋_GB2312" w:hAnsi="仿宋_GB2312" w:eastAsia="仿宋_GB2312" w:cs="仿宋_GB2312"/>
          <w:color w:val="auto"/>
          <w:sz w:val="32"/>
          <w:szCs w:val="32"/>
          <w:lang w:val="en-US" w:eastAsia="zh-CN"/>
        </w:rPr>
        <w:t>产出和</w:t>
      </w:r>
      <w:r>
        <w:rPr>
          <w:rFonts w:hint="eastAsia" w:ascii="仿宋_GB2312" w:eastAsia="仿宋_GB2312" w:cs="宋体"/>
          <w:color w:val="auto"/>
          <w:kern w:val="0"/>
          <w:sz w:val="32"/>
          <w:szCs w:val="32"/>
        </w:rPr>
        <w:t>效益资料</w:t>
      </w:r>
      <w:r>
        <w:rPr>
          <w:rFonts w:hint="eastAsia" w:ascii="仿宋_GB2312" w:hAnsi="仿宋_GB2312" w:eastAsia="仿宋_GB2312" w:cs="仿宋_GB2312"/>
          <w:color w:val="auto"/>
          <w:sz w:val="32"/>
          <w:szCs w:val="32"/>
        </w:rPr>
        <w:t>的归集</w:t>
      </w:r>
      <w:r>
        <w:rPr>
          <w:rFonts w:hint="eastAsia" w:ascii="仿宋_GB2312" w:hAnsi="仿宋_GB2312" w:eastAsia="仿宋_GB2312" w:cs="仿宋_GB2312"/>
          <w:color w:val="auto"/>
          <w:sz w:val="32"/>
          <w:szCs w:val="32"/>
          <w:lang w:val="en-US" w:eastAsia="zh-CN"/>
        </w:rPr>
        <w:t>分析</w:t>
      </w:r>
      <w:r>
        <w:rPr>
          <w:rFonts w:hint="eastAsia" w:ascii="仿宋_GB2312" w:hAnsi="仿宋_GB2312" w:eastAsia="仿宋_GB2312" w:cs="仿宋_GB2312"/>
          <w:b w:val="0"/>
          <w:bCs/>
          <w:color w:val="auto"/>
          <w:kern w:val="0"/>
          <w:sz w:val="32"/>
          <w:szCs w:val="28"/>
          <w:highlight w:val="none"/>
          <w:lang w:val="en-US" w:eastAsia="zh-CN" w:bidi="ar-SA"/>
        </w:rPr>
        <w:t>，加强项目产出和绩效资料的统筹管理，从项目各环节收集体现项目整体效益的完整资料，项目实施效果资料紧扣项目实施内容，加强项目实施情况和效果对比分析，充分反映实施效果。</w:t>
      </w:r>
    </w:p>
    <w:p w14:paraId="09D1C9B0">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Fonts w:hint="eastAsia" w:ascii="黑体" w:hAnsi="黑体" w:eastAsia="黑体"/>
          <w:b/>
          <w:bCs w:val="0"/>
          <w:color w:val="auto"/>
          <w:kern w:val="0"/>
          <w:sz w:val="32"/>
          <w:szCs w:val="28"/>
        </w:rPr>
      </w:pPr>
      <w:r>
        <w:rPr>
          <w:rFonts w:hint="eastAsia" w:ascii="黑体" w:hAnsi="黑体" w:eastAsia="黑体"/>
          <w:b/>
          <w:bCs w:val="0"/>
          <w:color w:val="auto"/>
          <w:kern w:val="0"/>
          <w:sz w:val="32"/>
          <w:szCs w:val="28"/>
        </w:rPr>
        <w:t>七、其他说明事项</w:t>
      </w:r>
      <w:bookmarkEnd w:id="85"/>
      <w:bookmarkEnd w:id="86"/>
    </w:p>
    <w:p w14:paraId="144904F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bCs/>
          <w:color w:val="auto"/>
          <w:sz w:val="32"/>
          <w:szCs w:val="32"/>
        </w:rPr>
      </w:pPr>
      <w:bookmarkStart w:id="87" w:name="_Toc103573668"/>
      <w:r>
        <w:rPr>
          <w:rFonts w:hint="eastAsia" w:ascii="仿宋_GB2312" w:hAnsi="宋体" w:eastAsia="仿宋_GB2312"/>
          <w:bCs/>
          <w:color w:val="auto"/>
          <w:sz w:val="32"/>
          <w:szCs w:val="32"/>
        </w:rPr>
        <w:t>本报告主要是基于</w:t>
      </w:r>
      <w:r>
        <w:rPr>
          <w:rFonts w:hint="eastAsia" w:ascii="仿宋_GB2312" w:hAnsi="宋体" w:eastAsia="仿宋_GB2312"/>
          <w:bCs/>
          <w:color w:val="auto"/>
          <w:sz w:val="32"/>
          <w:szCs w:val="32"/>
          <w:lang w:eastAsia="zh-CN"/>
        </w:rPr>
        <w:t>北京市体育局</w:t>
      </w:r>
      <w:r>
        <w:rPr>
          <w:rFonts w:hint="eastAsia" w:ascii="仿宋_GB2312" w:hAnsi="宋体" w:eastAsia="仿宋_GB2312"/>
          <w:bCs/>
          <w:color w:val="auto"/>
          <w:sz w:val="32"/>
          <w:szCs w:val="32"/>
        </w:rPr>
        <w:t>收集的决策、过程、产出、效益方面的资料做出的评价，评价工作组对资料的真实性进行了适当的</w:t>
      </w:r>
      <w:r>
        <w:rPr>
          <w:rFonts w:hint="eastAsia" w:ascii="仿宋_GB2312" w:hAnsi="宋体" w:eastAsia="仿宋_GB2312"/>
          <w:bCs/>
          <w:color w:val="auto"/>
          <w:sz w:val="32"/>
          <w:szCs w:val="32"/>
          <w:lang w:val="en-US" w:eastAsia="zh-CN"/>
        </w:rPr>
        <w:t>审</w:t>
      </w:r>
      <w:r>
        <w:rPr>
          <w:rFonts w:hint="eastAsia" w:ascii="仿宋_GB2312" w:hAnsi="宋体" w:eastAsia="仿宋_GB2312"/>
          <w:bCs/>
          <w:color w:val="auto"/>
          <w:sz w:val="32"/>
          <w:szCs w:val="32"/>
        </w:rPr>
        <w:t>查与</w:t>
      </w:r>
      <w:r>
        <w:rPr>
          <w:rFonts w:hint="eastAsia" w:ascii="仿宋_GB2312" w:hAnsi="宋体" w:eastAsia="仿宋_GB2312"/>
          <w:bCs/>
          <w:color w:val="auto"/>
          <w:sz w:val="32"/>
          <w:szCs w:val="32"/>
          <w:lang w:val="en-US" w:eastAsia="zh-CN"/>
        </w:rPr>
        <w:t>线下</w:t>
      </w:r>
      <w:r>
        <w:rPr>
          <w:rFonts w:hint="eastAsia" w:ascii="仿宋_GB2312" w:hAnsi="宋体" w:eastAsia="仿宋_GB2312"/>
          <w:bCs/>
          <w:color w:val="auto"/>
          <w:sz w:val="32"/>
          <w:szCs w:val="32"/>
        </w:rPr>
        <w:t>沟通，但受资料完整性及</w:t>
      </w:r>
      <w:r>
        <w:rPr>
          <w:rFonts w:hint="eastAsia" w:ascii="仿宋_GB2312" w:hAnsi="宋体" w:eastAsia="仿宋_GB2312"/>
          <w:bCs/>
          <w:color w:val="auto"/>
          <w:sz w:val="32"/>
          <w:szCs w:val="32"/>
          <w:lang w:val="en-US" w:eastAsia="zh-CN"/>
        </w:rPr>
        <w:t>线下</w:t>
      </w:r>
      <w:r>
        <w:rPr>
          <w:rFonts w:hint="eastAsia" w:ascii="仿宋_GB2312" w:hAnsi="宋体" w:eastAsia="仿宋_GB2312"/>
          <w:bCs/>
          <w:color w:val="auto"/>
          <w:sz w:val="32"/>
          <w:szCs w:val="32"/>
        </w:rPr>
        <w:t>沟通范围所限，并非每项指标的打分都有充分的资料支撑，个别指标主要是依据项目单位沟通结果及绩效评价专家的专业性判断。</w:t>
      </w:r>
    </w:p>
    <w:p w14:paraId="0EFBDC0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bCs/>
          <w:color w:val="auto"/>
          <w:sz w:val="32"/>
          <w:szCs w:val="32"/>
        </w:rPr>
      </w:pPr>
      <w:r>
        <w:rPr>
          <w:rFonts w:hint="eastAsia" w:ascii="仿宋_GB2312" w:hAnsi="宋体" w:eastAsia="仿宋_GB2312"/>
          <w:bCs/>
          <w:color w:val="auto"/>
          <w:sz w:val="32"/>
          <w:szCs w:val="32"/>
        </w:rPr>
        <w:t>本次评价采取的是以项目单位为主、第三方机构协助、专家评价为辅的方式，本报告评价结论是借助管理、财务、业务专家的力量，在专家组评审意见基础上对项目做出的专业性的评价。</w:t>
      </w:r>
    </w:p>
    <w:p w14:paraId="7507E2A0">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Fonts w:hint="eastAsia" w:ascii="黑体" w:hAnsi="黑体" w:eastAsia="黑体"/>
          <w:b/>
          <w:bCs w:val="0"/>
          <w:color w:val="auto"/>
          <w:kern w:val="0"/>
          <w:sz w:val="32"/>
          <w:szCs w:val="28"/>
        </w:rPr>
      </w:pPr>
      <w:bookmarkStart w:id="88" w:name="_Toc15441"/>
      <w:r>
        <w:rPr>
          <w:rFonts w:hint="eastAsia" w:ascii="黑体" w:hAnsi="黑体" w:eastAsia="黑体"/>
          <w:b/>
          <w:bCs w:val="0"/>
          <w:color w:val="auto"/>
          <w:kern w:val="0"/>
          <w:sz w:val="32"/>
          <w:szCs w:val="28"/>
        </w:rPr>
        <w:t>八、附件</w:t>
      </w:r>
      <w:bookmarkEnd w:id="87"/>
      <w:bookmarkEnd w:id="88"/>
    </w:p>
    <w:p w14:paraId="41EF1A9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bCs/>
          <w:color w:val="auto"/>
          <w:kern w:val="0"/>
          <w:sz w:val="32"/>
          <w:szCs w:val="28"/>
        </w:rPr>
      </w:pPr>
      <w:r>
        <w:rPr>
          <w:rFonts w:hint="eastAsia" w:ascii="仿宋_GB2312" w:hAnsi="宋体" w:eastAsia="仿宋_GB2312"/>
          <w:bCs/>
          <w:color w:val="auto"/>
          <w:kern w:val="0"/>
          <w:sz w:val="32"/>
          <w:szCs w:val="28"/>
        </w:rPr>
        <w:t>1.项目预算执行情况表</w:t>
      </w:r>
    </w:p>
    <w:p w14:paraId="50321B4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bCs/>
          <w:color w:val="auto"/>
          <w:kern w:val="0"/>
          <w:sz w:val="32"/>
          <w:szCs w:val="28"/>
        </w:rPr>
      </w:pPr>
      <w:r>
        <w:rPr>
          <w:rFonts w:hint="eastAsia" w:ascii="仿宋_GB2312" w:hAnsi="宋体" w:eastAsia="仿宋_GB2312"/>
          <w:bCs/>
          <w:color w:val="auto"/>
          <w:kern w:val="0"/>
          <w:sz w:val="32"/>
          <w:szCs w:val="28"/>
        </w:rPr>
        <w:t>2.项目绩效目标完成情况及收支明细表</w:t>
      </w:r>
    </w:p>
    <w:p w14:paraId="3A7777F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bCs/>
          <w:color w:val="auto"/>
          <w:kern w:val="0"/>
          <w:sz w:val="32"/>
          <w:szCs w:val="28"/>
        </w:rPr>
      </w:pPr>
      <w:r>
        <w:rPr>
          <w:rFonts w:hint="eastAsia" w:ascii="仿宋_GB2312" w:hAnsi="宋体" w:eastAsia="仿宋_GB2312"/>
          <w:bCs/>
          <w:color w:val="auto"/>
          <w:kern w:val="0"/>
          <w:sz w:val="32"/>
          <w:szCs w:val="28"/>
        </w:rPr>
        <w:t>3.专家意见汇总书</w:t>
      </w:r>
    </w:p>
    <w:p w14:paraId="07ED934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bCs/>
          <w:color w:val="auto"/>
          <w:kern w:val="0"/>
          <w:sz w:val="32"/>
          <w:szCs w:val="28"/>
        </w:rPr>
      </w:pPr>
      <w:r>
        <w:rPr>
          <w:rFonts w:hint="eastAsia" w:ascii="仿宋_GB2312" w:hAnsi="宋体" w:eastAsia="仿宋_GB2312"/>
          <w:bCs/>
          <w:color w:val="auto"/>
          <w:kern w:val="0"/>
          <w:sz w:val="32"/>
          <w:szCs w:val="28"/>
        </w:rPr>
        <w:t>4.项目支出指标体系及评分情况表</w:t>
      </w:r>
    </w:p>
    <w:p w14:paraId="0D028B9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bCs/>
          <w:color w:val="auto"/>
          <w:kern w:val="0"/>
          <w:sz w:val="32"/>
          <w:szCs w:val="28"/>
          <w:lang w:eastAsia="zh-CN"/>
        </w:rPr>
      </w:pPr>
      <w:r>
        <w:rPr>
          <w:rFonts w:hint="eastAsia" w:ascii="仿宋_GB2312" w:hAnsi="宋体" w:eastAsia="仿宋_GB2312"/>
          <w:bCs/>
          <w:color w:val="auto"/>
          <w:kern w:val="0"/>
          <w:sz w:val="32"/>
          <w:szCs w:val="28"/>
          <w:lang w:val="en-US" w:eastAsia="zh-CN"/>
        </w:rPr>
        <w:t>5</w:t>
      </w:r>
      <w:r>
        <w:rPr>
          <w:rFonts w:hint="eastAsia" w:ascii="仿宋_GB2312" w:hAnsi="宋体" w:eastAsia="仿宋_GB2312"/>
          <w:bCs/>
          <w:color w:val="auto"/>
          <w:kern w:val="0"/>
          <w:sz w:val="32"/>
          <w:szCs w:val="28"/>
        </w:rPr>
        <w:t>.反映绩效的相关图片</w:t>
      </w:r>
      <w:r>
        <w:rPr>
          <w:rFonts w:hint="eastAsia" w:ascii="仿宋_GB2312" w:hAnsi="宋体" w:eastAsia="仿宋_GB2312"/>
          <w:bCs/>
          <w:color w:val="auto"/>
          <w:kern w:val="0"/>
          <w:sz w:val="32"/>
          <w:szCs w:val="28"/>
          <w:lang w:eastAsia="zh-CN"/>
        </w:rPr>
        <w:t>（</w:t>
      </w:r>
      <w:r>
        <w:rPr>
          <w:rFonts w:hint="eastAsia" w:ascii="仿宋_GB2312" w:hAnsi="宋体" w:eastAsia="仿宋_GB2312"/>
          <w:bCs/>
          <w:color w:val="auto"/>
          <w:kern w:val="0"/>
          <w:sz w:val="32"/>
          <w:szCs w:val="28"/>
          <w:lang w:val="en-US" w:eastAsia="zh-CN"/>
        </w:rPr>
        <w:t>见扉页</w:t>
      </w:r>
      <w:r>
        <w:rPr>
          <w:rFonts w:hint="eastAsia" w:ascii="仿宋_GB2312" w:hAnsi="宋体" w:eastAsia="仿宋_GB2312"/>
          <w:bCs/>
          <w:color w:val="auto"/>
          <w:kern w:val="0"/>
          <w:sz w:val="32"/>
          <w:szCs w:val="28"/>
          <w:lang w:eastAsia="zh-CN"/>
        </w:rPr>
        <w:t>）</w:t>
      </w:r>
    </w:p>
    <w:p w14:paraId="635D63AA"/>
    <w:p w14:paraId="7E7470BC">
      <w:pPr>
        <w:pStyle w:val="4"/>
        <w:rPr>
          <w:rFonts w:hint="eastAsia"/>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19D8F916">
      <w:pPr>
        <w:pStyle w:val="4"/>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eastAsia" w:ascii="黑体" w:hAnsi="黑体" w:eastAsia="黑体" w:cs="黑体"/>
          <w:color w:val="auto"/>
          <w:sz w:val="32"/>
          <w:szCs w:val="32"/>
          <w:lang w:val="en-US" w:eastAsia="zh-CN"/>
        </w:rPr>
      </w:pPr>
      <w:bookmarkStart w:id="89" w:name="_Toc4398"/>
      <w:bookmarkStart w:id="90" w:name="_Toc32668"/>
      <w:r>
        <w:rPr>
          <w:rFonts w:hint="eastAsia" w:ascii="黑体" w:hAnsi="黑体" w:eastAsia="黑体" w:cs="黑体"/>
          <w:color w:val="auto"/>
          <w:sz w:val="32"/>
          <w:szCs w:val="32"/>
          <w:lang w:val="en-US" w:eastAsia="zh-CN"/>
        </w:rPr>
        <w:t>附件1</w:t>
      </w:r>
      <w:bookmarkEnd w:id="89"/>
      <w:bookmarkEnd w:id="90"/>
    </w:p>
    <w:p w14:paraId="79F2D500">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drawing>
          <wp:anchor distT="0" distB="0" distL="114300" distR="114300" simplePos="0" relativeHeight="251662336" behindDoc="1" locked="0" layoutInCell="1" allowOverlap="1">
            <wp:simplePos x="0" y="0"/>
            <wp:positionH relativeFrom="column">
              <wp:posOffset>-68580</wp:posOffset>
            </wp:positionH>
            <wp:positionV relativeFrom="paragraph">
              <wp:posOffset>69215</wp:posOffset>
            </wp:positionV>
            <wp:extent cx="8849360" cy="3679190"/>
            <wp:effectExtent l="0" t="0" r="8890" b="6985"/>
            <wp:wrapNone/>
            <wp:docPr id="3" name="图片 3" descr="5abeec8bb1af3d5a841a9dc15962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abeec8bb1af3d5a841a9dc15962b31"/>
                    <pic:cNvPicPr>
                      <a:picLocks noChangeAspect="1"/>
                    </pic:cNvPicPr>
                  </pic:nvPicPr>
                  <pic:blipFill>
                    <a:blip r:embed="rId8"/>
                    <a:stretch>
                      <a:fillRect/>
                    </a:stretch>
                  </pic:blipFill>
                  <pic:spPr>
                    <a:xfrm>
                      <a:off x="0" y="0"/>
                      <a:ext cx="8849360" cy="3679190"/>
                    </a:xfrm>
                    <a:prstGeom prst="rect">
                      <a:avLst/>
                    </a:prstGeom>
                  </pic:spPr>
                </pic:pic>
              </a:graphicData>
            </a:graphic>
          </wp:anchor>
        </w:drawing>
      </w:r>
    </w:p>
    <w:p w14:paraId="0D09FAD4">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lang w:val="en-US" w:eastAsia="zh-CN"/>
        </w:rPr>
      </w:pPr>
    </w:p>
    <w:p w14:paraId="69748C17">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lang w:val="en-US" w:eastAsia="zh-CN"/>
        </w:rPr>
      </w:pPr>
    </w:p>
    <w:p w14:paraId="031D8381">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lang w:val="en-US" w:eastAsia="zh-CN"/>
        </w:rPr>
      </w:pPr>
    </w:p>
    <w:p w14:paraId="061FBF1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lang w:val="en-US" w:eastAsia="zh-CN"/>
        </w:rPr>
      </w:pPr>
    </w:p>
    <w:p w14:paraId="22D0A313">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lang w:val="en-US" w:eastAsia="zh-CN"/>
        </w:rPr>
      </w:pPr>
    </w:p>
    <w:p w14:paraId="3187B6A4">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p>
    <w:p w14:paraId="3422F685">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lang w:val="en-US" w:eastAsia="zh-CN"/>
        </w:rPr>
      </w:pPr>
    </w:p>
    <w:p w14:paraId="5E0FA9B3">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lang w:val="en-US" w:eastAsia="zh-CN"/>
        </w:rPr>
      </w:pPr>
    </w:p>
    <w:p w14:paraId="7CB1B814">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color w:val="auto"/>
          <w:sz w:val="32"/>
          <w:szCs w:val="32"/>
          <w:lang w:val="en-US" w:eastAsia="zh-CN"/>
        </w:rPr>
      </w:pPr>
    </w:p>
    <w:p w14:paraId="079898BA">
      <w:pPr>
        <w:pStyle w:val="3"/>
        <w:rPr>
          <w:rFonts w:hint="eastAsia"/>
          <w:lang w:val="en-US" w:eastAsia="zh-CN"/>
        </w:rPr>
      </w:pPr>
    </w:p>
    <w:p w14:paraId="3FDE73E5">
      <w:pPr>
        <w:rPr>
          <w:rFonts w:hint="default" w:ascii="黑体" w:hAnsi="黑体" w:eastAsia="黑体"/>
          <w:sz w:val="32"/>
          <w:szCs w:val="32"/>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3BA5CA10">
      <w:pPr>
        <w:pStyle w:val="4"/>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eastAsia" w:ascii="黑体" w:hAnsi="黑体" w:eastAsia="黑体" w:cs="黑体"/>
          <w:color w:val="auto"/>
          <w:sz w:val="32"/>
          <w:szCs w:val="32"/>
          <w:lang w:val="en-US" w:eastAsia="zh-CN"/>
        </w:rPr>
      </w:pPr>
      <w:bookmarkStart w:id="91" w:name="_Toc40"/>
      <w:bookmarkStart w:id="92" w:name="_Toc23726"/>
      <w:r>
        <w:rPr>
          <w:rFonts w:hint="eastAsia" w:ascii="黑体" w:hAnsi="黑体" w:eastAsia="黑体" w:cs="黑体"/>
          <w:color w:val="auto"/>
          <w:sz w:val="32"/>
          <w:szCs w:val="32"/>
          <w:lang w:val="en-US" w:eastAsia="zh-CN"/>
        </w:rPr>
        <w:t>附件2</w:t>
      </w:r>
      <w:bookmarkEnd w:id="91"/>
      <w:bookmarkEnd w:id="92"/>
    </w:p>
    <w:tbl>
      <w:tblPr>
        <w:tblStyle w:val="19"/>
        <w:tblW w:w="9803" w:type="dxa"/>
        <w:tblInd w:w="-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54"/>
        <w:gridCol w:w="3274"/>
        <w:gridCol w:w="1814"/>
        <w:gridCol w:w="3061"/>
      </w:tblGrid>
      <w:tr w14:paraId="020A8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9803" w:type="dxa"/>
            <w:gridSpan w:val="4"/>
            <w:tcBorders>
              <w:top w:val="nil"/>
              <w:left w:val="nil"/>
              <w:bottom w:val="nil"/>
              <w:right w:val="nil"/>
            </w:tcBorders>
            <w:shd w:val="clear" w:color="auto" w:fill="auto"/>
            <w:vAlign w:val="center"/>
          </w:tcPr>
          <w:p w14:paraId="627974E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方正小标宋简体" w:hAnsi="黑体" w:eastAsia="方正小标宋简体" w:cs="宋体"/>
                <w:i w:val="0"/>
                <w:iCs w:val="0"/>
                <w:color w:val="auto"/>
                <w:kern w:val="0"/>
                <w:sz w:val="36"/>
                <w:szCs w:val="36"/>
                <w:u w:val="none"/>
                <w:lang w:val="en-US" w:eastAsia="zh-CN" w:bidi="ar-SA"/>
              </w:rPr>
              <w:t>北京市特色高水平骨干专业（群）-运动与健康专业群项目</w:t>
            </w:r>
            <w:r>
              <w:rPr>
                <w:rFonts w:hint="eastAsia" w:ascii="方正小标宋简体" w:hAnsi="黑体" w:eastAsia="方正小标宋简体" w:cs="宋体"/>
                <w:i w:val="0"/>
                <w:iCs w:val="0"/>
                <w:color w:val="auto"/>
                <w:kern w:val="0"/>
                <w:sz w:val="36"/>
                <w:szCs w:val="36"/>
                <w:u w:val="none"/>
                <w:lang w:val="en-US" w:eastAsia="zh-CN" w:bidi="ar-SA"/>
              </w:rPr>
              <w:br w:type="textWrapping"/>
            </w:r>
            <w:r>
              <w:rPr>
                <w:rFonts w:hint="eastAsia" w:ascii="方正小标宋简体" w:hAnsi="黑体" w:eastAsia="方正小标宋简体" w:cs="宋体"/>
                <w:i w:val="0"/>
                <w:iCs w:val="0"/>
                <w:color w:val="auto"/>
                <w:kern w:val="0"/>
                <w:sz w:val="36"/>
                <w:szCs w:val="36"/>
                <w:u w:val="none"/>
                <w:lang w:val="en-US" w:eastAsia="zh-CN" w:bidi="ar-SA"/>
              </w:rPr>
              <w:t>绩效目标完成情况及收支明细表</w:t>
            </w:r>
          </w:p>
        </w:tc>
      </w:tr>
      <w:tr w14:paraId="4FE8C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06D2">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审核人：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52B4">
            <w:pPr>
              <w:jc w:val="cente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1E8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单位：万元</w:t>
            </w:r>
          </w:p>
        </w:tc>
      </w:tr>
      <w:tr w14:paraId="6F669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E9070">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绩效目标完成情况</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FA110">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目标内容</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D669">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目标调整情况</w:t>
            </w:r>
          </w:p>
        </w:tc>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ADC5">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实际完成情况</w:t>
            </w:r>
          </w:p>
        </w:tc>
      </w:tr>
      <w:tr w14:paraId="2481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27C36">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EFBC">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校企合作研发课程数量≥5门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DEC4">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7851">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校企合作研发课程5门</w:t>
            </w:r>
          </w:p>
        </w:tc>
      </w:tr>
      <w:tr w14:paraId="7C5A3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B4332">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1B86">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教材开发编写本数≥5本</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06C5">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2327">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教材开发编写5本</w:t>
            </w:r>
          </w:p>
        </w:tc>
      </w:tr>
      <w:tr w14:paraId="343D1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DCF28">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BA27">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实训教室建设数量≥1个</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2A52">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1798">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实训教室建设1个</w:t>
            </w:r>
          </w:p>
        </w:tc>
      </w:tr>
      <w:tr w14:paraId="7C99B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04006">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FD5E">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培训合格率≥90%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E22C">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B144">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完成</w:t>
            </w:r>
          </w:p>
        </w:tc>
      </w:tr>
      <w:tr w14:paraId="242D3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F83E6">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5EF7">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培训覆盖率≥90%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F8CE">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8335">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完成</w:t>
            </w:r>
          </w:p>
        </w:tc>
      </w:tr>
      <w:tr w14:paraId="3BF26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FE1C2">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5AF3">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工作任务完成及时率≥90%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C59A">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B446">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完成</w:t>
            </w:r>
          </w:p>
        </w:tc>
      </w:tr>
      <w:tr w14:paraId="6F990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674A5">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32AE">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提升体育专业师资整体素质≥90%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014F">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C325">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提升了体育专业师资整体素质</w:t>
            </w:r>
          </w:p>
        </w:tc>
      </w:tr>
      <w:tr w14:paraId="62539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D5A2E">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58E0">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对竞技体育可持续发展影响程度≥90%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C766">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238E">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对竞技体育可持续发展影响程度扩大</w:t>
            </w:r>
          </w:p>
        </w:tc>
      </w:tr>
      <w:tr w14:paraId="482ED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B36B8">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66C8">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提升整体教学能力≥90%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C8AD">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35FC">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整体教学能力得到提升</w:t>
            </w:r>
          </w:p>
        </w:tc>
      </w:tr>
      <w:tr w14:paraId="769B1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24DB9">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EB90">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教师满意度≥90%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CA3D">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5D5B">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教师满意度94%</w:t>
            </w:r>
          </w:p>
        </w:tc>
      </w:tr>
      <w:tr w14:paraId="6CDC5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78458">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2847">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学生满意度≥90%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8E3A">
            <w:pPr>
              <w:rPr>
                <w:rFonts w:hint="eastAsia" w:ascii="仿宋_GB2312" w:hAnsi="仿宋_GB2312" w:eastAsia="仿宋_GB2312" w:cs="仿宋_GB2312"/>
                <w:i w:val="0"/>
                <w:iCs w:val="0"/>
                <w:color w:val="000000"/>
                <w:sz w:val="24"/>
                <w:szCs w:val="24"/>
                <w:u w:val="none"/>
              </w:rPr>
            </w:pPr>
          </w:p>
        </w:tc>
        <w:tc>
          <w:tcPr>
            <w:tcW w:w="3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234F">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学生满意度94%</w:t>
            </w:r>
          </w:p>
        </w:tc>
      </w:tr>
      <w:tr w14:paraId="4169C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06CBB">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资金到位情况</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C15A3">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项目资金</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F776">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预算批复数</w:t>
            </w:r>
          </w:p>
        </w:tc>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5D24">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资金到位情况</w:t>
            </w:r>
          </w:p>
        </w:tc>
      </w:tr>
      <w:tr w14:paraId="01161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90C20">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4BA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财政拨款</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62CB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496.907</w:t>
            </w:r>
          </w:p>
        </w:tc>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EB0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496.907</w:t>
            </w:r>
          </w:p>
        </w:tc>
      </w:tr>
      <w:tr w14:paraId="10DD9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B5685">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A812">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合计</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B9C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496.907</w:t>
            </w:r>
          </w:p>
        </w:tc>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F61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496.907</w:t>
            </w:r>
          </w:p>
        </w:tc>
      </w:tr>
      <w:tr w14:paraId="05770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7FE7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资金支出情况</w:t>
            </w: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53DD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项目预算支出明细</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316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预算批复数</w:t>
            </w:r>
          </w:p>
        </w:tc>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6AC7">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实际支出数</w:t>
            </w:r>
          </w:p>
        </w:tc>
      </w:tr>
      <w:tr w14:paraId="69EF5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24DD7">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C69C">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 北京市特色高水平骨干专业（群）-运动与健康专业群项目 </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C88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496.907</w:t>
            </w:r>
          </w:p>
        </w:tc>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CE3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 496.58 </w:t>
            </w:r>
          </w:p>
        </w:tc>
      </w:tr>
      <w:tr w14:paraId="7A1A1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EDD3E">
            <w:pPr>
              <w:jc w:val="center"/>
              <w:rPr>
                <w:rFonts w:hint="eastAsia" w:ascii="仿宋_GB2312" w:hAnsi="仿宋_GB2312" w:eastAsia="仿宋_GB2312" w:cs="仿宋_GB2312"/>
                <w:i w:val="0"/>
                <w:iCs w:val="0"/>
                <w:color w:val="000000"/>
                <w:sz w:val="24"/>
                <w:szCs w:val="24"/>
                <w:u w:val="none"/>
              </w:rPr>
            </w:pPr>
          </w:p>
        </w:tc>
        <w:tc>
          <w:tcPr>
            <w:tcW w:w="3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D51B2">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合计</w:t>
            </w:r>
          </w:p>
        </w:tc>
        <w:tc>
          <w:tcPr>
            <w:tcW w:w="1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9431">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496.907</w:t>
            </w:r>
          </w:p>
        </w:tc>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2B77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 496.58 </w:t>
            </w:r>
          </w:p>
        </w:tc>
      </w:tr>
      <w:tr w14:paraId="0527B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980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EC928D">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注：1.预算批复数为项目年度批复的预算数，包含年初批复和年中的追加核减数；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2.实际支出数是指对应项目明细的实际支出数；</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3.表中数据以单位实际账面数据为准，保留小数点后两位数字。</w:t>
            </w:r>
          </w:p>
        </w:tc>
      </w:tr>
    </w:tbl>
    <w:p w14:paraId="7F960D26">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黑体" w:hAnsi="黑体" w:eastAsia="黑体"/>
          <w:sz w:val="32"/>
          <w:szCs w:val="32"/>
          <w:lang w:val="en-US" w:eastAsia="zh-CN"/>
        </w:rPr>
      </w:pPr>
    </w:p>
    <w:p w14:paraId="113F812E">
      <w:pPr>
        <w:spacing w:line="560" w:lineRule="exact"/>
        <w:ind w:firstLine="1600" w:firstLineChars="500"/>
        <w:rPr>
          <w:rFonts w:hint="default" w:ascii="仿宋_GB2312" w:hAnsi="宋体" w:eastAsia="仿宋_GB2312"/>
          <w:bCs/>
          <w:color w:val="auto"/>
          <w:kern w:val="0"/>
          <w:sz w:val="32"/>
          <w:szCs w:val="28"/>
          <w:lang w:val="en-US" w:eastAsia="zh-CN"/>
        </w:rPr>
        <w:sectPr>
          <w:pgSz w:w="11906" w:h="16838"/>
          <w:pgMar w:top="1440" w:right="1800" w:bottom="1440" w:left="1800" w:header="851" w:footer="992" w:gutter="0"/>
          <w:pgNumType w:fmt="decimal"/>
          <w:cols w:space="425" w:num="1"/>
          <w:docGrid w:type="lines" w:linePitch="312" w:charSpace="0"/>
        </w:sectPr>
      </w:pPr>
    </w:p>
    <w:p w14:paraId="42B758FD">
      <w:pPr>
        <w:pStyle w:val="4"/>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default" w:ascii="黑体" w:hAnsi="黑体" w:eastAsia="黑体" w:cs="黑体"/>
          <w:color w:val="auto"/>
          <w:sz w:val="32"/>
          <w:szCs w:val="32"/>
          <w:lang w:val="en-US" w:eastAsia="zh-CN"/>
        </w:rPr>
      </w:pPr>
      <w:bookmarkStart w:id="93" w:name="_Toc22461"/>
      <w:bookmarkStart w:id="94" w:name="_Toc14299"/>
      <w:r>
        <w:rPr>
          <w:rFonts w:hint="eastAsia" w:ascii="黑体" w:hAnsi="黑体" w:eastAsia="黑体" w:cs="黑体"/>
          <w:color w:val="auto"/>
          <w:sz w:val="32"/>
          <w:szCs w:val="32"/>
          <w:lang w:val="en-US" w:eastAsia="zh-CN"/>
        </w:rPr>
        <w:t>附件3</w:t>
      </w:r>
      <w:bookmarkEnd w:id="93"/>
      <w:bookmarkEnd w:id="94"/>
    </w:p>
    <w:p w14:paraId="22BA7B5B">
      <w:pPr>
        <w:rPr>
          <w:rFonts w:hint="eastAsia" w:ascii="黑体" w:hAnsi="黑体" w:eastAsia="黑体"/>
          <w:sz w:val="32"/>
          <w:szCs w:val="32"/>
          <w:lang w:eastAsia="zh-CN"/>
        </w:rPr>
      </w:pPr>
      <w:r>
        <w:rPr>
          <w:rFonts w:hint="eastAsia" w:ascii="黑体" w:hAnsi="黑体" w:eastAsia="黑体"/>
          <w:sz w:val="32"/>
          <w:szCs w:val="32"/>
          <w:lang w:eastAsia="zh-CN"/>
        </w:rPr>
        <w:drawing>
          <wp:anchor distT="0" distB="0" distL="114300" distR="114300" simplePos="0" relativeHeight="251663360" behindDoc="1" locked="0" layoutInCell="1" allowOverlap="1">
            <wp:simplePos x="0" y="0"/>
            <wp:positionH relativeFrom="column">
              <wp:posOffset>14605</wp:posOffset>
            </wp:positionH>
            <wp:positionV relativeFrom="paragraph">
              <wp:posOffset>55245</wp:posOffset>
            </wp:positionV>
            <wp:extent cx="5267960" cy="7452360"/>
            <wp:effectExtent l="0" t="0" r="8890" b="5715"/>
            <wp:wrapNone/>
            <wp:docPr id="4" name="图片 4" descr="9-财政支出项目绩效评价专家汇总意见书(1)(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财政支出项目绩效评价专家汇总意见书(1)(2)(1)_01"/>
                    <pic:cNvPicPr>
                      <a:picLocks noChangeAspect="1"/>
                    </pic:cNvPicPr>
                  </pic:nvPicPr>
                  <pic:blipFill>
                    <a:blip r:embed="rId9"/>
                    <a:stretch>
                      <a:fillRect/>
                    </a:stretch>
                  </pic:blipFill>
                  <pic:spPr>
                    <a:xfrm>
                      <a:off x="0" y="0"/>
                      <a:ext cx="5267960" cy="7452360"/>
                    </a:xfrm>
                    <a:prstGeom prst="rect">
                      <a:avLst/>
                    </a:prstGeom>
                  </pic:spPr>
                </pic:pic>
              </a:graphicData>
            </a:graphic>
          </wp:anchor>
        </w:drawing>
      </w:r>
    </w:p>
    <w:p w14:paraId="5B51E76A">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46F67866">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7A1379BD">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0EF0E3F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049F1A65">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2907F7EE">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224C575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070A16EB">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304606AF">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46AAD857">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36AA49DE">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34D41425">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37C3D48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063F3DE5">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6C01776B">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7F608CB2">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sz w:val="32"/>
          <w:szCs w:val="32"/>
          <w:lang w:eastAsia="zh-CN"/>
        </w:rPr>
      </w:pPr>
    </w:p>
    <w:p w14:paraId="26FF76B4">
      <w:pPr>
        <w:pStyle w:val="3"/>
        <w:keepNext w:val="0"/>
        <w:keepLines w:val="0"/>
        <w:pageBreakBefore w:val="0"/>
        <w:widowControl w:val="0"/>
        <w:kinsoku/>
        <w:wordWrap/>
        <w:overflowPunct/>
        <w:topLinePunct w:val="0"/>
        <w:autoSpaceDE/>
        <w:autoSpaceDN/>
        <w:bidi w:val="0"/>
        <w:adjustRightInd/>
        <w:snapToGrid/>
        <w:textAlignment w:val="auto"/>
        <w:outlineLvl w:val="9"/>
        <w:rPr>
          <w:rFonts w:hint="eastAsia"/>
          <w:lang w:eastAsia="zh-CN"/>
        </w:rPr>
        <w:sectPr>
          <w:pgSz w:w="11906" w:h="16838"/>
          <w:pgMar w:top="1440" w:right="1800" w:bottom="1440" w:left="1800" w:header="851" w:footer="992" w:gutter="0"/>
          <w:pgNumType w:fmt="decimal"/>
          <w:cols w:space="425" w:num="1"/>
          <w:docGrid w:type="lines" w:linePitch="312" w:charSpace="0"/>
        </w:sectPr>
      </w:pPr>
    </w:p>
    <w:p w14:paraId="4240AC68">
      <w:pPr>
        <w:rPr>
          <w:rFonts w:hint="eastAsia"/>
          <w:lang w:eastAsia="zh-CN"/>
        </w:rPr>
        <w:sectPr>
          <w:pgSz w:w="11906" w:h="16838"/>
          <w:pgMar w:top="1440" w:right="1800" w:bottom="1440" w:left="1800" w:header="851" w:footer="992" w:gutter="0"/>
          <w:pgNumType w:fmt="decimal"/>
          <w:cols w:space="425" w:num="1"/>
          <w:docGrid w:type="lines" w:linePitch="312" w:charSpace="0"/>
        </w:sectPr>
      </w:pPr>
      <w:r>
        <w:rPr>
          <w:rFonts w:hint="eastAsia"/>
          <w:lang w:eastAsia="zh-CN"/>
        </w:rPr>
        <w:drawing>
          <wp:anchor distT="0" distB="0" distL="114300" distR="114300" simplePos="0" relativeHeight="251665408" behindDoc="1" locked="0" layoutInCell="1" allowOverlap="1">
            <wp:simplePos x="0" y="0"/>
            <wp:positionH relativeFrom="column">
              <wp:posOffset>-116205</wp:posOffset>
            </wp:positionH>
            <wp:positionV relativeFrom="paragraph">
              <wp:posOffset>92710</wp:posOffset>
            </wp:positionV>
            <wp:extent cx="5474335" cy="8132445"/>
            <wp:effectExtent l="0" t="0" r="2540" b="1905"/>
            <wp:wrapNone/>
            <wp:docPr id="5" name="图片 5" descr="9-财政支出项目绩效评价专家汇总意见书(1)(2)(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财政支出项目绩效评价专家汇总意见书(1)(2)(1)_02"/>
                    <pic:cNvPicPr>
                      <a:picLocks noChangeAspect="1"/>
                    </pic:cNvPicPr>
                  </pic:nvPicPr>
                  <pic:blipFill>
                    <a:blip r:embed="rId10"/>
                    <a:stretch>
                      <a:fillRect/>
                    </a:stretch>
                  </pic:blipFill>
                  <pic:spPr>
                    <a:xfrm>
                      <a:off x="0" y="0"/>
                      <a:ext cx="5474335" cy="8132445"/>
                    </a:xfrm>
                    <a:prstGeom prst="rect">
                      <a:avLst/>
                    </a:prstGeom>
                  </pic:spPr>
                </pic:pic>
              </a:graphicData>
            </a:graphic>
          </wp:anchor>
        </w:drawing>
      </w:r>
    </w:p>
    <w:p w14:paraId="33F315F7">
      <w:pPr>
        <w:pStyle w:val="2"/>
        <w:rPr>
          <w:rFonts w:hint="eastAsia"/>
          <w:lang w:eastAsia="zh-CN"/>
        </w:rPr>
        <w:sectPr>
          <w:pgSz w:w="11906" w:h="16838"/>
          <w:pgMar w:top="1440" w:right="1800" w:bottom="1440" w:left="1800" w:header="851" w:footer="992" w:gutter="0"/>
          <w:pgNumType w:fmt="decimal"/>
          <w:cols w:space="425" w:num="1"/>
          <w:docGrid w:type="lines" w:linePitch="312" w:charSpace="0"/>
        </w:sectPr>
      </w:pPr>
      <w:r>
        <w:rPr>
          <w:rFonts w:hint="eastAsia"/>
          <w:lang w:eastAsia="zh-CN"/>
        </w:rPr>
        <w:drawing>
          <wp:anchor distT="0" distB="0" distL="114300" distR="114300" simplePos="0" relativeHeight="251666432" behindDoc="1" locked="0" layoutInCell="1" allowOverlap="1">
            <wp:simplePos x="0" y="0"/>
            <wp:positionH relativeFrom="column">
              <wp:posOffset>-122555</wp:posOffset>
            </wp:positionH>
            <wp:positionV relativeFrom="paragraph">
              <wp:posOffset>112395</wp:posOffset>
            </wp:positionV>
            <wp:extent cx="5560060" cy="7865745"/>
            <wp:effectExtent l="0" t="0" r="2540" b="1905"/>
            <wp:wrapNone/>
            <wp:docPr id="6" name="图片 6" descr="D:/国誉/3-2024年/18-2024-咨询（绩效）-绩效-北京市体育局/B 实施/6-项目资料整理/3-部门评价/2-专家意见/9-财政支出项目绩效评价专家汇总意见书(未签字2)_03.jpg9-财政支出项目绩效评价专家汇总意见书(未签字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国誉/3-2024年/18-2024-咨询（绩效）-绩效-北京市体育局/B 实施/6-项目资料整理/3-部门评价/2-专家意见/9-财政支出项目绩效评价专家汇总意见书(未签字2)_03.jpg9-财政支出项目绩效评价专家汇总意见书(未签字2)_03"/>
                    <pic:cNvPicPr>
                      <a:picLocks noChangeAspect="1"/>
                    </pic:cNvPicPr>
                  </pic:nvPicPr>
                  <pic:blipFill>
                    <a:blip r:embed="rId11"/>
                    <a:srcRect l="4" r="4"/>
                    <a:stretch>
                      <a:fillRect/>
                    </a:stretch>
                  </pic:blipFill>
                  <pic:spPr>
                    <a:xfrm>
                      <a:off x="0" y="0"/>
                      <a:ext cx="5560060" cy="7865745"/>
                    </a:xfrm>
                    <a:prstGeom prst="rect">
                      <a:avLst/>
                    </a:prstGeom>
                  </pic:spPr>
                </pic:pic>
              </a:graphicData>
            </a:graphic>
          </wp:anchor>
        </w:drawing>
      </w:r>
    </w:p>
    <w:p w14:paraId="2726EB1D">
      <w:pPr>
        <w:pStyle w:val="3"/>
        <w:rPr>
          <w:rFonts w:hint="eastAsia"/>
          <w:lang w:eastAsia="zh-CN"/>
        </w:rPr>
        <w:sectPr>
          <w:pgSz w:w="11906" w:h="16838"/>
          <w:pgMar w:top="1440" w:right="1800" w:bottom="1440" w:left="1800" w:header="851" w:footer="992" w:gutter="0"/>
          <w:pgNumType w:fmt="decimal"/>
          <w:cols w:space="425" w:num="1"/>
          <w:docGrid w:type="lines" w:linePitch="312" w:charSpace="0"/>
        </w:sectPr>
      </w:pPr>
      <w:r>
        <w:rPr>
          <w:rFonts w:hint="eastAsia"/>
          <w:lang w:eastAsia="zh-CN"/>
        </w:rPr>
        <w:drawing>
          <wp:anchor distT="0" distB="0" distL="114300" distR="114300" simplePos="0" relativeHeight="251664384" behindDoc="1" locked="0" layoutInCell="1" allowOverlap="1">
            <wp:simplePos x="0" y="0"/>
            <wp:positionH relativeFrom="column">
              <wp:posOffset>-48895</wp:posOffset>
            </wp:positionH>
            <wp:positionV relativeFrom="paragraph">
              <wp:posOffset>313055</wp:posOffset>
            </wp:positionV>
            <wp:extent cx="5546090" cy="7847330"/>
            <wp:effectExtent l="0" t="0" r="6985" b="1270"/>
            <wp:wrapNone/>
            <wp:docPr id="7" name="图片 7" descr="D:/国誉/3-2024年/18-2024-咨询（绩效）-绩效-北京市体育局/B 实施/6-项目资料整理/3-部门评价/2-专家意见/9-财政支出项目绩效评价专家汇总意见书(未签字2)_04.jpg9-财政支出项目绩效评价专家汇总意见书(未签字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国誉/3-2024年/18-2024-咨询（绩效）-绩效-北京市体育局/B 实施/6-项目资料整理/3-部门评价/2-专家意见/9-财政支出项目绩效评价专家汇总意见书(未签字2)_04.jpg9-财政支出项目绩效评价专家汇总意见书(未签字2)_04"/>
                    <pic:cNvPicPr>
                      <a:picLocks noChangeAspect="1"/>
                    </pic:cNvPicPr>
                  </pic:nvPicPr>
                  <pic:blipFill>
                    <a:blip r:embed="rId12"/>
                    <a:srcRect l="12" r="12"/>
                    <a:stretch>
                      <a:fillRect/>
                    </a:stretch>
                  </pic:blipFill>
                  <pic:spPr>
                    <a:xfrm>
                      <a:off x="0" y="0"/>
                      <a:ext cx="5546090" cy="7847330"/>
                    </a:xfrm>
                    <a:prstGeom prst="rect">
                      <a:avLst/>
                    </a:prstGeom>
                  </pic:spPr>
                </pic:pic>
              </a:graphicData>
            </a:graphic>
          </wp:anchor>
        </w:drawing>
      </w:r>
    </w:p>
    <w:p w14:paraId="04AA4A55">
      <w:pPr>
        <w:pStyle w:val="4"/>
        <w:keepNext/>
        <w:keepLines/>
        <w:pageBreakBefore w:val="0"/>
        <w:widowControl w:val="0"/>
        <w:kinsoku/>
        <w:wordWrap/>
        <w:overflowPunct/>
        <w:topLinePunct w:val="0"/>
        <w:autoSpaceDE/>
        <w:autoSpaceDN/>
        <w:bidi w:val="0"/>
        <w:adjustRightInd/>
        <w:snapToGrid/>
        <w:spacing w:before="0" w:after="0" w:line="560" w:lineRule="exact"/>
        <w:textAlignment w:val="auto"/>
        <w:outlineLvl w:val="0"/>
        <w:rPr>
          <w:rFonts w:hint="eastAsia" w:ascii="黑体" w:hAnsi="黑体" w:eastAsia="黑体" w:cs="黑体"/>
          <w:color w:val="auto"/>
          <w:sz w:val="32"/>
          <w:szCs w:val="32"/>
        </w:rPr>
      </w:pPr>
      <w:bookmarkStart w:id="95" w:name="_Toc22161"/>
      <w:bookmarkStart w:id="96" w:name="_Toc21008"/>
      <w:r>
        <w:rPr>
          <w:rFonts w:hint="eastAsia" w:ascii="黑体" w:hAnsi="黑体" w:eastAsia="黑体" w:cs="黑体"/>
          <w:color w:val="auto"/>
          <w:sz w:val="32"/>
          <w:szCs w:val="32"/>
        </w:rPr>
        <w:t>附件4</w:t>
      </w:r>
      <w:bookmarkEnd w:id="95"/>
      <w:bookmarkEnd w:id="96"/>
    </w:p>
    <w:p w14:paraId="438008EC">
      <w:pPr>
        <w:pStyle w:val="5"/>
        <w:jc w:val="center"/>
        <w:rPr>
          <w:rFonts w:hint="eastAsia" w:ascii="方正小标宋简体" w:hAnsi="黑体" w:eastAsia="方正小标宋简体" w:cs="宋体"/>
          <w:i w:val="0"/>
          <w:iCs w:val="0"/>
          <w:color w:val="auto"/>
          <w:kern w:val="0"/>
          <w:sz w:val="44"/>
          <w:szCs w:val="44"/>
          <w:u w:val="none"/>
          <w:lang w:val="en-US" w:eastAsia="zh-CN" w:bidi="ar-SA"/>
        </w:rPr>
      </w:pPr>
      <w:bookmarkStart w:id="97" w:name="_Toc515867883"/>
      <w:bookmarkStart w:id="98" w:name="_Toc6658"/>
      <w:r>
        <w:rPr>
          <w:rFonts w:hint="eastAsia" w:ascii="方正小标宋简体" w:hAnsi="黑体" w:eastAsia="方正小标宋简体" w:cs="宋体"/>
          <w:i w:val="0"/>
          <w:iCs w:val="0"/>
          <w:color w:val="auto"/>
          <w:kern w:val="0"/>
          <w:sz w:val="44"/>
          <w:szCs w:val="44"/>
          <w:u w:val="none"/>
          <w:lang w:val="en-US" w:eastAsia="zh-CN" w:bidi="ar-SA"/>
        </w:rPr>
        <w:t>项目支出指标体系及评分情况表</w:t>
      </w:r>
      <w:bookmarkEnd w:id="97"/>
      <w:bookmarkEnd w:id="98"/>
    </w:p>
    <w:tbl>
      <w:tblPr>
        <w:tblStyle w:val="19"/>
        <w:tblW w:w="10145" w:type="dxa"/>
        <w:tblInd w:w="-6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46"/>
        <w:gridCol w:w="1482"/>
        <w:gridCol w:w="2247"/>
        <w:gridCol w:w="911"/>
        <w:gridCol w:w="975"/>
        <w:gridCol w:w="3084"/>
      </w:tblGrid>
      <w:tr w14:paraId="07BB3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blHeader/>
        </w:trPr>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0AD2">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一级指标</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E1E6">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二级指标</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1360">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三级指标</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C7F4">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分值</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0008">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 xml:space="preserve"> 得分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60CB">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扣分原因</w:t>
            </w:r>
          </w:p>
        </w:tc>
      </w:tr>
      <w:tr w14:paraId="4F562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DEF6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决策</w:t>
            </w:r>
          </w:p>
        </w:tc>
        <w:tc>
          <w:tcPr>
            <w:tcW w:w="14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1D5990">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项目立项</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23C2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立项依据充分性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0C6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036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2.00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BBD3">
            <w:pPr>
              <w:jc w:val="center"/>
              <w:rPr>
                <w:rFonts w:hint="eastAsia" w:ascii="仿宋_GB2312" w:hAnsi="仿宋_GB2312" w:eastAsia="仿宋_GB2312" w:cs="仿宋_GB2312"/>
                <w:i w:val="0"/>
                <w:iCs w:val="0"/>
                <w:color w:val="000000"/>
                <w:sz w:val="28"/>
                <w:szCs w:val="28"/>
                <w:u w:val="none"/>
              </w:rPr>
            </w:pPr>
          </w:p>
        </w:tc>
      </w:tr>
      <w:tr w14:paraId="0C1FB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F7BBB">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D4EA3">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96F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立项程序规范性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E6E0">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FA10">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1.24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F940">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可行性论证和专家论证不充分</w:t>
            </w:r>
          </w:p>
        </w:tc>
      </w:tr>
      <w:tr w14:paraId="4B76F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49F0D">
            <w:pPr>
              <w:jc w:val="center"/>
              <w:rPr>
                <w:rFonts w:hint="eastAsia" w:ascii="仿宋_GB2312" w:hAnsi="仿宋_GB2312" w:eastAsia="仿宋_GB2312" w:cs="仿宋_GB2312"/>
                <w:i w:val="0"/>
                <w:iCs w:val="0"/>
                <w:color w:val="000000"/>
                <w:sz w:val="28"/>
                <w:szCs w:val="28"/>
                <w:u w:val="none"/>
              </w:rPr>
            </w:pPr>
          </w:p>
        </w:tc>
        <w:tc>
          <w:tcPr>
            <w:tcW w:w="14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94A8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绩效目标</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11E9">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绩效目标合理性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4BF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30C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1.72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5F1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不够合理</w:t>
            </w:r>
          </w:p>
        </w:tc>
      </w:tr>
      <w:tr w14:paraId="71D35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D226F">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ADD73">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77B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绩效指标明确性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BDC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ACE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1.24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EAD0">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不够细化、可衡量</w:t>
            </w:r>
          </w:p>
        </w:tc>
      </w:tr>
      <w:tr w14:paraId="1FD8E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5B8B8">
            <w:pPr>
              <w:jc w:val="center"/>
              <w:rPr>
                <w:rFonts w:hint="eastAsia" w:ascii="仿宋_GB2312" w:hAnsi="仿宋_GB2312" w:eastAsia="仿宋_GB2312" w:cs="仿宋_GB2312"/>
                <w:i w:val="0"/>
                <w:iCs w:val="0"/>
                <w:color w:val="000000"/>
                <w:sz w:val="28"/>
                <w:szCs w:val="28"/>
                <w:u w:val="none"/>
              </w:rPr>
            </w:pPr>
          </w:p>
        </w:tc>
        <w:tc>
          <w:tcPr>
            <w:tcW w:w="14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0D85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资金投入</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4B9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预算编制科学性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514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A37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1.44 </w:t>
            </w:r>
          </w:p>
        </w:tc>
        <w:tc>
          <w:tcPr>
            <w:tcW w:w="3084" w:type="dxa"/>
            <w:vMerge w:val="restart"/>
            <w:tcBorders>
              <w:top w:val="single" w:color="000000" w:sz="4" w:space="0"/>
              <w:left w:val="single" w:color="000000" w:sz="4" w:space="0"/>
              <w:right w:val="single" w:color="000000" w:sz="4" w:space="0"/>
            </w:tcBorders>
            <w:shd w:val="clear" w:color="auto" w:fill="auto"/>
            <w:vAlign w:val="center"/>
          </w:tcPr>
          <w:p w14:paraId="74BCC230">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有待提升</w:t>
            </w:r>
          </w:p>
        </w:tc>
      </w:tr>
      <w:tr w14:paraId="72A56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F2BF4">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71196">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18B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资金分配合理性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4AE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720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1.39 </w:t>
            </w:r>
          </w:p>
        </w:tc>
        <w:tc>
          <w:tcPr>
            <w:tcW w:w="3084" w:type="dxa"/>
            <w:vMerge w:val="continue"/>
            <w:tcBorders>
              <w:left w:val="single" w:color="000000" w:sz="4" w:space="0"/>
              <w:bottom w:val="single" w:color="000000" w:sz="4" w:space="0"/>
              <w:right w:val="single" w:color="000000" w:sz="4" w:space="0"/>
            </w:tcBorders>
            <w:shd w:val="clear" w:color="auto" w:fill="auto"/>
            <w:vAlign w:val="center"/>
          </w:tcPr>
          <w:p w14:paraId="7AA0D1D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p>
        </w:tc>
      </w:tr>
      <w:tr w14:paraId="29B51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A4C29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过程</w:t>
            </w:r>
          </w:p>
        </w:tc>
        <w:tc>
          <w:tcPr>
            <w:tcW w:w="14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656F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资金管理</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C65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资金到位率</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5A8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304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4.00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786B">
            <w:pPr>
              <w:jc w:val="center"/>
              <w:rPr>
                <w:rFonts w:hint="eastAsia" w:ascii="仿宋_GB2312" w:hAnsi="仿宋_GB2312" w:eastAsia="仿宋_GB2312" w:cs="仿宋_GB2312"/>
                <w:i w:val="0"/>
                <w:iCs w:val="0"/>
                <w:color w:val="000000"/>
                <w:sz w:val="28"/>
                <w:szCs w:val="28"/>
                <w:u w:val="none"/>
              </w:rPr>
            </w:pPr>
          </w:p>
        </w:tc>
      </w:tr>
      <w:tr w14:paraId="3E04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CFCC5">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03E47">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4C3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预算执行率</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2E3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A3B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4.00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5E06">
            <w:pPr>
              <w:jc w:val="center"/>
              <w:rPr>
                <w:rFonts w:hint="eastAsia" w:ascii="仿宋_GB2312" w:hAnsi="仿宋_GB2312" w:eastAsia="仿宋_GB2312" w:cs="仿宋_GB2312"/>
                <w:i w:val="0"/>
                <w:iCs w:val="0"/>
                <w:color w:val="000000"/>
                <w:sz w:val="28"/>
                <w:szCs w:val="28"/>
                <w:u w:val="none"/>
              </w:rPr>
            </w:pPr>
          </w:p>
        </w:tc>
      </w:tr>
      <w:tr w14:paraId="3110C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77310">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7E68E">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B3C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资金使用合规性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D33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B2C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3.80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DCF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有待加强</w:t>
            </w:r>
          </w:p>
        </w:tc>
      </w:tr>
      <w:tr w14:paraId="2E16E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6"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D1839">
            <w:pPr>
              <w:jc w:val="center"/>
              <w:rPr>
                <w:rFonts w:hint="eastAsia" w:ascii="仿宋_GB2312" w:hAnsi="仿宋_GB2312" w:eastAsia="仿宋_GB2312" w:cs="仿宋_GB2312"/>
                <w:i w:val="0"/>
                <w:iCs w:val="0"/>
                <w:color w:val="000000"/>
                <w:sz w:val="28"/>
                <w:szCs w:val="28"/>
                <w:u w:val="none"/>
              </w:rPr>
            </w:pPr>
          </w:p>
        </w:tc>
        <w:tc>
          <w:tcPr>
            <w:tcW w:w="14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9004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组织实施</w:t>
            </w: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D60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管理制度健全性</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6F9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FBDA">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3.30 </w:t>
            </w:r>
          </w:p>
        </w:tc>
        <w:tc>
          <w:tcPr>
            <w:tcW w:w="30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334A">
            <w:pPr>
              <w:keepNext w:val="0"/>
              <w:keepLines w:val="0"/>
              <w:widowControl/>
              <w:suppressLineNumbers w:val="0"/>
              <w:jc w:val="center"/>
              <w:textAlignment w:val="center"/>
              <w:rPr>
                <w:rFonts w:hint="default" w:ascii="仿宋_GB2312" w:hAnsi="仿宋_GB2312" w:eastAsia="仿宋_GB2312" w:cs="仿宋_GB2312"/>
                <w:i w:val="0"/>
                <w:iCs w:val="0"/>
                <w:color w:val="000000"/>
                <w:sz w:val="28"/>
                <w:szCs w:val="28"/>
                <w:u w:val="none"/>
                <w:lang w:val="en-US"/>
              </w:rPr>
            </w:pPr>
            <w:r>
              <w:rPr>
                <w:rFonts w:hint="eastAsia" w:ascii="仿宋_GB2312" w:hAnsi="仿宋_GB2312" w:eastAsia="仿宋_GB2312" w:cs="仿宋_GB2312"/>
                <w:i w:val="0"/>
                <w:iCs w:val="0"/>
                <w:color w:val="000000"/>
                <w:kern w:val="0"/>
                <w:sz w:val="28"/>
                <w:szCs w:val="28"/>
                <w:u w:val="none"/>
                <w:lang w:val="en-US" w:eastAsia="zh-CN" w:bidi="ar"/>
              </w:rPr>
              <w:t>有待提升</w:t>
            </w:r>
          </w:p>
        </w:tc>
      </w:tr>
      <w:tr w14:paraId="60D52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6AFD6">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0D310">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000000" w:sz="4" w:space="0"/>
              <w:left w:val="single" w:color="000000" w:sz="4" w:space="0"/>
              <w:bottom w:val="single" w:color="auto" w:sz="4" w:space="0"/>
              <w:right w:val="single" w:color="000000" w:sz="4" w:space="0"/>
            </w:tcBorders>
            <w:shd w:val="clear" w:color="auto" w:fill="auto"/>
            <w:vAlign w:val="center"/>
          </w:tcPr>
          <w:p w14:paraId="2D173C4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制度执行有效性</w:t>
            </w:r>
          </w:p>
        </w:tc>
        <w:tc>
          <w:tcPr>
            <w:tcW w:w="911" w:type="dxa"/>
            <w:tcBorders>
              <w:top w:val="single" w:color="000000" w:sz="4" w:space="0"/>
              <w:left w:val="single" w:color="000000" w:sz="4" w:space="0"/>
              <w:bottom w:val="single" w:color="auto" w:sz="4" w:space="0"/>
              <w:right w:val="single" w:color="000000" w:sz="4" w:space="0"/>
            </w:tcBorders>
            <w:shd w:val="clear" w:color="auto" w:fill="auto"/>
            <w:vAlign w:val="center"/>
          </w:tcPr>
          <w:p w14:paraId="4C62E7F9">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975" w:type="dxa"/>
            <w:tcBorders>
              <w:top w:val="single" w:color="000000" w:sz="4" w:space="0"/>
              <w:left w:val="single" w:color="000000" w:sz="4" w:space="0"/>
              <w:bottom w:val="single" w:color="auto" w:sz="4" w:space="0"/>
              <w:right w:val="single" w:color="000000" w:sz="4" w:space="0"/>
            </w:tcBorders>
            <w:shd w:val="clear" w:color="auto" w:fill="auto"/>
            <w:vAlign w:val="center"/>
          </w:tcPr>
          <w:p w14:paraId="50D1406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3.34 </w:t>
            </w:r>
          </w:p>
        </w:tc>
        <w:tc>
          <w:tcPr>
            <w:tcW w:w="3084" w:type="dxa"/>
            <w:tcBorders>
              <w:top w:val="single" w:color="000000" w:sz="4" w:space="0"/>
              <w:left w:val="single" w:color="000000" w:sz="4" w:space="0"/>
              <w:bottom w:val="single" w:color="auto" w:sz="4" w:space="0"/>
              <w:right w:val="single" w:color="000000" w:sz="4" w:space="0"/>
            </w:tcBorders>
            <w:shd w:val="clear" w:color="auto" w:fill="auto"/>
            <w:vAlign w:val="center"/>
          </w:tcPr>
          <w:p w14:paraId="522D8E9F">
            <w:pPr>
              <w:keepNext w:val="0"/>
              <w:keepLines w:val="0"/>
              <w:widowControl/>
              <w:suppressLineNumbers w:val="0"/>
              <w:jc w:val="center"/>
              <w:textAlignment w:val="center"/>
              <w:rPr>
                <w:rFonts w:hint="default" w:ascii="仿宋_GB2312" w:hAnsi="仿宋_GB2312" w:eastAsia="仿宋_GB2312" w:cs="仿宋_GB2312"/>
                <w:i w:val="0"/>
                <w:iCs w:val="0"/>
                <w:color w:val="000000"/>
                <w:sz w:val="28"/>
                <w:szCs w:val="28"/>
                <w:u w:val="none"/>
                <w:lang w:val="en-US"/>
              </w:rPr>
            </w:pPr>
            <w:r>
              <w:rPr>
                <w:rFonts w:hint="eastAsia" w:ascii="仿宋_GB2312" w:hAnsi="仿宋_GB2312" w:eastAsia="仿宋_GB2312" w:cs="仿宋_GB2312"/>
                <w:i w:val="0"/>
                <w:iCs w:val="0"/>
                <w:color w:val="000000"/>
                <w:kern w:val="0"/>
                <w:sz w:val="28"/>
                <w:szCs w:val="28"/>
                <w:u w:val="none"/>
                <w:lang w:val="en-US" w:eastAsia="zh-CN" w:bidi="ar"/>
              </w:rPr>
              <w:t>实施方案不健全</w:t>
            </w:r>
          </w:p>
        </w:tc>
      </w:tr>
      <w:tr w14:paraId="30B70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5DA87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产出</w:t>
            </w:r>
          </w:p>
        </w:tc>
        <w:tc>
          <w:tcPr>
            <w:tcW w:w="1482" w:type="dxa"/>
            <w:tcBorders>
              <w:top w:val="single" w:color="000000" w:sz="4" w:space="0"/>
              <w:left w:val="single" w:color="000000" w:sz="4" w:space="0"/>
              <w:bottom w:val="single" w:color="000000" w:sz="4" w:space="0"/>
              <w:right w:val="single" w:color="auto" w:sz="4" w:space="0"/>
            </w:tcBorders>
            <w:shd w:val="clear" w:color="auto" w:fill="auto"/>
            <w:vAlign w:val="center"/>
          </w:tcPr>
          <w:p w14:paraId="0C3B75F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产出数量</w:t>
            </w:r>
          </w:p>
        </w:tc>
        <w:tc>
          <w:tcPr>
            <w:tcW w:w="2247" w:type="dxa"/>
            <w:tcBorders>
              <w:top w:val="single" w:color="auto" w:sz="4" w:space="0"/>
              <w:left w:val="single" w:color="auto" w:sz="4" w:space="0"/>
              <w:bottom w:val="single" w:color="auto" w:sz="4" w:space="0"/>
              <w:right w:val="single" w:color="auto" w:sz="4" w:space="0"/>
            </w:tcBorders>
            <w:shd w:val="clear" w:color="auto" w:fill="auto"/>
            <w:vAlign w:val="center"/>
          </w:tcPr>
          <w:p w14:paraId="43E12A7A">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实际完成率</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229E897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6EC29FA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9.80 </w:t>
            </w:r>
          </w:p>
        </w:tc>
        <w:tc>
          <w:tcPr>
            <w:tcW w:w="3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9E362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支撑不够充分</w:t>
            </w:r>
          </w:p>
          <w:p w14:paraId="7227529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p>
        </w:tc>
      </w:tr>
      <w:tr w14:paraId="1F283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8542E">
            <w:pPr>
              <w:jc w:val="center"/>
              <w:rPr>
                <w:rFonts w:hint="eastAsia" w:ascii="仿宋_GB2312" w:hAnsi="仿宋_GB2312" w:eastAsia="仿宋_GB2312" w:cs="仿宋_GB2312"/>
                <w:i w:val="0"/>
                <w:iCs w:val="0"/>
                <w:color w:val="000000"/>
                <w:sz w:val="28"/>
                <w:szCs w:val="28"/>
                <w:u w:val="none"/>
              </w:rPr>
            </w:pPr>
          </w:p>
        </w:tc>
        <w:tc>
          <w:tcPr>
            <w:tcW w:w="1482" w:type="dxa"/>
            <w:tcBorders>
              <w:top w:val="single" w:color="000000" w:sz="4" w:space="0"/>
              <w:left w:val="single" w:color="000000" w:sz="4" w:space="0"/>
              <w:bottom w:val="single" w:color="000000" w:sz="4" w:space="0"/>
              <w:right w:val="single" w:color="auto" w:sz="4" w:space="0"/>
            </w:tcBorders>
            <w:shd w:val="clear" w:color="auto" w:fill="auto"/>
            <w:vAlign w:val="center"/>
          </w:tcPr>
          <w:p w14:paraId="0108357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产出质量</w:t>
            </w:r>
          </w:p>
        </w:tc>
        <w:tc>
          <w:tcPr>
            <w:tcW w:w="2247" w:type="dxa"/>
            <w:tcBorders>
              <w:top w:val="single" w:color="auto" w:sz="4" w:space="0"/>
              <w:left w:val="single" w:color="auto" w:sz="4" w:space="0"/>
              <w:bottom w:val="single" w:color="auto" w:sz="4" w:space="0"/>
              <w:right w:val="single" w:color="auto" w:sz="4" w:space="0"/>
            </w:tcBorders>
            <w:shd w:val="clear" w:color="auto" w:fill="auto"/>
            <w:vAlign w:val="center"/>
          </w:tcPr>
          <w:p w14:paraId="216A4EA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质量达标率</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D3490D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33AE1B3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8.36 </w:t>
            </w:r>
          </w:p>
        </w:tc>
        <w:tc>
          <w:tcPr>
            <w:tcW w:w="3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15F2B5">
            <w:pPr>
              <w:jc w:val="center"/>
              <w:rPr>
                <w:rFonts w:hint="eastAsia" w:ascii="仿宋_GB2312" w:hAnsi="仿宋_GB2312" w:eastAsia="仿宋_GB2312" w:cs="仿宋_GB2312"/>
                <w:i w:val="0"/>
                <w:iCs w:val="0"/>
                <w:color w:val="000000"/>
                <w:sz w:val="28"/>
                <w:szCs w:val="28"/>
                <w:u w:val="none"/>
              </w:rPr>
            </w:pPr>
          </w:p>
        </w:tc>
      </w:tr>
      <w:tr w14:paraId="06C09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5857F">
            <w:pPr>
              <w:jc w:val="center"/>
              <w:rPr>
                <w:rFonts w:hint="eastAsia" w:ascii="仿宋_GB2312" w:hAnsi="仿宋_GB2312" w:eastAsia="仿宋_GB2312" w:cs="仿宋_GB2312"/>
                <w:i w:val="0"/>
                <w:iCs w:val="0"/>
                <w:color w:val="000000"/>
                <w:sz w:val="28"/>
                <w:szCs w:val="28"/>
                <w:u w:val="none"/>
              </w:rPr>
            </w:pPr>
          </w:p>
        </w:tc>
        <w:tc>
          <w:tcPr>
            <w:tcW w:w="1482" w:type="dxa"/>
            <w:tcBorders>
              <w:top w:val="single" w:color="000000" w:sz="4" w:space="0"/>
              <w:left w:val="single" w:color="000000" w:sz="4" w:space="0"/>
              <w:bottom w:val="single" w:color="000000" w:sz="4" w:space="0"/>
              <w:right w:val="single" w:color="auto" w:sz="4" w:space="0"/>
            </w:tcBorders>
            <w:shd w:val="clear" w:color="auto" w:fill="auto"/>
            <w:vAlign w:val="center"/>
          </w:tcPr>
          <w:p w14:paraId="148D1BC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产出时效</w:t>
            </w:r>
          </w:p>
        </w:tc>
        <w:tc>
          <w:tcPr>
            <w:tcW w:w="2247" w:type="dxa"/>
            <w:tcBorders>
              <w:top w:val="single" w:color="auto" w:sz="4" w:space="0"/>
              <w:left w:val="single" w:color="auto" w:sz="4" w:space="0"/>
              <w:bottom w:val="single" w:color="auto" w:sz="4" w:space="0"/>
              <w:right w:val="single" w:color="auto" w:sz="4" w:space="0"/>
            </w:tcBorders>
            <w:shd w:val="clear" w:color="auto" w:fill="auto"/>
            <w:vAlign w:val="center"/>
          </w:tcPr>
          <w:p w14:paraId="6064AA3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完成及时性</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6EE38AD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0F06444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9.80 </w:t>
            </w:r>
          </w:p>
        </w:tc>
        <w:tc>
          <w:tcPr>
            <w:tcW w:w="3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B98E8D">
            <w:pPr>
              <w:jc w:val="center"/>
              <w:rPr>
                <w:rFonts w:hint="eastAsia" w:ascii="仿宋_GB2312" w:hAnsi="仿宋_GB2312" w:eastAsia="仿宋_GB2312" w:cs="仿宋_GB2312"/>
                <w:i w:val="0"/>
                <w:iCs w:val="0"/>
                <w:color w:val="000000"/>
                <w:sz w:val="28"/>
                <w:szCs w:val="28"/>
                <w:u w:val="none"/>
              </w:rPr>
            </w:pPr>
          </w:p>
        </w:tc>
      </w:tr>
      <w:tr w14:paraId="57ACE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5C797">
            <w:pPr>
              <w:jc w:val="center"/>
              <w:rPr>
                <w:rFonts w:hint="eastAsia" w:ascii="仿宋_GB2312" w:hAnsi="仿宋_GB2312" w:eastAsia="仿宋_GB2312" w:cs="仿宋_GB2312"/>
                <w:i w:val="0"/>
                <w:iCs w:val="0"/>
                <w:color w:val="000000"/>
                <w:sz w:val="28"/>
                <w:szCs w:val="28"/>
                <w:u w:val="none"/>
              </w:rPr>
            </w:pPr>
          </w:p>
        </w:tc>
        <w:tc>
          <w:tcPr>
            <w:tcW w:w="1482" w:type="dxa"/>
            <w:tcBorders>
              <w:top w:val="single" w:color="000000" w:sz="4" w:space="0"/>
              <w:left w:val="single" w:color="000000" w:sz="4" w:space="0"/>
              <w:bottom w:val="single" w:color="000000" w:sz="4" w:space="0"/>
              <w:right w:val="single" w:color="auto" w:sz="4" w:space="0"/>
            </w:tcBorders>
            <w:shd w:val="clear" w:color="auto" w:fill="auto"/>
            <w:vAlign w:val="center"/>
          </w:tcPr>
          <w:p w14:paraId="743777F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产出成本</w:t>
            </w:r>
          </w:p>
        </w:tc>
        <w:tc>
          <w:tcPr>
            <w:tcW w:w="2247" w:type="dxa"/>
            <w:tcBorders>
              <w:top w:val="single" w:color="auto" w:sz="4" w:space="0"/>
              <w:left w:val="single" w:color="auto" w:sz="4" w:space="0"/>
              <w:bottom w:val="single" w:color="auto" w:sz="4" w:space="0"/>
              <w:right w:val="single" w:color="auto" w:sz="4" w:space="0"/>
            </w:tcBorders>
            <w:shd w:val="clear" w:color="auto" w:fill="auto"/>
            <w:vAlign w:val="center"/>
          </w:tcPr>
          <w:p w14:paraId="16D3949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成本节约率</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84CE58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7F7C2E4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9.84 </w:t>
            </w:r>
          </w:p>
        </w:tc>
        <w:tc>
          <w:tcPr>
            <w:tcW w:w="3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D6CC1E">
            <w:pPr>
              <w:jc w:val="center"/>
              <w:rPr>
                <w:rFonts w:hint="eastAsia" w:ascii="仿宋_GB2312" w:hAnsi="仿宋_GB2312" w:eastAsia="仿宋_GB2312" w:cs="仿宋_GB2312"/>
                <w:i w:val="0"/>
                <w:iCs w:val="0"/>
                <w:color w:val="000000"/>
                <w:sz w:val="28"/>
                <w:szCs w:val="28"/>
                <w:u w:val="none"/>
              </w:rPr>
            </w:pPr>
          </w:p>
        </w:tc>
      </w:tr>
      <w:tr w14:paraId="1F81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9BD2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效益</w:t>
            </w:r>
          </w:p>
        </w:tc>
        <w:tc>
          <w:tcPr>
            <w:tcW w:w="1482"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1FFA420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项目效益</w:t>
            </w:r>
          </w:p>
        </w:tc>
        <w:tc>
          <w:tcPr>
            <w:tcW w:w="2247" w:type="dxa"/>
            <w:tcBorders>
              <w:top w:val="single" w:color="auto" w:sz="4" w:space="0"/>
              <w:left w:val="single" w:color="auto" w:sz="4" w:space="0"/>
              <w:bottom w:val="single" w:color="auto" w:sz="4" w:space="0"/>
              <w:right w:val="single" w:color="auto" w:sz="4" w:space="0"/>
            </w:tcBorders>
            <w:shd w:val="clear" w:color="auto" w:fill="auto"/>
            <w:vAlign w:val="center"/>
          </w:tcPr>
          <w:p w14:paraId="2313F520">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提升体育专业师资整体素质≥90%</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58CF8AD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76EC96D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4.08 </w:t>
            </w:r>
          </w:p>
        </w:tc>
        <w:tc>
          <w:tcPr>
            <w:tcW w:w="3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1D7299">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p>
        </w:tc>
      </w:tr>
      <w:tr w14:paraId="1452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98F11">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3A23B826">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auto" w:sz="4" w:space="0"/>
              <w:left w:val="single" w:color="auto" w:sz="4" w:space="0"/>
              <w:bottom w:val="single" w:color="auto" w:sz="4" w:space="0"/>
              <w:right w:val="single" w:color="auto" w:sz="4" w:space="0"/>
            </w:tcBorders>
            <w:shd w:val="clear" w:color="auto" w:fill="auto"/>
            <w:vAlign w:val="center"/>
          </w:tcPr>
          <w:p w14:paraId="0E481D4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对竞技体育可持续发展影响程度≥90%</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7A360A3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30B59CF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4.08 </w:t>
            </w:r>
          </w:p>
        </w:tc>
        <w:tc>
          <w:tcPr>
            <w:tcW w:w="3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59862A">
            <w:pPr>
              <w:jc w:val="center"/>
              <w:rPr>
                <w:rFonts w:hint="eastAsia" w:ascii="仿宋_GB2312" w:hAnsi="仿宋_GB2312" w:eastAsia="仿宋_GB2312" w:cs="仿宋_GB2312"/>
                <w:i w:val="0"/>
                <w:iCs w:val="0"/>
                <w:color w:val="000000"/>
                <w:sz w:val="28"/>
                <w:szCs w:val="28"/>
                <w:u w:val="none"/>
              </w:rPr>
            </w:pPr>
          </w:p>
        </w:tc>
      </w:tr>
      <w:tr w14:paraId="2EBB9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10237">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3D5172F">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auto" w:sz="4" w:space="0"/>
              <w:left w:val="single" w:color="auto" w:sz="4" w:space="0"/>
              <w:bottom w:val="single" w:color="auto" w:sz="4" w:space="0"/>
              <w:right w:val="single" w:color="auto" w:sz="4" w:space="0"/>
            </w:tcBorders>
            <w:shd w:val="clear" w:color="auto" w:fill="auto"/>
            <w:vAlign w:val="center"/>
          </w:tcPr>
          <w:p w14:paraId="0367C86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提升整体教学能力≥90%</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335D246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72732B0A">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8.52 </w:t>
            </w:r>
          </w:p>
        </w:tc>
        <w:tc>
          <w:tcPr>
            <w:tcW w:w="3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418B4E">
            <w:pPr>
              <w:jc w:val="center"/>
              <w:rPr>
                <w:rFonts w:hint="eastAsia" w:ascii="仿宋_GB2312" w:hAnsi="仿宋_GB2312" w:eastAsia="仿宋_GB2312" w:cs="仿宋_GB2312"/>
                <w:i w:val="0"/>
                <w:iCs w:val="0"/>
                <w:color w:val="000000"/>
                <w:sz w:val="28"/>
                <w:szCs w:val="28"/>
                <w:u w:val="none"/>
              </w:rPr>
            </w:pPr>
          </w:p>
        </w:tc>
      </w:tr>
      <w:tr w14:paraId="7946B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81F8F">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865B5">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auto" w:sz="4" w:space="0"/>
              <w:left w:val="single" w:color="000000" w:sz="4" w:space="0"/>
              <w:bottom w:val="single" w:color="000000" w:sz="4" w:space="0"/>
              <w:right w:val="single" w:color="000000" w:sz="4" w:space="0"/>
            </w:tcBorders>
            <w:shd w:val="clear" w:color="auto" w:fill="auto"/>
            <w:vAlign w:val="center"/>
          </w:tcPr>
          <w:p w14:paraId="5B1D838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教师满意度≥90%</w:t>
            </w:r>
          </w:p>
        </w:tc>
        <w:tc>
          <w:tcPr>
            <w:tcW w:w="911" w:type="dxa"/>
            <w:tcBorders>
              <w:top w:val="single" w:color="auto" w:sz="4" w:space="0"/>
              <w:left w:val="single" w:color="000000" w:sz="4" w:space="0"/>
              <w:bottom w:val="single" w:color="000000" w:sz="4" w:space="0"/>
              <w:right w:val="single" w:color="000000" w:sz="4" w:space="0"/>
            </w:tcBorders>
            <w:shd w:val="clear" w:color="auto" w:fill="auto"/>
            <w:vAlign w:val="center"/>
          </w:tcPr>
          <w:p w14:paraId="47AB506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975" w:type="dxa"/>
            <w:tcBorders>
              <w:top w:val="single" w:color="auto" w:sz="4" w:space="0"/>
              <w:left w:val="single" w:color="000000" w:sz="4" w:space="0"/>
              <w:bottom w:val="single" w:color="000000" w:sz="4" w:space="0"/>
              <w:right w:val="single" w:color="000000" w:sz="4" w:space="0"/>
            </w:tcBorders>
            <w:shd w:val="clear" w:color="auto" w:fill="auto"/>
            <w:vAlign w:val="center"/>
          </w:tcPr>
          <w:p w14:paraId="5E1CDE3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4.60 </w:t>
            </w:r>
          </w:p>
        </w:tc>
        <w:tc>
          <w:tcPr>
            <w:tcW w:w="3084"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5973677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优化满意度调查方式方法</w:t>
            </w:r>
          </w:p>
        </w:tc>
      </w:tr>
      <w:tr w14:paraId="0FA1C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3C354">
            <w:pPr>
              <w:jc w:val="center"/>
              <w:rPr>
                <w:rFonts w:hint="eastAsia" w:ascii="仿宋_GB2312" w:hAnsi="仿宋_GB2312" w:eastAsia="仿宋_GB2312" w:cs="仿宋_GB2312"/>
                <w:i w:val="0"/>
                <w:iCs w:val="0"/>
                <w:color w:val="000000"/>
                <w:sz w:val="28"/>
                <w:szCs w:val="28"/>
                <w:u w:val="none"/>
              </w:rPr>
            </w:pPr>
          </w:p>
        </w:tc>
        <w:tc>
          <w:tcPr>
            <w:tcW w:w="14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CCD2">
            <w:pPr>
              <w:jc w:val="center"/>
              <w:rPr>
                <w:rFonts w:hint="eastAsia" w:ascii="仿宋_GB2312" w:hAnsi="仿宋_GB2312" w:eastAsia="仿宋_GB2312" w:cs="仿宋_GB2312"/>
                <w:i w:val="0"/>
                <w:iCs w:val="0"/>
                <w:color w:val="000000"/>
                <w:sz w:val="28"/>
                <w:szCs w:val="28"/>
                <w:u w:val="none"/>
              </w:rPr>
            </w:pPr>
          </w:p>
        </w:tc>
        <w:tc>
          <w:tcPr>
            <w:tcW w:w="2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A04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学生满意度≥90%</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DA9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8A7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 4.60 </w:t>
            </w:r>
          </w:p>
        </w:tc>
        <w:tc>
          <w:tcPr>
            <w:tcW w:w="30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C46AD">
            <w:pPr>
              <w:jc w:val="center"/>
              <w:rPr>
                <w:rFonts w:hint="eastAsia" w:ascii="仿宋_GB2312" w:hAnsi="仿宋_GB2312" w:eastAsia="仿宋_GB2312" w:cs="仿宋_GB2312"/>
                <w:i w:val="0"/>
                <w:iCs w:val="0"/>
                <w:color w:val="000000"/>
                <w:sz w:val="28"/>
                <w:szCs w:val="28"/>
                <w:u w:val="none"/>
              </w:rPr>
            </w:pPr>
          </w:p>
        </w:tc>
      </w:tr>
      <w:tr w14:paraId="2A845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9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E7DC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合计</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D4BA">
            <w:pPr>
              <w:jc w:val="center"/>
              <w:rPr>
                <w:rFonts w:hint="eastAsia" w:ascii="仿宋_GB2312" w:hAnsi="仿宋_GB2312" w:eastAsia="仿宋_GB2312" w:cs="仿宋_GB2312"/>
                <w:b/>
                <w:bCs/>
                <w:i w:val="0"/>
                <w:iCs w:val="0"/>
                <w:color w:val="000000"/>
                <w:sz w:val="28"/>
                <w:szCs w:val="28"/>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128B">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100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2E0F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 xml:space="preserve">91.15 </w:t>
            </w:r>
          </w:p>
        </w:tc>
        <w:tc>
          <w:tcPr>
            <w:tcW w:w="3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BA99">
            <w:pPr>
              <w:jc w:val="center"/>
              <w:rPr>
                <w:rFonts w:hint="eastAsia" w:ascii="仿宋_GB2312" w:hAnsi="仿宋_GB2312" w:eastAsia="仿宋_GB2312" w:cs="仿宋_GB2312"/>
                <w:b/>
                <w:bCs/>
                <w:i w:val="0"/>
                <w:iCs w:val="0"/>
                <w:color w:val="000000"/>
                <w:sz w:val="28"/>
                <w:szCs w:val="28"/>
                <w:u w:val="none"/>
              </w:rPr>
            </w:pPr>
          </w:p>
        </w:tc>
      </w:tr>
    </w:tbl>
    <w:p w14:paraId="04ADF932">
      <w:pPr>
        <w:pStyle w:val="18"/>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Leelawadee UI">
    <w:panose1 w:val="020B0502040204020203"/>
    <w:charset w:val="00"/>
    <w:family w:val="swiss"/>
    <w:pitch w:val="default"/>
    <w:sig w:usb0="83000003" w:usb1="00000000" w:usb2="00010000" w:usb3="00000001" w:csb0="000101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2267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F2B13">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ED1BA">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EDED1BA">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0ODE3ZDJjYTFlNWYxZWJiNGJjZmVkN2ViZjk5YzgifQ=="/>
  </w:docVars>
  <w:rsids>
    <w:rsidRoot w:val="00000000"/>
    <w:rsid w:val="00B06E28"/>
    <w:rsid w:val="028247F4"/>
    <w:rsid w:val="03A110EC"/>
    <w:rsid w:val="094B693A"/>
    <w:rsid w:val="09677947"/>
    <w:rsid w:val="09EB0ED1"/>
    <w:rsid w:val="0D674D12"/>
    <w:rsid w:val="182757CA"/>
    <w:rsid w:val="18294A9A"/>
    <w:rsid w:val="193A3FCE"/>
    <w:rsid w:val="19566367"/>
    <w:rsid w:val="22721D38"/>
    <w:rsid w:val="22F96537"/>
    <w:rsid w:val="246A758B"/>
    <w:rsid w:val="24C74328"/>
    <w:rsid w:val="25A64EF2"/>
    <w:rsid w:val="2976035F"/>
    <w:rsid w:val="2EBD258D"/>
    <w:rsid w:val="2F2820FC"/>
    <w:rsid w:val="32A95302"/>
    <w:rsid w:val="33596D28"/>
    <w:rsid w:val="3432509E"/>
    <w:rsid w:val="37355BF1"/>
    <w:rsid w:val="37DE5A4E"/>
    <w:rsid w:val="3AF26516"/>
    <w:rsid w:val="3F5B1501"/>
    <w:rsid w:val="417A6699"/>
    <w:rsid w:val="46DA1E70"/>
    <w:rsid w:val="47833F1C"/>
    <w:rsid w:val="47D92317"/>
    <w:rsid w:val="4B200508"/>
    <w:rsid w:val="4EC372F3"/>
    <w:rsid w:val="53A05E55"/>
    <w:rsid w:val="57B95737"/>
    <w:rsid w:val="59170968"/>
    <w:rsid w:val="5C894B1F"/>
    <w:rsid w:val="5CBC3C31"/>
    <w:rsid w:val="5ED115B9"/>
    <w:rsid w:val="60F24DA4"/>
    <w:rsid w:val="623600B0"/>
    <w:rsid w:val="668C4743"/>
    <w:rsid w:val="67535261"/>
    <w:rsid w:val="6A681023"/>
    <w:rsid w:val="6E4C2C29"/>
    <w:rsid w:val="6FE6674B"/>
    <w:rsid w:val="756910A6"/>
    <w:rsid w:val="78CC4E73"/>
    <w:rsid w:val="79246A5D"/>
    <w:rsid w:val="7AAB1EEF"/>
    <w:rsid w:val="7B0408F4"/>
    <w:rsid w:val="7F1749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nhideWhenUsed="0" w:uiPriority="0" w:name="index 9"/>
    <w:lsdException w:qFormat="1" w:uiPriority="39" w:semiHidden="0" w:name="toc 1"/>
    <w:lsdException w:qFormat="1" w:uiPriority="39" w:semiHidden="0" w:name="toc 2"/>
    <w:lsdException w:qFormat="1"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4"/>
    <w:basedOn w:val="1"/>
    <w:next w:val="1"/>
    <w:autoRedefine/>
    <w:qFormat/>
    <w:uiPriority w:val="0"/>
    <w:pPr>
      <w:keepNext/>
      <w:keepLines/>
      <w:spacing w:before="280" w:after="290" w:line="372" w:lineRule="auto"/>
      <w:outlineLvl w:val="3"/>
    </w:pPr>
    <w:rPr>
      <w:rFonts w:ascii="Cambria" w:hAnsi="Cambria" w:cs="Cambria"/>
      <w:b/>
      <w:bCs/>
      <w:sz w:val="28"/>
      <w:szCs w:val="28"/>
    </w:rPr>
  </w:style>
  <w:style w:type="character" w:default="1" w:styleId="21">
    <w:name w:val="Default Paragraph Font"/>
    <w:autoRedefine/>
    <w:unhideWhenUsed/>
    <w:qFormat/>
    <w:uiPriority w:val="1"/>
  </w:style>
  <w:style w:type="table" w:default="1" w:styleId="19">
    <w:name w:val="Normal Table"/>
    <w:autoRedefine/>
    <w:unhideWhenUsed/>
    <w:qFormat/>
    <w:uiPriority w:val="99"/>
    <w:tblPr>
      <w:tblCellMar>
        <w:top w:w="0" w:type="dxa"/>
        <w:left w:w="108" w:type="dxa"/>
        <w:bottom w:w="0" w:type="dxa"/>
        <w:right w:w="108" w:type="dxa"/>
      </w:tblCellMar>
    </w:tblPr>
  </w:style>
  <w:style w:type="paragraph" w:styleId="2">
    <w:name w:val="Title"/>
    <w:basedOn w:val="1"/>
    <w:next w:val="3"/>
    <w:autoRedefine/>
    <w:qFormat/>
    <w:uiPriority w:val="0"/>
    <w:pPr>
      <w:spacing w:before="240" w:after="60"/>
      <w:jc w:val="center"/>
      <w:outlineLvl w:val="0"/>
    </w:pPr>
    <w:rPr>
      <w:rFonts w:ascii="Cambria" w:hAnsi="Cambria"/>
      <w:b/>
      <w:bCs/>
      <w:sz w:val="32"/>
      <w:szCs w:val="32"/>
    </w:rPr>
  </w:style>
  <w:style w:type="paragraph" w:styleId="3">
    <w:name w:val="Body Text Indent"/>
    <w:basedOn w:val="1"/>
    <w:next w:val="1"/>
    <w:autoRedefine/>
    <w:qFormat/>
    <w:uiPriority w:val="0"/>
    <w:pPr>
      <w:tabs>
        <w:tab w:val="left" w:pos="2880"/>
      </w:tabs>
      <w:spacing w:line="360" w:lineRule="auto"/>
      <w:ind w:firstLine="480" w:firstLineChars="200"/>
    </w:pPr>
    <w:rPr>
      <w:rFonts w:ascii="Times New Roman" w:hAnsi="Times New Roman"/>
      <w:bCs/>
      <w:kern w:val="0"/>
      <w:sz w:val="24"/>
      <w:szCs w:val="20"/>
    </w:rPr>
  </w:style>
  <w:style w:type="paragraph" w:styleId="5">
    <w:name w:val="Normal Indent"/>
    <w:basedOn w:val="1"/>
    <w:autoRedefine/>
    <w:qFormat/>
    <w:uiPriority w:val="0"/>
    <w:pPr>
      <w:ind w:firstLine="200" w:firstLineChars="200"/>
    </w:pPr>
  </w:style>
  <w:style w:type="paragraph" w:styleId="6">
    <w:name w:val="annotation text"/>
    <w:basedOn w:val="1"/>
    <w:link w:val="27"/>
    <w:autoRedefine/>
    <w:qFormat/>
    <w:uiPriority w:val="0"/>
    <w:pPr>
      <w:jc w:val="left"/>
    </w:pPr>
  </w:style>
  <w:style w:type="paragraph" w:styleId="7">
    <w:name w:val="Body Text"/>
    <w:basedOn w:val="1"/>
    <w:autoRedefine/>
    <w:qFormat/>
    <w:uiPriority w:val="1"/>
    <w:pPr>
      <w:spacing w:before="48"/>
      <w:ind w:left="111"/>
    </w:pPr>
    <w:rPr>
      <w:rFonts w:ascii="仿宋" w:hAnsi="仿宋" w:eastAsia="仿宋"/>
      <w:sz w:val="32"/>
      <w:szCs w:val="32"/>
    </w:rPr>
  </w:style>
  <w:style w:type="paragraph" w:styleId="8">
    <w:name w:val="toc 3"/>
    <w:basedOn w:val="1"/>
    <w:next w:val="1"/>
    <w:autoRedefine/>
    <w:semiHidden/>
    <w:unhideWhenUsed/>
    <w:qFormat/>
    <w:uiPriority w:val="0"/>
    <w:pPr>
      <w:ind w:left="840" w:leftChars="400"/>
    </w:pPr>
  </w:style>
  <w:style w:type="paragraph" w:styleId="9">
    <w:name w:val="Balloon Text"/>
    <w:basedOn w:val="1"/>
    <w:link w:val="29"/>
    <w:autoRedefine/>
    <w:qFormat/>
    <w:uiPriority w:val="0"/>
    <w:rPr>
      <w:sz w:val="18"/>
      <w:szCs w:val="18"/>
    </w:rPr>
  </w:style>
  <w:style w:type="paragraph" w:styleId="10">
    <w:name w:val="footer"/>
    <w:basedOn w:val="1"/>
    <w:link w:val="30"/>
    <w:autoRedefine/>
    <w:unhideWhenUsed/>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unhideWhenUsed/>
    <w:qFormat/>
    <w:uiPriority w:val="39"/>
  </w:style>
  <w:style w:type="paragraph" w:styleId="13">
    <w:name w:val="index 9"/>
    <w:basedOn w:val="1"/>
    <w:next w:val="1"/>
    <w:autoRedefine/>
    <w:semiHidden/>
    <w:qFormat/>
    <w:uiPriority w:val="0"/>
    <w:pPr>
      <w:jc w:val="left"/>
    </w:pPr>
    <w:rPr>
      <w:rFonts w:ascii="仿宋_GB2312" w:eastAsia="仿宋_GB2312" w:cs="仿宋_GB2312"/>
      <w:sz w:val="32"/>
      <w:szCs w:val="32"/>
    </w:rPr>
  </w:style>
  <w:style w:type="paragraph" w:styleId="14">
    <w:name w:val="toc 2"/>
    <w:basedOn w:val="1"/>
    <w:next w:val="1"/>
    <w:autoRedefine/>
    <w:unhideWhenUsed/>
    <w:qFormat/>
    <w:uiPriority w:val="39"/>
    <w:pPr>
      <w:ind w:left="420" w:leftChars="200"/>
    </w:pPr>
  </w:style>
  <w:style w:type="paragraph" w:styleId="15">
    <w:name w:val="Normal (Web)"/>
    <w:basedOn w:val="1"/>
    <w:autoRedefine/>
    <w:qFormat/>
    <w:uiPriority w:val="0"/>
    <w:pPr>
      <w:spacing w:beforeAutospacing="1" w:afterAutospacing="1"/>
      <w:jc w:val="left"/>
    </w:pPr>
    <w:rPr>
      <w:kern w:val="0"/>
      <w:sz w:val="24"/>
    </w:rPr>
  </w:style>
  <w:style w:type="paragraph" w:styleId="16">
    <w:name w:val="annotation subject"/>
    <w:basedOn w:val="6"/>
    <w:next w:val="6"/>
    <w:link w:val="28"/>
    <w:autoRedefine/>
    <w:qFormat/>
    <w:uiPriority w:val="0"/>
    <w:rPr>
      <w:b/>
      <w:bCs/>
    </w:rPr>
  </w:style>
  <w:style w:type="paragraph" w:styleId="17">
    <w:name w:val="Body Text First Indent"/>
    <w:basedOn w:val="7"/>
    <w:autoRedefine/>
    <w:qFormat/>
    <w:uiPriority w:val="0"/>
    <w:pPr>
      <w:keepNext w:val="0"/>
      <w:keepLines w:val="0"/>
      <w:widowControl w:val="0"/>
      <w:suppressLineNumbers w:val="0"/>
      <w:spacing w:before="48" w:beforeAutospacing="0"/>
      <w:ind w:left="111" w:firstLine="420" w:firstLineChars="100"/>
      <w:jc w:val="both"/>
    </w:pPr>
    <w:rPr>
      <w:rFonts w:hint="default" w:ascii="仿宋" w:hAnsi="仿宋" w:eastAsia="仿宋" w:cs="Times New Roman"/>
      <w:kern w:val="2"/>
      <w:sz w:val="32"/>
      <w:szCs w:val="32"/>
      <w:lang w:val="en-US" w:eastAsia="zh-CN" w:bidi="ar"/>
    </w:rPr>
  </w:style>
  <w:style w:type="paragraph" w:styleId="18">
    <w:name w:val="Body Text First Indent 2"/>
    <w:basedOn w:val="3"/>
    <w:autoRedefine/>
    <w:qFormat/>
    <w:uiPriority w:val="0"/>
    <w:pPr>
      <w:ind w:firstLine="200" w:firstLine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Hyperlink"/>
    <w:autoRedefine/>
    <w:unhideWhenUsed/>
    <w:qFormat/>
    <w:uiPriority w:val="99"/>
    <w:rPr>
      <w:color w:val="0000FF"/>
      <w:u w:val="single"/>
    </w:rPr>
  </w:style>
  <w:style w:type="character" w:styleId="24">
    <w:name w:val="annotation reference"/>
    <w:basedOn w:val="21"/>
    <w:autoRedefine/>
    <w:qFormat/>
    <w:uiPriority w:val="0"/>
    <w:rPr>
      <w:sz w:val="21"/>
      <w:szCs w:val="21"/>
    </w:rPr>
  </w:style>
  <w:style w:type="paragraph" w:customStyle="1" w:styleId="25">
    <w:name w:val="WPSOffice手动目录 1"/>
    <w:autoRedefine/>
    <w:qFormat/>
    <w:uiPriority w:val="0"/>
    <w:rPr>
      <w:rFonts w:ascii="Times New Roman" w:hAnsi="Times New Roman" w:eastAsia="宋体" w:cs="Times New Roman"/>
      <w:lang w:val="en-US" w:eastAsia="zh-CN" w:bidi="ar-SA"/>
    </w:rPr>
  </w:style>
  <w:style w:type="paragraph" w:customStyle="1" w:styleId="26">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27">
    <w:name w:val="批注文字 Char"/>
    <w:basedOn w:val="21"/>
    <w:link w:val="6"/>
    <w:autoRedefine/>
    <w:qFormat/>
    <w:uiPriority w:val="0"/>
    <w:rPr>
      <w:kern w:val="2"/>
      <w:sz w:val="21"/>
      <w:szCs w:val="22"/>
    </w:rPr>
  </w:style>
  <w:style w:type="character" w:customStyle="1" w:styleId="28">
    <w:name w:val="批注主题 Char"/>
    <w:basedOn w:val="27"/>
    <w:link w:val="16"/>
    <w:autoRedefine/>
    <w:qFormat/>
    <w:uiPriority w:val="0"/>
    <w:rPr>
      <w:b/>
      <w:bCs/>
      <w:kern w:val="2"/>
      <w:sz w:val="21"/>
      <w:szCs w:val="22"/>
    </w:rPr>
  </w:style>
  <w:style w:type="character" w:customStyle="1" w:styleId="29">
    <w:name w:val="批注框文本 Char"/>
    <w:basedOn w:val="21"/>
    <w:link w:val="9"/>
    <w:autoRedefine/>
    <w:qFormat/>
    <w:uiPriority w:val="0"/>
    <w:rPr>
      <w:kern w:val="2"/>
      <w:sz w:val="18"/>
      <w:szCs w:val="18"/>
    </w:rPr>
  </w:style>
  <w:style w:type="character" w:customStyle="1" w:styleId="30">
    <w:name w:val="页脚 Char"/>
    <w:basedOn w:val="21"/>
    <w:link w:val="10"/>
    <w:autoRedefine/>
    <w:qFormat/>
    <w:uiPriority w:val="99"/>
    <w:rPr>
      <w:kern w:val="2"/>
      <w:sz w:val="18"/>
      <w:szCs w:val="18"/>
    </w:rPr>
  </w:style>
  <w:style w:type="paragraph" w:customStyle="1" w:styleId="31">
    <w:name w:val="修订1"/>
    <w:autoRedefine/>
    <w:hidden/>
    <w:semiHidden/>
    <w:qFormat/>
    <w:uiPriority w:val="99"/>
    <w:rPr>
      <w:rFonts w:ascii="Times New Roman" w:hAnsi="Times New Roman" w:eastAsia="宋体" w:cs="Times New Roman"/>
      <w:kern w:val="2"/>
      <w:sz w:val="21"/>
      <w:szCs w:val="22"/>
      <w:lang w:val="en-US" w:eastAsia="zh-CN" w:bidi="ar-SA"/>
    </w:rPr>
  </w:style>
  <w:style w:type="character" w:customStyle="1" w:styleId="32">
    <w:name w:val="font01"/>
    <w:basedOn w:val="21"/>
    <w:autoRedefine/>
    <w:qFormat/>
    <w:uiPriority w:val="0"/>
    <w:rPr>
      <w:rFonts w:hint="eastAsia" w:ascii="宋体" w:hAnsi="宋体" w:eastAsia="宋体" w:cs="宋体"/>
      <w:color w:val="000000"/>
      <w:sz w:val="22"/>
      <w:szCs w:val="22"/>
      <w:u w:val="none"/>
    </w:rPr>
  </w:style>
  <w:style w:type="character" w:customStyle="1" w:styleId="33">
    <w:name w:val="font21"/>
    <w:basedOn w:val="21"/>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7808</Words>
  <Characters>8667</Characters>
  <Lines>84</Lines>
  <Paragraphs>23</Paragraphs>
  <TotalTime>3</TotalTime>
  <ScaleCrop>false</ScaleCrop>
  <LinksUpToDate>false</LinksUpToDate>
  <CharactersWithSpaces>8847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2023-05-18T16:31:00Z</dcterms:created>
  <dc:creator>admin</dc:creator>
  <cp:lastModifiedBy>匿名用户</cp:lastModifiedBy>
  <cp:lastPrinted>2022-05-29T20:22:00Z</cp:lastPrinted>
  <dcterms:modified xsi:type="dcterms:W3CDTF">2024-08-23T01:51:28Z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E2873840CECB44CEB176077C1197F80B_13</vt:lpwstr>
  </property>
</Properties>
</file>