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07DA8">
      <w:pPr>
        <w:spacing w:line="560" w:lineRule="exact"/>
        <w:jc w:val="center"/>
        <w:rPr>
          <w:rFonts w:ascii="方正小标宋简体" w:eastAsia="方正小标宋简体"/>
          <w:sz w:val="36"/>
          <w:szCs w:val="36"/>
        </w:rPr>
      </w:pPr>
    </w:p>
    <w:p w14:paraId="59D201F0">
      <w:pPr>
        <w:pStyle w:val="2"/>
        <w:ind w:firstLine="720"/>
        <w:rPr>
          <w:rFonts w:ascii="方正小标宋简体" w:eastAsia="方正小标宋简体"/>
          <w:sz w:val="36"/>
          <w:szCs w:val="36"/>
        </w:rPr>
      </w:pPr>
    </w:p>
    <w:p w14:paraId="446CC349">
      <w:pPr>
        <w:pStyle w:val="2"/>
        <w:ind w:firstLine="720"/>
        <w:rPr>
          <w:rFonts w:ascii="方正小标宋简体" w:eastAsia="方正小标宋简体"/>
          <w:sz w:val="36"/>
          <w:szCs w:val="36"/>
        </w:rPr>
      </w:pPr>
    </w:p>
    <w:p w14:paraId="7B079852">
      <w:pPr>
        <w:spacing w:after="240" w:line="560" w:lineRule="exact"/>
        <w:jc w:val="center"/>
        <w:rPr>
          <w:rFonts w:hint="eastAsia" w:ascii="方正小标宋简体" w:hAnsi="方正小标宋简体" w:eastAsia="方正小标宋简体" w:cs="方正小标宋简体"/>
          <w:bCs/>
          <w:sz w:val="52"/>
          <w:szCs w:val="52"/>
        </w:rPr>
      </w:pPr>
      <w:bookmarkStart w:id="0" w:name="_Toc22920"/>
      <w:r>
        <w:rPr>
          <w:rFonts w:hint="eastAsia" w:ascii="方正小标宋简体" w:hAnsi="方正小标宋简体" w:eastAsia="方正小标宋简体" w:cs="方正小标宋简体"/>
          <w:bCs/>
          <w:sz w:val="52"/>
          <w:szCs w:val="52"/>
          <w:lang w:bidi="ar"/>
        </w:rPr>
        <w:t>北京市体育局</w:t>
      </w:r>
      <w:bookmarkEnd w:id="0"/>
    </w:p>
    <w:p w14:paraId="0D15E2A5">
      <w:pPr>
        <w:spacing w:after="240" w:line="560" w:lineRule="exact"/>
        <w:jc w:val="center"/>
        <w:rPr>
          <w:rFonts w:hint="eastAsia" w:ascii="宋体" w:hAnsi="宋体" w:cs="宋体"/>
          <w:b/>
          <w:bCs/>
          <w:sz w:val="52"/>
          <w:szCs w:val="52"/>
        </w:rPr>
      </w:pPr>
      <w:r>
        <w:rPr>
          <w:rFonts w:hint="eastAsia" w:ascii="方正小标宋简体" w:hAnsi="方正小标宋简体" w:eastAsia="方正小标宋简体" w:cs="方正小标宋简体"/>
          <w:bCs/>
          <w:sz w:val="52"/>
          <w:szCs w:val="52"/>
          <w:lang w:bidi="ar"/>
        </w:rPr>
        <w:t>2024年度部门整体绩效评价报告</w:t>
      </w:r>
    </w:p>
    <w:p w14:paraId="201AD1F0">
      <w:pPr>
        <w:pStyle w:val="2"/>
        <w:ind w:firstLine="720"/>
        <w:rPr>
          <w:rFonts w:ascii="方正小标宋简体" w:eastAsia="方正小标宋简体"/>
          <w:sz w:val="36"/>
          <w:szCs w:val="36"/>
        </w:rPr>
      </w:pPr>
    </w:p>
    <w:p w14:paraId="6425704E">
      <w:pPr>
        <w:pStyle w:val="2"/>
        <w:ind w:firstLine="720"/>
        <w:rPr>
          <w:rFonts w:ascii="方正小标宋简体" w:eastAsia="方正小标宋简体"/>
          <w:sz w:val="36"/>
          <w:szCs w:val="36"/>
        </w:rPr>
      </w:pPr>
    </w:p>
    <w:p w14:paraId="07971586">
      <w:pPr>
        <w:pStyle w:val="2"/>
        <w:ind w:firstLine="720"/>
        <w:rPr>
          <w:rFonts w:ascii="方正小标宋简体" w:eastAsia="方正小标宋简体"/>
          <w:sz w:val="36"/>
          <w:szCs w:val="36"/>
        </w:rPr>
      </w:pPr>
    </w:p>
    <w:p w14:paraId="66196233">
      <w:pPr>
        <w:pStyle w:val="2"/>
        <w:ind w:firstLine="720"/>
        <w:rPr>
          <w:rFonts w:ascii="方正小标宋简体" w:eastAsia="方正小标宋简体"/>
          <w:sz w:val="36"/>
          <w:szCs w:val="36"/>
        </w:rPr>
      </w:pPr>
    </w:p>
    <w:p w14:paraId="5B88D998">
      <w:pPr>
        <w:pStyle w:val="2"/>
        <w:ind w:firstLine="720"/>
        <w:rPr>
          <w:rFonts w:ascii="方正小标宋简体" w:eastAsia="方正小标宋简体"/>
          <w:sz w:val="36"/>
          <w:szCs w:val="36"/>
        </w:rPr>
      </w:pPr>
    </w:p>
    <w:p w14:paraId="33485580">
      <w:pPr>
        <w:pStyle w:val="2"/>
        <w:ind w:firstLine="720"/>
        <w:rPr>
          <w:rFonts w:ascii="方正小标宋简体" w:eastAsia="方正小标宋简体"/>
          <w:sz w:val="36"/>
          <w:szCs w:val="36"/>
        </w:rPr>
      </w:pPr>
    </w:p>
    <w:p w14:paraId="4B938008">
      <w:pPr>
        <w:pStyle w:val="2"/>
        <w:ind w:firstLine="720"/>
        <w:rPr>
          <w:rFonts w:ascii="方正小标宋简体" w:eastAsia="方正小标宋简体"/>
          <w:sz w:val="36"/>
          <w:szCs w:val="36"/>
        </w:rPr>
      </w:pPr>
    </w:p>
    <w:p w14:paraId="66EA7EEC">
      <w:pPr>
        <w:pStyle w:val="2"/>
        <w:ind w:firstLine="720"/>
        <w:rPr>
          <w:rFonts w:ascii="方正小标宋简体" w:eastAsia="方正小标宋简体"/>
          <w:sz w:val="36"/>
          <w:szCs w:val="36"/>
        </w:rPr>
      </w:pPr>
    </w:p>
    <w:p w14:paraId="5BA58062">
      <w:pPr>
        <w:spacing w:line="480" w:lineRule="auto"/>
        <w:rPr>
          <w:rFonts w:hint="eastAsia" w:ascii="仿宋_GB2312" w:hAnsi="仿宋_GB2312" w:eastAsia="仿宋_GB2312" w:cs="仿宋_GB2312"/>
          <w:b/>
          <w:bCs/>
          <w:sz w:val="32"/>
          <w:szCs w:val="32"/>
          <w:lang w:bidi="ar"/>
        </w:rPr>
      </w:pPr>
    </w:p>
    <w:p w14:paraId="26B7863E">
      <w:pPr>
        <w:spacing w:line="480" w:lineRule="auto"/>
        <w:jc w:val="center"/>
        <w:rPr>
          <w:rFonts w:hint="eastAsia" w:ascii="仿宋_GB2312" w:hAnsi="仿宋_GB2312" w:eastAsia="仿宋_GB2312" w:cs="仿宋_GB2312"/>
          <w:b/>
          <w:bCs/>
          <w:sz w:val="32"/>
          <w:szCs w:val="32"/>
          <w:lang w:bidi="ar"/>
        </w:rPr>
        <w:sectPr>
          <w:footerReference r:id="rId3" w:type="default"/>
          <w:pgSz w:w="11906" w:h="16838"/>
          <w:pgMar w:top="2098" w:right="1474" w:bottom="1984" w:left="1587" w:header="851" w:footer="964" w:gutter="0"/>
          <w:pgBorders>
            <w:top w:val="none" w:sz="0" w:space="0"/>
            <w:left w:val="none" w:sz="0" w:space="0"/>
            <w:bottom w:val="none" w:sz="0" w:space="0"/>
            <w:right w:val="none" w:sz="0" w:space="0"/>
          </w:pgBorders>
          <w:pgNumType w:start="1"/>
          <w:cols w:space="425" w:num="1"/>
          <w:docGrid w:type="lines" w:linePitch="435" w:charSpace="0"/>
        </w:sectPr>
      </w:pPr>
      <w:r>
        <w:rPr>
          <w:rFonts w:hint="eastAsia" w:ascii="仿宋_GB2312" w:hAnsi="仿宋_GB2312" w:eastAsia="仿宋_GB2312" w:cs="仿宋_GB2312"/>
          <w:b/>
          <w:bCs/>
          <w:sz w:val="32"/>
          <w:szCs w:val="32"/>
          <w:lang w:bidi="ar"/>
        </w:rPr>
        <w:t>2025年5月</w:t>
      </w:r>
    </w:p>
    <w:sdt>
      <w:sdtPr>
        <w:rPr>
          <w:rFonts w:ascii="宋体" w:hAnsi="宋体"/>
        </w:rPr>
        <w:id w:val="147456544"/>
        <w15:color w:val="DBDBDB"/>
        <w:docPartObj>
          <w:docPartGallery w:val="Table of Contents"/>
          <w:docPartUnique/>
        </w:docPartObj>
      </w:sdtPr>
      <w:sdtEndPr>
        <w:rPr>
          <w:rFonts w:hint="eastAsia" w:ascii="Calibri" w:hAnsi="Calibri"/>
          <w:lang w:bidi="ar"/>
        </w:rPr>
      </w:sdtEndPr>
      <w:sdtContent>
        <w:p w14:paraId="1A289067">
          <w:pPr>
            <w:spacing w:line="560" w:lineRule="exact"/>
            <w:jc w:val="center"/>
            <w:rPr>
              <w:sz w:val="32"/>
              <w:szCs w:val="32"/>
            </w:rPr>
          </w:pPr>
          <w:r>
            <w:rPr>
              <w:rFonts w:ascii="宋体" w:hAnsi="宋体"/>
              <w:sz w:val="32"/>
              <w:szCs w:val="32"/>
            </w:rPr>
            <w:t>目录</w:t>
          </w:r>
        </w:p>
        <w:p w14:paraId="61F0AA20">
          <w:pPr>
            <w:pStyle w:val="8"/>
            <w:tabs>
              <w:tab w:val="right" w:leader="dot" w:pos="8306"/>
            </w:tabs>
            <w:spacing w:line="560" w:lineRule="exact"/>
            <w:rPr>
              <w:sz w:val="32"/>
              <w:szCs w:val="32"/>
            </w:rPr>
          </w:pPr>
          <w:r>
            <w:rPr>
              <w:rFonts w:hint="eastAsia"/>
              <w:sz w:val="32"/>
              <w:szCs w:val="32"/>
            </w:rPr>
            <w:fldChar w:fldCharType="begin"/>
          </w:r>
          <w:r>
            <w:rPr>
              <w:rFonts w:hint="eastAsia"/>
              <w:sz w:val="32"/>
              <w:szCs w:val="32"/>
            </w:rPr>
            <w:instrText xml:space="preserve">TOC \o "1-2" \h \u </w:instrText>
          </w:r>
          <w:r>
            <w:rPr>
              <w:rFonts w:hint="eastAsia"/>
              <w:sz w:val="32"/>
              <w:szCs w:val="32"/>
            </w:rPr>
            <w:fldChar w:fldCharType="separate"/>
          </w:r>
          <w:r>
            <w:fldChar w:fldCharType="begin"/>
          </w:r>
          <w:r>
            <w:instrText xml:space="preserve"> HYPERLINK \l "_Toc9281" </w:instrText>
          </w:r>
          <w:r>
            <w:fldChar w:fldCharType="separate"/>
          </w:r>
          <w:r>
            <w:rPr>
              <w:rFonts w:hint="eastAsia" w:ascii="黑体" w:hAnsi="黑体" w:eastAsia="黑体" w:cs="宋体"/>
              <w:kern w:val="0"/>
              <w:sz w:val="32"/>
              <w:szCs w:val="32"/>
            </w:rPr>
            <w:t>一、部门概况</w:t>
          </w:r>
          <w:r>
            <w:rPr>
              <w:sz w:val="32"/>
              <w:szCs w:val="32"/>
            </w:rPr>
            <w:tab/>
          </w:r>
          <w:r>
            <w:rPr>
              <w:sz w:val="32"/>
              <w:szCs w:val="32"/>
            </w:rPr>
            <w:fldChar w:fldCharType="begin"/>
          </w:r>
          <w:r>
            <w:rPr>
              <w:sz w:val="32"/>
              <w:szCs w:val="32"/>
            </w:rPr>
            <w:instrText xml:space="preserve"> PAGEREF _Toc9281 \h </w:instrText>
          </w:r>
          <w:r>
            <w:rPr>
              <w:sz w:val="32"/>
              <w:szCs w:val="32"/>
            </w:rPr>
            <w:fldChar w:fldCharType="separate"/>
          </w:r>
          <w:r>
            <w:rPr>
              <w:sz w:val="32"/>
              <w:szCs w:val="32"/>
            </w:rPr>
            <w:t>1</w:t>
          </w:r>
          <w:r>
            <w:rPr>
              <w:sz w:val="32"/>
              <w:szCs w:val="32"/>
            </w:rPr>
            <w:fldChar w:fldCharType="end"/>
          </w:r>
          <w:r>
            <w:rPr>
              <w:sz w:val="32"/>
              <w:szCs w:val="32"/>
            </w:rPr>
            <w:fldChar w:fldCharType="end"/>
          </w:r>
        </w:p>
        <w:p w14:paraId="3B44469C">
          <w:pPr>
            <w:pStyle w:val="9"/>
            <w:tabs>
              <w:tab w:val="right" w:leader="dot" w:pos="8306"/>
            </w:tabs>
            <w:spacing w:line="560" w:lineRule="exact"/>
            <w:rPr>
              <w:sz w:val="32"/>
              <w:szCs w:val="32"/>
            </w:rPr>
          </w:pPr>
          <w:r>
            <w:fldChar w:fldCharType="begin"/>
          </w:r>
          <w:r>
            <w:instrText xml:space="preserve"> HYPERLINK \l "_Toc12747" </w:instrText>
          </w:r>
          <w:r>
            <w:fldChar w:fldCharType="separate"/>
          </w:r>
          <w:r>
            <w:rPr>
              <w:rFonts w:hint="eastAsia" w:ascii="楷体_GB2312" w:eastAsia="楷体_GB2312"/>
              <w:sz w:val="32"/>
              <w:szCs w:val="32"/>
            </w:rPr>
            <w:t>（一）机构设置及职责工作任务情况</w:t>
          </w:r>
          <w:r>
            <w:rPr>
              <w:sz w:val="32"/>
              <w:szCs w:val="32"/>
            </w:rPr>
            <w:tab/>
          </w:r>
          <w:r>
            <w:rPr>
              <w:sz w:val="32"/>
              <w:szCs w:val="32"/>
            </w:rPr>
            <w:fldChar w:fldCharType="begin"/>
          </w:r>
          <w:r>
            <w:rPr>
              <w:sz w:val="32"/>
              <w:szCs w:val="32"/>
            </w:rPr>
            <w:instrText xml:space="preserve"> PAGEREF _Toc12747 \h </w:instrText>
          </w:r>
          <w:r>
            <w:rPr>
              <w:sz w:val="32"/>
              <w:szCs w:val="32"/>
            </w:rPr>
            <w:fldChar w:fldCharType="separate"/>
          </w:r>
          <w:r>
            <w:rPr>
              <w:sz w:val="32"/>
              <w:szCs w:val="32"/>
            </w:rPr>
            <w:t>1</w:t>
          </w:r>
          <w:r>
            <w:rPr>
              <w:sz w:val="32"/>
              <w:szCs w:val="32"/>
            </w:rPr>
            <w:fldChar w:fldCharType="end"/>
          </w:r>
          <w:r>
            <w:rPr>
              <w:sz w:val="32"/>
              <w:szCs w:val="32"/>
            </w:rPr>
            <w:fldChar w:fldCharType="end"/>
          </w:r>
        </w:p>
        <w:p w14:paraId="0B059BDC">
          <w:pPr>
            <w:pStyle w:val="9"/>
            <w:tabs>
              <w:tab w:val="right" w:leader="dot" w:pos="8306"/>
            </w:tabs>
            <w:spacing w:line="560" w:lineRule="exact"/>
            <w:rPr>
              <w:sz w:val="32"/>
              <w:szCs w:val="32"/>
            </w:rPr>
          </w:pPr>
          <w:r>
            <w:fldChar w:fldCharType="begin"/>
          </w:r>
          <w:r>
            <w:instrText xml:space="preserve"> HYPERLINK \l "_Toc13993" </w:instrText>
          </w:r>
          <w:r>
            <w:fldChar w:fldCharType="separate"/>
          </w:r>
          <w:r>
            <w:rPr>
              <w:rFonts w:hint="eastAsia" w:ascii="楷体_GB2312" w:eastAsia="楷体_GB2312"/>
              <w:sz w:val="32"/>
              <w:szCs w:val="32"/>
            </w:rPr>
            <w:t>（二） 部门整体绩效目标设立情况</w:t>
          </w:r>
          <w:r>
            <w:rPr>
              <w:sz w:val="32"/>
              <w:szCs w:val="32"/>
            </w:rPr>
            <w:tab/>
          </w:r>
          <w:r>
            <w:rPr>
              <w:sz w:val="32"/>
              <w:szCs w:val="32"/>
            </w:rPr>
            <w:fldChar w:fldCharType="begin"/>
          </w:r>
          <w:r>
            <w:rPr>
              <w:sz w:val="32"/>
              <w:szCs w:val="32"/>
            </w:rPr>
            <w:instrText xml:space="preserve"> PAGEREF _Toc13993 \h </w:instrText>
          </w:r>
          <w:r>
            <w:rPr>
              <w:sz w:val="32"/>
              <w:szCs w:val="32"/>
            </w:rPr>
            <w:fldChar w:fldCharType="separate"/>
          </w:r>
          <w:r>
            <w:rPr>
              <w:sz w:val="32"/>
              <w:szCs w:val="32"/>
            </w:rPr>
            <w:t>13</w:t>
          </w:r>
          <w:r>
            <w:rPr>
              <w:sz w:val="32"/>
              <w:szCs w:val="32"/>
            </w:rPr>
            <w:fldChar w:fldCharType="end"/>
          </w:r>
          <w:r>
            <w:rPr>
              <w:sz w:val="32"/>
              <w:szCs w:val="32"/>
            </w:rPr>
            <w:fldChar w:fldCharType="end"/>
          </w:r>
        </w:p>
        <w:p w14:paraId="4D0BFDDB">
          <w:pPr>
            <w:pStyle w:val="8"/>
            <w:tabs>
              <w:tab w:val="right" w:leader="dot" w:pos="8306"/>
            </w:tabs>
            <w:spacing w:line="560" w:lineRule="exact"/>
            <w:rPr>
              <w:sz w:val="32"/>
              <w:szCs w:val="32"/>
            </w:rPr>
          </w:pPr>
          <w:r>
            <w:fldChar w:fldCharType="begin"/>
          </w:r>
          <w:r>
            <w:instrText xml:space="preserve"> HYPERLINK \l "_Toc9997" </w:instrText>
          </w:r>
          <w:r>
            <w:fldChar w:fldCharType="separate"/>
          </w:r>
          <w:r>
            <w:rPr>
              <w:rFonts w:hint="eastAsia" w:ascii="黑体" w:hAnsi="黑体" w:eastAsia="黑体" w:cs="宋体"/>
              <w:kern w:val="0"/>
              <w:sz w:val="32"/>
              <w:szCs w:val="32"/>
            </w:rPr>
            <w:t>二、当年预算执行情况</w:t>
          </w:r>
          <w:r>
            <w:rPr>
              <w:sz w:val="32"/>
              <w:szCs w:val="32"/>
            </w:rPr>
            <w:tab/>
          </w:r>
          <w:r>
            <w:rPr>
              <w:sz w:val="32"/>
              <w:szCs w:val="32"/>
            </w:rPr>
            <w:fldChar w:fldCharType="begin"/>
          </w:r>
          <w:r>
            <w:rPr>
              <w:sz w:val="32"/>
              <w:szCs w:val="32"/>
            </w:rPr>
            <w:instrText xml:space="preserve"> PAGEREF _Toc9997 \h </w:instrText>
          </w:r>
          <w:r>
            <w:rPr>
              <w:sz w:val="32"/>
              <w:szCs w:val="32"/>
            </w:rPr>
            <w:fldChar w:fldCharType="separate"/>
          </w:r>
          <w:r>
            <w:rPr>
              <w:sz w:val="32"/>
              <w:szCs w:val="32"/>
            </w:rPr>
            <w:t>16</w:t>
          </w:r>
          <w:r>
            <w:rPr>
              <w:sz w:val="32"/>
              <w:szCs w:val="32"/>
            </w:rPr>
            <w:fldChar w:fldCharType="end"/>
          </w:r>
          <w:r>
            <w:rPr>
              <w:sz w:val="32"/>
              <w:szCs w:val="32"/>
            </w:rPr>
            <w:fldChar w:fldCharType="end"/>
          </w:r>
        </w:p>
        <w:p w14:paraId="11604072">
          <w:pPr>
            <w:pStyle w:val="8"/>
            <w:tabs>
              <w:tab w:val="right" w:leader="dot" w:pos="8306"/>
            </w:tabs>
            <w:spacing w:line="560" w:lineRule="exact"/>
            <w:rPr>
              <w:sz w:val="32"/>
              <w:szCs w:val="32"/>
            </w:rPr>
          </w:pPr>
          <w:r>
            <w:fldChar w:fldCharType="begin"/>
          </w:r>
          <w:r>
            <w:instrText xml:space="preserve"> HYPERLINK \l "_Toc663" </w:instrText>
          </w:r>
          <w:r>
            <w:fldChar w:fldCharType="separate"/>
          </w:r>
          <w:r>
            <w:rPr>
              <w:rFonts w:hint="eastAsia" w:ascii="黑体" w:hAnsi="黑体" w:eastAsia="黑体" w:cs="宋体"/>
              <w:kern w:val="0"/>
              <w:sz w:val="32"/>
              <w:szCs w:val="32"/>
            </w:rPr>
            <w:t>三、整体绩效目标实现情况</w:t>
          </w:r>
          <w:r>
            <w:rPr>
              <w:sz w:val="32"/>
              <w:szCs w:val="32"/>
            </w:rPr>
            <w:tab/>
          </w:r>
          <w:r>
            <w:rPr>
              <w:sz w:val="32"/>
              <w:szCs w:val="32"/>
            </w:rPr>
            <w:fldChar w:fldCharType="begin"/>
          </w:r>
          <w:r>
            <w:rPr>
              <w:sz w:val="32"/>
              <w:szCs w:val="32"/>
            </w:rPr>
            <w:instrText xml:space="preserve"> PAGEREF _Toc663 \h </w:instrText>
          </w:r>
          <w:r>
            <w:rPr>
              <w:sz w:val="32"/>
              <w:szCs w:val="32"/>
            </w:rPr>
            <w:fldChar w:fldCharType="separate"/>
          </w:r>
          <w:r>
            <w:rPr>
              <w:sz w:val="32"/>
              <w:szCs w:val="32"/>
            </w:rPr>
            <w:t>17</w:t>
          </w:r>
          <w:r>
            <w:rPr>
              <w:sz w:val="32"/>
              <w:szCs w:val="32"/>
            </w:rPr>
            <w:fldChar w:fldCharType="end"/>
          </w:r>
          <w:r>
            <w:rPr>
              <w:sz w:val="32"/>
              <w:szCs w:val="32"/>
            </w:rPr>
            <w:fldChar w:fldCharType="end"/>
          </w:r>
        </w:p>
        <w:p w14:paraId="512A7D3B">
          <w:pPr>
            <w:pStyle w:val="9"/>
            <w:tabs>
              <w:tab w:val="right" w:leader="dot" w:pos="8306"/>
            </w:tabs>
            <w:spacing w:line="560" w:lineRule="exact"/>
            <w:rPr>
              <w:sz w:val="32"/>
              <w:szCs w:val="32"/>
            </w:rPr>
          </w:pPr>
          <w:r>
            <w:fldChar w:fldCharType="begin"/>
          </w:r>
          <w:r>
            <w:instrText xml:space="preserve"> HYPERLINK \l "_Toc11468" </w:instrText>
          </w:r>
          <w:r>
            <w:fldChar w:fldCharType="separate"/>
          </w:r>
          <w:r>
            <w:rPr>
              <w:rFonts w:hint="eastAsia" w:ascii="楷体_GB2312" w:eastAsia="楷体_GB2312"/>
              <w:sz w:val="32"/>
              <w:szCs w:val="32"/>
            </w:rPr>
            <w:t>（一）产出完成情况分析</w:t>
          </w:r>
          <w:r>
            <w:rPr>
              <w:sz w:val="32"/>
              <w:szCs w:val="32"/>
            </w:rPr>
            <w:tab/>
          </w:r>
          <w:r>
            <w:rPr>
              <w:sz w:val="32"/>
              <w:szCs w:val="32"/>
            </w:rPr>
            <w:fldChar w:fldCharType="begin"/>
          </w:r>
          <w:r>
            <w:rPr>
              <w:sz w:val="32"/>
              <w:szCs w:val="32"/>
            </w:rPr>
            <w:instrText xml:space="preserve"> PAGEREF _Toc11468 \h </w:instrText>
          </w:r>
          <w:r>
            <w:rPr>
              <w:sz w:val="32"/>
              <w:szCs w:val="32"/>
            </w:rPr>
            <w:fldChar w:fldCharType="separate"/>
          </w:r>
          <w:r>
            <w:rPr>
              <w:sz w:val="32"/>
              <w:szCs w:val="32"/>
            </w:rPr>
            <w:t>17</w:t>
          </w:r>
          <w:r>
            <w:rPr>
              <w:sz w:val="32"/>
              <w:szCs w:val="32"/>
            </w:rPr>
            <w:fldChar w:fldCharType="end"/>
          </w:r>
          <w:r>
            <w:rPr>
              <w:sz w:val="32"/>
              <w:szCs w:val="32"/>
            </w:rPr>
            <w:fldChar w:fldCharType="end"/>
          </w:r>
        </w:p>
        <w:p w14:paraId="73FB1195">
          <w:pPr>
            <w:pStyle w:val="9"/>
            <w:tabs>
              <w:tab w:val="right" w:leader="dot" w:pos="8306"/>
            </w:tabs>
            <w:spacing w:line="560" w:lineRule="exact"/>
            <w:rPr>
              <w:sz w:val="32"/>
              <w:szCs w:val="32"/>
            </w:rPr>
          </w:pPr>
          <w:r>
            <w:fldChar w:fldCharType="begin"/>
          </w:r>
          <w:r>
            <w:instrText xml:space="preserve"> HYPERLINK \l "_Toc28384" </w:instrText>
          </w:r>
          <w:r>
            <w:fldChar w:fldCharType="separate"/>
          </w:r>
          <w:r>
            <w:rPr>
              <w:rFonts w:hint="eastAsia" w:ascii="楷体_GB2312" w:eastAsia="楷体_GB2312"/>
              <w:sz w:val="32"/>
              <w:szCs w:val="32"/>
            </w:rPr>
            <w:t>（二）效果实现情况分析</w:t>
          </w:r>
          <w:r>
            <w:rPr>
              <w:sz w:val="32"/>
              <w:szCs w:val="32"/>
            </w:rPr>
            <w:tab/>
          </w:r>
          <w:r>
            <w:rPr>
              <w:sz w:val="32"/>
              <w:szCs w:val="32"/>
            </w:rPr>
            <w:fldChar w:fldCharType="begin"/>
          </w:r>
          <w:r>
            <w:rPr>
              <w:sz w:val="32"/>
              <w:szCs w:val="32"/>
            </w:rPr>
            <w:instrText xml:space="preserve"> PAGEREF _Toc28384 \h </w:instrText>
          </w:r>
          <w:r>
            <w:rPr>
              <w:sz w:val="32"/>
              <w:szCs w:val="32"/>
            </w:rPr>
            <w:fldChar w:fldCharType="separate"/>
          </w:r>
          <w:r>
            <w:rPr>
              <w:sz w:val="32"/>
              <w:szCs w:val="32"/>
            </w:rPr>
            <w:t>22</w:t>
          </w:r>
          <w:r>
            <w:rPr>
              <w:sz w:val="32"/>
              <w:szCs w:val="32"/>
            </w:rPr>
            <w:fldChar w:fldCharType="end"/>
          </w:r>
          <w:r>
            <w:rPr>
              <w:sz w:val="32"/>
              <w:szCs w:val="32"/>
            </w:rPr>
            <w:fldChar w:fldCharType="end"/>
          </w:r>
        </w:p>
        <w:p w14:paraId="06309F05">
          <w:pPr>
            <w:pStyle w:val="8"/>
            <w:tabs>
              <w:tab w:val="right" w:leader="dot" w:pos="8306"/>
            </w:tabs>
            <w:spacing w:line="560" w:lineRule="exact"/>
            <w:rPr>
              <w:sz w:val="32"/>
              <w:szCs w:val="32"/>
            </w:rPr>
          </w:pPr>
          <w:r>
            <w:fldChar w:fldCharType="begin"/>
          </w:r>
          <w:r>
            <w:instrText xml:space="preserve"> HYPERLINK \l "_Toc16634" </w:instrText>
          </w:r>
          <w:r>
            <w:fldChar w:fldCharType="separate"/>
          </w:r>
          <w:r>
            <w:rPr>
              <w:rFonts w:hint="eastAsia" w:ascii="黑体" w:hAnsi="黑体" w:eastAsia="黑体" w:cs="宋体"/>
              <w:kern w:val="0"/>
              <w:sz w:val="32"/>
              <w:szCs w:val="32"/>
            </w:rPr>
            <w:t>四、预算管理情况分析</w:t>
          </w:r>
          <w:r>
            <w:rPr>
              <w:sz w:val="32"/>
              <w:szCs w:val="32"/>
            </w:rPr>
            <w:tab/>
          </w:r>
          <w:r>
            <w:rPr>
              <w:sz w:val="32"/>
              <w:szCs w:val="32"/>
            </w:rPr>
            <w:fldChar w:fldCharType="begin"/>
          </w:r>
          <w:r>
            <w:rPr>
              <w:sz w:val="32"/>
              <w:szCs w:val="32"/>
            </w:rPr>
            <w:instrText xml:space="preserve"> PAGEREF _Toc16634 \h </w:instrText>
          </w:r>
          <w:r>
            <w:rPr>
              <w:sz w:val="32"/>
              <w:szCs w:val="32"/>
            </w:rPr>
            <w:fldChar w:fldCharType="separate"/>
          </w:r>
          <w:r>
            <w:rPr>
              <w:sz w:val="32"/>
              <w:szCs w:val="32"/>
            </w:rPr>
            <w:t>24</w:t>
          </w:r>
          <w:r>
            <w:rPr>
              <w:sz w:val="32"/>
              <w:szCs w:val="32"/>
            </w:rPr>
            <w:fldChar w:fldCharType="end"/>
          </w:r>
          <w:r>
            <w:rPr>
              <w:sz w:val="32"/>
              <w:szCs w:val="32"/>
            </w:rPr>
            <w:fldChar w:fldCharType="end"/>
          </w:r>
        </w:p>
        <w:p w14:paraId="141818CF">
          <w:pPr>
            <w:pStyle w:val="9"/>
            <w:tabs>
              <w:tab w:val="right" w:leader="dot" w:pos="8306"/>
            </w:tabs>
            <w:spacing w:line="560" w:lineRule="exact"/>
            <w:rPr>
              <w:sz w:val="32"/>
              <w:szCs w:val="32"/>
            </w:rPr>
          </w:pPr>
          <w:r>
            <w:fldChar w:fldCharType="begin"/>
          </w:r>
          <w:r>
            <w:instrText xml:space="preserve"> HYPERLINK \l "_Toc12893" </w:instrText>
          </w:r>
          <w:r>
            <w:fldChar w:fldCharType="separate"/>
          </w:r>
          <w:r>
            <w:rPr>
              <w:rFonts w:hint="eastAsia" w:ascii="楷体_GB2312" w:eastAsia="楷体_GB2312"/>
              <w:sz w:val="32"/>
              <w:szCs w:val="32"/>
            </w:rPr>
            <w:t>（一）财务管理</w:t>
          </w:r>
          <w:r>
            <w:rPr>
              <w:sz w:val="32"/>
              <w:szCs w:val="32"/>
            </w:rPr>
            <w:tab/>
          </w:r>
          <w:r>
            <w:rPr>
              <w:sz w:val="32"/>
              <w:szCs w:val="32"/>
            </w:rPr>
            <w:fldChar w:fldCharType="begin"/>
          </w:r>
          <w:r>
            <w:rPr>
              <w:sz w:val="32"/>
              <w:szCs w:val="32"/>
            </w:rPr>
            <w:instrText xml:space="preserve"> PAGEREF _Toc12893 \h </w:instrText>
          </w:r>
          <w:r>
            <w:rPr>
              <w:sz w:val="32"/>
              <w:szCs w:val="32"/>
            </w:rPr>
            <w:fldChar w:fldCharType="separate"/>
          </w:r>
          <w:r>
            <w:rPr>
              <w:sz w:val="32"/>
              <w:szCs w:val="32"/>
            </w:rPr>
            <w:t>24</w:t>
          </w:r>
          <w:r>
            <w:rPr>
              <w:sz w:val="32"/>
              <w:szCs w:val="32"/>
            </w:rPr>
            <w:fldChar w:fldCharType="end"/>
          </w:r>
          <w:r>
            <w:rPr>
              <w:sz w:val="32"/>
              <w:szCs w:val="32"/>
            </w:rPr>
            <w:fldChar w:fldCharType="end"/>
          </w:r>
        </w:p>
        <w:p w14:paraId="648114C1">
          <w:pPr>
            <w:pStyle w:val="9"/>
            <w:tabs>
              <w:tab w:val="right" w:leader="dot" w:pos="8306"/>
            </w:tabs>
            <w:spacing w:line="560" w:lineRule="exact"/>
            <w:rPr>
              <w:sz w:val="32"/>
              <w:szCs w:val="32"/>
            </w:rPr>
          </w:pPr>
          <w:r>
            <w:fldChar w:fldCharType="begin"/>
          </w:r>
          <w:r>
            <w:instrText xml:space="preserve"> HYPERLINK \l "_Toc21771" </w:instrText>
          </w:r>
          <w:r>
            <w:fldChar w:fldCharType="separate"/>
          </w:r>
          <w:r>
            <w:rPr>
              <w:rFonts w:hint="eastAsia" w:ascii="楷体_GB2312" w:eastAsia="楷体_GB2312"/>
              <w:sz w:val="32"/>
              <w:szCs w:val="32"/>
            </w:rPr>
            <w:t>（二）资产管理</w:t>
          </w:r>
          <w:r>
            <w:rPr>
              <w:sz w:val="32"/>
              <w:szCs w:val="32"/>
            </w:rPr>
            <w:tab/>
          </w:r>
          <w:r>
            <w:rPr>
              <w:sz w:val="32"/>
              <w:szCs w:val="32"/>
            </w:rPr>
            <w:fldChar w:fldCharType="begin"/>
          </w:r>
          <w:r>
            <w:rPr>
              <w:sz w:val="32"/>
              <w:szCs w:val="32"/>
            </w:rPr>
            <w:instrText xml:space="preserve"> PAGEREF _Toc21771 \h </w:instrText>
          </w:r>
          <w:r>
            <w:rPr>
              <w:sz w:val="32"/>
              <w:szCs w:val="32"/>
            </w:rPr>
            <w:fldChar w:fldCharType="separate"/>
          </w:r>
          <w:r>
            <w:rPr>
              <w:sz w:val="32"/>
              <w:szCs w:val="32"/>
            </w:rPr>
            <w:t>25</w:t>
          </w:r>
          <w:r>
            <w:rPr>
              <w:sz w:val="32"/>
              <w:szCs w:val="32"/>
            </w:rPr>
            <w:fldChar w:fldCharType="end"/>
          </w:r>
          <w:r>
            <w:rPr>
              <w:sz w:val="32"/>
              <w:szCs w:val="32"/>
            </w:rPr>
            <w:fldChar w:fldCharType="end"/>
          </w:r>
        </w:p>
        <w:p w14:paraId="0A39EF10">
          <w:pPr>
            <w:pStyle w:val="9"/>
            <w:tabs>
              <w:tab w:val="right" w:leader="dot" w:pos="8306"/>
            </w:tabs>
            <w:spacing w:line="560" w:lineRule="exact"/>
            <w:rPr>
              <w:sz w:val="32"/>
              <w:szCs w:val="32"/>
            </w:rPr>
          </w:pPr>
          <w:r>
            <w:fldChar w:fldCharType="begin"/>
          </w:r>
          <w:r>
            <w:instrText xml:space="preserve"> HYPERLINK \l "_Toc16043" </w:instrText>
          </w:r>
          <w:r>
            <w:fldChar w:fldCharType="separate"/>
          </w:r>
          <w:r>
            <w:rPr>
              <w:rFonts w:hint="eastAsia" w:ascii="楷体_GB2312" w:eastAsia="楷体_GB2312"/>
              <w:sz w:val="32"/>
              <w:szCs w:val="32"/>
            </w:rPr>
            <w:t>（三）绩效管理</w:t>
          </w:r>
          <w:r>
            <w:rPr>
              <w:sz w:val="32"/>
              <w:szCs w:val="32"/>
            </w:rPr>
            <w:tab/>
          </w:r>
          <w:r>
            <w:rPr>
              <w:sz w:val="32"/>
              <w:szCs w:val="32"/>
            </w:rPr>
            <w:fldChar w:fldCharType="begin"/>
          </w:r>
          <w:r>
            <w:rPr>
              <w:sz w:val="32"/>
              <w:szCs w:val="32"/>
            </w:rPr>
            <w:instrText xml:space="preserve"> PAGEREF _Toc16043 \h </w:instrText>
          </w:r>
          <w:r>
            <w:rPr>
              <w:sz w:val="32"/>
              <w:szCs w:val="32"/>
            </w:rPr>
            <w:fldChar w:fldCharType="separate"/>
          </w:r>
          <w:r>
            <w:rPr>
              <w:sz w:val="32"/>
              <w:szCs w:val="32"/>
            </w:rPr>
            <w:t>28</w:t>
          </w:r>
          <w:r>
            <w:rPr>
              <w:sz w:val="32"/>
              <w:szCs w:val="32"/>
            </w:rPr>
            <w:fldChar w:fldCharType="end"/>
          </w:r>
          <w:r>
            <w:rPr>
              <w:sz w:val="32"/>
              <w:szCs w:val="32"/>
            </w:rPr>
            <w:fldChar w:fldCharType="end"/>
          </w:r>
        </w:p>
        <w:p w14:paraId="25FC6842">
          <w:pPr>
            <w:pStyle w:val="9"/>
            <w:tabs>
              <w:tab w:val="right" w:leader="dot" w:pos="8306"/>
            </w:tabs>
            <w:spacing w:line="560" w:lineRule="exact"/>
            <w:rPr>
              <w:sz w:val="32"/>
              <w:szCs w:val="32"/>
            </w:rPr>
          </w:pPr>
          <w:r>
            <w:fldChar w:fldCharType="begin"/>
          </w:r>
          <w:r>
            <w:instrText xml:space="preserve"> HYPERLINK \l "_Toc10819" </w:instrText>
          </w:r>
          <w:r>
            <w:fldChar w:fldCharType="separate"/>
          </w:r>
          <w:r>
            <w:rPr>
              <w:rFonts w:hint="eastAsia" w:ascii="楷体_GB2312" w:eastAsia="楷体_GB2312"/>
              <w:sz w:val="32"/>
              <w:szCs w:val="32"/>
            </w:rPr>
            <w:t>（四）结转结余率</w:t>
          </w:r>
          <w:r>
            <w:rPr>
              <w:sz w:val="32"/>
              <w:szCs w:val="32"/>
            </w:rPr>
            <w:tab/>
          </w:r>
          <w:r>
            <w:rPr>
              <w:sz w:val="32"/>
              <w:szCs w:val="32"/>
            </w:rPr>
            <w:fldChar w:fldCharType="begin"/>
          </w:r>
          <w:r>
            <w:rPr>
              <w:sz w:val="32"/>
              <w:szCs w:val="32"/>
            </w:rPr>
            <w:instrText xml:space="preserve"> PAGEREF _Toc10819 \h </w:instrText>
          </w:r>
          <w:r>
            <w:rPr>
              <w:sz w:val="32"/>
              <w:szCs w:val="32"/>
            </w:rPr>
            <w:fldChar w:fldCharType="separate"/>
          </w:r>
          <w:r>
            <w:rPr>
              <w:sz w:val="32"/>
              <w:szCs w:val="32"/>
            </w:rPr>
            <w:t>31</w:t>
          </w:r>
          <w:r>
            <w:rPr>
              <w:sz w:val="32"/>
              <w:szCs w:val="32"/>
            </w:rPr>
            <w:fldChar w:fldCharType="end"/>
          </w:r>
          <w:r>
            <w:rPr>
              <w:sz w:val="32"/>
              <w:szCs w:val="32"/>
            </w:rPr>
            <w:fldChar w:fldCharType="end"/>
          </w:r>
        </w:p>
        <w:p w14:paraId="775A2E5D">
          <w:pPr>
            <w:pStyle w:val="9"/>
            <w:tabs>
              <w:tab w:val="right" w:leader="dot" w:pos="8306"/>
            </w:tabs>
            <w:spacing w:line="560" w:lineRule="exact"/>
            <w:rPr>
              <w:sz w:val="32"/>
              <w:szCs w:val="32"/>
            </w:rPr>
          </w:pPr>
          <w:r>
            <w:fldChar w:fldCharType="begin"/>
          </w:r>
          <w:r>
            <w:instrText xml:space="preserve"> HYPERLINK \l "_Toc21960" </w:instrText>
          </w:r>
          <w:r>
            <w:fldChar w:fldCharType="separate"/>
          </w:r>
          <w:r>
            <w:rPr>
              <w:rFonts w:hint="eastAsia" w:ascii="楷体_GB2312" w:eastAsia="楷体_GB2312"/>
              <w:sz w:val="32"/>
              <w:szCs w:val="32"/>
            </w:rPr>
            <w:t>（五）部门预决算差异率</w:t>
          </w:r>
          <w:r>
            <w:rPr>
              <w:sz w:val="32"/>
              <w:szCs w:val="32"/>
            </w:rPr>
            <w:tab/>
          </w:r>
          <w:r>
            <w:rPr>
              <w:sz w:val="32"/>
              <w:szCs w:val="32"/>
            </w:rPr>
            <w:fldChar w:fldCharType="begin"/>
          </w:r>
          <w:r>
            <w:rPr>
              <w:sz w:val="32"/>
              <w:szCs w:val="32"/>
            </w:rPr>
            <w:instrText xml:space="preserve"> PAGEREF _Toc21960 \h </w:instrText>
          </w:r>
          <w:r>
            <w:rPr>
              <w:sz w:val="32"/>
              <w:szCs w:val="32"/>
            </w:rPr>
            <w:fldChar w:fldCharType="separate"/>
          </w:r>
          <w:r>
            <w:rPr>
              <w:sz w:val="32"/>
              <w:szCs w:val="32"/>
            </w:rPr>
            <w:t>31</w:t>
          </w:r>
          <w:r>
            <w:rPr>
              <w:sz w:val="32"/>
              <w:szCs w:val="32"/>
            </w:rPr>
            <w:fldChar w:fldCharType="end"/>
          </w:r>
          <w:r>
            <w:rPr>
              <w:sz w:val="32"/>
              <w:szCs w:val="32"/>
            </w:rPr>
            <w:fldChar w:fldCharType="end"/>
          </w:r>
        </w:p>
        <w:p w14:paraId="08DF2059">
          <w:pPr>
            <w:pStyle w:val="8"/>
            <w:tabs>
              <w:tab w:val="right" w:leader="dot" w:pos="8306"/>
            </w:tabs>
            <w:spacing w:line="560" w:lineRule="exact"/>
            <w:rPr>
              <w:sz w:val="32"/>
              <w:szCs w:val="32"/>
            </w:rPr>
          </w:pPr>
          <w:r>
            <w:fldChar w:fldCharType="begin"/>
          </w:r>
          <w:r>
            <w:instrText xml:space="preserve"> HYPERLINK \l "_Toc4414" </w:instrText>
          </w:r>
          <w:r>
            <w:fldChar w:fldCharType="separate"/>
          </w:r>
          <w:r>
            <w:rPr>
              <w:rFonts w:hint="eastAsia" w:ascii="黑体" w:hAnsi="黑体" w:eastAsia="黑体" w:cs="宋体"/>
              <w:kern w:val="0"/>
              <w:sz w:val="32"/>
              <w:szCs w:val="32"/>
            </w:rPr>
            <w:t>五、总体评价结论</w:t>
          </w:r>
          <w:r>
            <w:rPr>
              <w:sz w:val="32"/>
              <w:szCs w:val="32"/>
            </w:rPr>
            <w:tab/>
          </w:r>
          <w:r>
            <w:rPr>
              <w:sz w:val="32"/>
              <w:szCs w:val="32"/>
            </w:rPr>
            <w:fldChar w:fldCharType="begin"/>
          </w:r>
          <w:r>
            <w:rPr>
              <w:sz w:val="32"/>
              <w:szCs w:val="32"/>
            </w:rPr>
            <w:instrText xml:space="preserve"> PAGEREF _Toc4414 \h </w:instrText>
          </w:r>
          <w:r>
            <w:rPr>
              <w:sz w:val="32"/>
              <w:szCs w:val="32"/>
            </w:rPr>
            <w:fldChar w:fldCharType="separate"/>
          </w:r>
          <w:r>
            <w:rPr>
              <w:sz w:val="32"/>
              <w:szCs w:val="32"/>
            </w:rPr>
            <w:t>32</w:t>
          </w:r>
          <w:r>
            <w:rPr>
              <w:sz w:val="32"/>
              <w:szCs w:val="32"/>
            </w:rPr>
            <w:fldChar w:fldCharType="end"/>
          </w:r>
          <w:r>
            <w:rPr>
              <w:sz w:val="32"/>
              <w:szCs w:val="32"/>
            </w:rPr>
            <w:fldChar w:fldCharType="end"/>
          </w:r>
        </w:p>
        <w:p w14:paraId="1D369C57">
          <w:pPr>
            <w:pStyle w:val="9"/>
            <w:tabs>
              <w:tab w:val="right" w:leader="dot" w:pos="8306"/>
            </w:tabs>
            <w:spacing w:line="560" w:lineRule="exact"/>
            <w:rPr>
              <w:sz w:val="32"/>
              <w:szCs w:val="32"/>
            </w:rPr>
          </w:pPr>
          <w:r>
            <w:fldChar w:fldCharType="begin"/>
          </w:r>
          <w:r>
            <w:instrText xml:space="preserve"> HYPERLINK \l "_Toc18934" </w:instrText>
          </w:r>
          <w:r>
            <w:fldChar w:fldCharType="separate"/>
          </w:r>
          <w:r>
            <w:rPr>
              <w:rFonts w:hint="eastAsia" w:ascii="楷体_GB2312" w:eastAsia="楷体_GB2312"/>
              <w:sz w:val="32"/>
              <w:szCs w:val="32"/>
            </w:rPr>
            <w:t>（一）评价得分情况</w:t>
          </w:r>
          <w:r>
            <w:rPr>
              <w:sz w:val="32"/>
              <w:szCs w:val="32"/>
            </w:rPr>
            <w:tab/>
          </w:r>
          <w:r>
            <w:rPr>
              <w:sz w:val="32"/>
              <w:szCs w:val="32"/>
            </w:rPr>
            <w:fldChar w:fldCharType="begin"/>
          </w:r>
          <w:r>
            <w:rPr>
              <w:sz w:val="32"/>
              <w:szCs w:val="32"/>
            </w:rPr>
            <w:instrText xml:space="preserve"> PAGEREF _Toc18934 \h </w:instrText>
          </w:r>
          <w:r>
            <w:rPr>
              <w:sz w:val="32"/>
              <w:szCs w:val="32"/>
            </w:rPr>
            <w:fldChar w:fldCharType="separate"/>
          </w:r>
          <w:r>
            <w:rPr>
              <w:sz w:val="32"/>
              <w:szCs w:val="32"/>
            </w:rPr>
            <w:t>32</w:t>
          </w:r>
          <w:r>
            <w:rPr>
              <w:sz w:val="32"/>
              <w:szCs w:val="32"/>
            </w:rPr>
            <w:fldChar w:fldCharType="end"/>
          </w:r>
          <w:r>
            <w:rPr>
              <w:sz w:val="32"/>
              <w:szCs w:val="32"/>
            </w:rPr>
            <w:fldChar w:fldCharType="end"/>
          </w:r>
        </w:p>
        <w:p w14:paraId="34009494">
          <w:pPr>
            <w:pStyle w:val="9"/>
            <w:tabs>
              <w:tab w:val="right" w:leader="dot" w:pos="8306"/>
            </w:tabs>
            <w:spacing w:line="560" w:lineRule="exact"/>
            <w:rPr>
              <w:sz w:val="32"/>
              <w:szCs w:val="32"/>
            </w:rPr>
          </w:pPr>
          <w:r>
            <w:fldChar w:fldCharType="begin"/>
          </w:r>
          <w:r>
            <w:instrText xml:space="preserve"> HYPERLINK \l "_Toc12019" </w:instrText>
          </w:r>
          <w:r>
            <w:fldChar w:fldCharType="separate"/>
          </w:r>
          <w:r>
            <w:rPr>
              <w:rFonts w:hint="eastAsia" w:ascii="楷体_GB2312" w:eastAsia="楷体_GB2312"/>
              <w:sz w:val="32"/>
              <w:szCs w:val="32"/>
            </w:rPr>
            <w:t>（二）存在的问题及原因分析</w:t>
          </w:r>
          <w:r>
            <w:rPr>
              <w:sz w:val="32"/>
              <w:szCs w:val="32"/>
            </w:rPr>
            <w:tab/>
          </w:r>
          <w:r>
            <w:rPr>
              <w:sz w:val="32"/>
              <w:szCs w:val="32"/>
            </w:rPr>
            <w:fldChar w:fldCharType="begin"/>
          </w:r>
          <w:r>
            <w:rPr>
              <w:sz w:val="32"/>
              <w:szCs w:val="32"/>
            </w:rPr>
            <w:instrText xml:space="preserve"> PAGEREF _Toc12019 \h </w:instrText>
          </w:r>
          <w:r>
            <w:rPr>
              <w:sz w:val="32"/>
              <w:szCs w:val="32"/>
            </w:rPr>
            <w:fldChar w:fldCharType="separate"/>
          </w:r>
          <w:r>
            <w:rPr>
              <w:sz w:val="32"/>
              <w:szCs w:val="32"/>
            </w:rPr>
            <w:t>34</w:t>
          </w:r>
          <w:r>
            <w:rPr>
              <w:sz w:val="32"/>
              <w:szCs w:val="32"/>
            </w:rPr>
            <w:fldChar w:fldCharType="end"/>
          </w:r>
          <w:r>
            <w:rPr>
              <w:sz w:val="32"/>
              <w:szCs w:val="32"/>
            </w:rPr>
            <w:fldChar w:fldCharType="end"/>
          </w:r>
        </w:p>
        <w:p w14:paraId="11550F28">
          <w:pPr>
            <w:pStyle w:val="8"/>
            <w:tabs>
              <w:tab w:val="right" w:leader="dot" w:pos="8306"/>
            </w:tabs>
            <w:spacing w:line="560" w:lineRule="exact"/>
            <w:rPr>
              <w:sz w:val="32"/>
              <w:szCs w:val="32"/>
            </w:rPr>
          </w:pPr>
          <w:r>
            <w:fldChar w:fldCharType="begin"/>
          </w:r>
          <w:r>
            <w:instrText xml:space="preserve"> HYPERLINK \l "_Toc8513" </w:instrText>
          </w:r>
          <w:r>
            <w:fldChar w:fldCharType="separate"/>
          </w:r>
          <w:r>
            <w:rPr>
              <w:rFonts w:hint="eastAsia" w:ascii="黑体" w:hAnsi="黑体" w:eastAsia="黑体" w:cs="宋体"/>
              <w:kern w:val="0"/>
              <w:sz w:val="32"/>
              <w:szCs w:val="32"/>
            </w:rPr>
            <w:t>六、措施建议</w:t>
          </w:r>
          <w:r>
            <w:rPr>
              <w:sz w:val="32"/>
              <w:szCs w:val="32"/>
            </w:rPr>
            <w:tab/>
          </w:r>
          <w:r>
            <w:rPr>
              <w:sz w:val="32"/>
              <w:szCs w:val="32"/>
            </w:rPr>
            <w:fldChar w:fldCharType="begin"/>
          </w:r>
          <w:r>
            <w:rPr>
              <w:sz w:val="32"/>
              <w:szCs w:val="32"/>
            </w:rPr>
            <w:instrText xml:space="preserve"> PAGEREF _Toc8513 \h </w:instrText>
          </w:r>
          <w:r>
            <w:rPr>
              <w:sz w:val="32"/>
              <w:szCs w:val="32"/>
            </w:rPr>
            <w:fldChar w:fldCharType="separate"/>
          </w:r>
          <w:r>
            <w:rPr>
              <w:sz w:val="32"/>
              <w:szCs w:val="32"/>
            </w:rPr>
            <w:t>35</w:t>
          </w:r>
          <w:r>
            <w:rPr>
              <w:sz w:val="32"/>
              <w:szCs w:val="32"/>
            </w:rPr>
            <w:fldChar w:fldCharType="end"/>
          </w:r>
          <w:r>
            <w:rPr>
              <w:sz w:val="32"/>
              <w:szCs w:val="32"/>
            </w:rPr>
            <w:fldChar w:fldCharType="end"/>
          </w:r>
        </w:p>
        <w:p w14:paraId="24C83054">
          <w:pPr>
            <w:pStyle w:val="8"/>
            <w:tabs>
              <w:tab w:val="right" w:leader="dot" w:pos="8306"/>
            </w:tabs>
            <w:spacing w:line="560" w:lineRule="exact"/>
          </w:pPr>
          <w:r>
            <w:fldChar w:fldCharType="begin"/>
          </w:r>
          <w:r>
            <w:instrText xml:space="preserve"> HYPERLINK \l "_Toc14970" </w:instrText>
          </w:r>
          <w:r>
            <w:fldChar w:fldCharType="separate"/>
          </w:r>
          <w:r>
            <w:rPr>
              <w:rFonts w:hint="eastAsia" w:ascii="黑体" w:hAnsi="黑体" w:eastAsia="黑体" w:cs="宋体"/>
              <w:kern w:val="0"/>
              <w:sz w:val="32"/>
              <w:szCs w:val="32"/>
            </w:rPr>
            <w:t>七、附件</w:t>
          </w:r>
          <w:r>
            <w:rPr>
              <w:sz w:val="32"/>
              <w:szCs w:val="32"/>
            </w:rPr>
            <w:tab/>
          </w:r>
          <w:r>
            <w:rPr>
              <w:sz w:val="32"/>
              <w:szCs w:val="32"/>
            </w:rPr>
            <w:fldChar w:fldCharType="begin"/>
          </w:r>
          <w:r>
            <w:rPr>
              <w:sz w:val="32"/>
              <w:szCs w:val="32"/>
            </w:rPr>
            <w:instrText xml:space="preserve"> PAGEREF _Toc14970 \h </w:instrText>
          </w:r>
          <w:r>
            <w:rPr>
              <w:sz w:val="32"/>
              <w:szCs w:val="32"/>
            </w:rPr>
            <w:fldChar w:fldCharType="separate"/>
          </w:r>
          <w:r>
            <w:rPr>
              <w:sz w:val="32"/>
              <w:szCs w:val="32"/>
            </w:rPr>
            <w:t>35</w:t>
          </w:r>
          <w:r>
            <w:rPr>
              <w:sz w:val="32"/>
              <w:szCs w:val="32"/>
            </w:rPr>
            <w:fldChar w:fldCharType="end"/>
          </w:r>
          <w:r>
            <w:rPr>
              <w:sz w:val="32"/>
              <w:szCs w:val="32"/>
            </w:rPr>
            <w:fldChar w:fldCharType="end"/>
          </w:r>
        </w:p>
        <w:p w14:paraId="6C9F4610">
          <w:pPr>
            <w:pStyle w:val="2"/>
            <w:spacing w:line="560" w:lineRule="exact"/>
            <w:ind w:firstLine="420"/>
            <w:rPr>
              <w:lang w:bidi="ar"/>
            </w:rPr>
          </w:pPr>
          <w:r>
            <w:rPr>
              <w:rFonts w:hint="eastAsia"/>
              <w:szCs w:val="32"/>
            </w:rPr>
            <w:fldChar w:fldCharType="end"/>
          </w:r>
        </w:p>
      </w:sdtContent>
    </w:sdt>
    <w:p w14:paraId="31C98D2F">
      <w:pPr>
        <w:pStyle w:val="2"/>
        <w:ind w:firstLine="420"/>
        <w:rPr>
          <w:lang w:bidi="ar"/>
        </w:rPr>
      </w:pPr>
    </w:p>
    <w:p w14:paraId="745BFA3B">
      <w:pPr>
        <w:pStyle w:val="2"/>
        <w:ind w:firstLine="720"/>
        <w:rPr>
          <w:rFonts w:ascii="方正小标宋简体" w:eastAsia="方正小标宋简体"/>
          <w:sz w:val="36"/>
          <w:szCs w:val="36"/>
        </w:rPr>
      </w:pPr>
    </w:p>
    <w:p w14:paraId="603525BE">
      <w:pPr>
        <w:pStyle w:val="2"/>
        <w:ind w:firstLine="720"/>
        <w:jc w:val="center"/>
        <w:rPr>
          <w:rFonts w:ascii="方正小标宋简体" w:eastAsia="方正小标宋简体"/>
          <w:sz w:val="36"/>
          <w:szCs w:val="36"/>
        </w:rPr>
        <w:sectPr>
          <w:pgSz w:w="11906" w:h="16838"/>
          <w:pgMar w:top="1440" w:right="1800" w:bottom="1440" w:left="1800" w:header="851" w:footer="964" w:gutter="0"/>
          <w:pgBorders>
            <w:top w:val="none" w:sz="0" w:space="0"/>
            <w:left w:val="none" w:sz="0" w:space="0"/>
            <w:bottom w:val="none" w:sz="0" w:space="0"/>
            <w:right w:val="none" w:sz="0" w:space="0"/>
          </w:pgBorders>
          <w:pgNumType w:start="1"/>
          <w:cols w:space="425" w:num="1"/>
          <w:docGrid w:type="lines" w:linePitch="435" w:charSpace="0"/>
        </w:sectPr>
      </w:pPr>
    </w:p>
    <w:p w14:paraId="5C70792B">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北京市体育局</w:t>
      </w:r>
    </w:p>
    <w:p w14:paraId="570D47E1">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2024年度部门整体绩效评价报告</w:t>
      </w:r>
    </w:p>
    <w:p w14:paraId="7677A7C3">
      <w:pPr>
        <w:jc w:val="center"/>
        <w:rPr>
          <w:rFonts w:ascii="仿宋_GB2312"/>
          <w:szCs w:val="30"/>
        </w:rPr>
      </w:pPr>
    </w:p>
    <w:p w14:paraId="6C8217F6">
      <w:pPr>
        <w:keepNext w:val="0"/>
        <w:keepLines w:val="0"/>
        <w:pageBreakBefore w:val="0"/>
        <w:kinsoku/>
        <w:wordWrap/>
        <w:overflowPunct/>
        <w:topLinePunct w:val="0"/>
        <w:autoSpaceDE/>
        <w:autoSpaceDN/>
        <w:bidi w:val="0"/>
        <w:adjustRightInd/>
        <w:snapToGrid/>
        <w:spacing w:line="560" w:lineRule="exact"/>
        <w:ind w:firstLine="640" w:firstLineChars="200"/>
      </w:pPr>
      <w:r>
        <w:rPr>
          <w:rFonts w:hint="eastAsia" w:ascii="仿宋_GB2312" w:hAnsi="仿宋_GB2312" w:eastAsia="仿宋_GB2312" w:cs="仿宋_GB2312"/>
          <w:sz w:val="32"/>
          <w:szCs w:val="32"/>
          <w:lang w:bidi="ar"/>
        </w:rPr>
        <w:t>为深化全面预算绩效管理，强化部门支出责任，提高预算执行效率和资金使用效益，根据</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中共北京市委 北京市人民政府关于全面实施预算绩效管理的实施意见》《北京市财政局关于2025年预算绩效管理工作的通知》等文件要求，北京市体育局成立绩效评价工作组，开展部门整体绩效评价，全方位把握部门整体预算执行、绩效目标实现和预算管理情况，形成本部门整体绩效评价报告。</w:t>
      </w:r>
    </w:p>
    <w:p w14:paraId="1099CC10">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宋体"/>
          <w:color w:val="000000"/>
          <w:kern w:val="0"/>
          <w:sz w:val="32"/>
          <w:szCs w:val="32"/>
        </w:rPr>
      </w:pPr>
      <w:bookmarkStart w:id="1" w:name="_Toc9281"/>
      <w:r>
        <w:rPr>
          <w:rFonts w:hint="eastAsia" w:ascii="黑体" w:hAnsi="黑体" w:eastAsia="黑体" w:cs="宋体"/>
          <w:color w:val="000000"/>
          <w:kern w:val="0"/>
          <w:sz w:val="32"/>
          <w:szCs w:val="32"/>
        </w:rPr>
        <w:t>一、部门概况</w:t>
      </w:r>
      <w:bookmarkEnd w:id="1"/>
    </w:p>
    <w:p w14:paraId="36726604">
      <w:pPr>
        <w:keepNext w:val="0"/>
        <w:keepLines w:val="0"/>
        <w:pageBreakBefore w:val="0"/>
        <w:kinsoku/>
        <w:wordWrap/>
        <w:overflowPunct/>
        <w:topLinePunct w:val="0"/>
        <w:autoSpaceDE/>
        <w:autoSpaceDN/>
        <w:bidi w:val="0"/>
        <w:adjustRightInd/>
        <w:snapToGrid/>
        <w:spacing w:line="560" w:lineRule="exact"/>
        <w:ind w:firstLine="640" w:firstLineChars="200"/>
        <w:outlineLvl w:val="1"/>
        <w:rPr>
          <w:rFonts w:ascii="楷体_GB2312" w:eastAsia="楷体_GB2312"/>
          <w:sz w:val="32"/>
          <w:szCs w:val="32"/>
        </w:rPr>
      </w:pPr>
      <w:bookmarkStart w:id="2" w:name="_Toc12747"/>
      <w:r>
        <w:rPr>
          <w:rFonts w:hint="eastAsia" w:ascii="楷体_GB2312" w:eastAsia="楷体_GB2312"/>
          <w:sz w:val="32"/>
          <w:szCs w:val="32"/>
        </w:rPr>
        <w:t>（一）机构设置及职责工作任务情况</w:t>
      </w:r>
      <w:bookmarkEnd w:id="2"/>
    </w:p>
    <w:p w14:paraId="524A97E5">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1.机构设置</w:t>
      </w:r>
    </w:p>
    <w:p w14:paraId="0BC8450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根据中共中央、国务院批准的北京市党政机构改革方案和《北京市人民政府关于机构设置的通知》，设立北京市体育局。</w:t>
      </w:r>
    </w:p>
    <w:p w14:paraId="615C874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北京市体育局是负责本市体育事业管理工作的市政府直属机构，设有直属事业单位20个，分别为北京市先农坛体育运动技术学校、北京市木樨园体育运动技术学校（北京市排球运动管理中心）、北京市射击运动技术学校、北京市芦城体育运动技术学校、北京市什刹海体育运动学校、北京市航空运动学校、北京棋院、北京体育职业学院、北京市游泳运动学校、北京市体育专业人员管理中心、北京市社会体育管理中心、北京市体育科学研究所、北京市冬季运动管理中心、北京市反兴奋剂中心、北京市体育服务事业管理中心、北京市体育竞赛管理和国际交流中心、北京市体育总会秘书处、北京市网球运动管理中心、北京市体育设施管理中心、北京市体育局综合事务中心。</w:t>
      </w:r>
    </w:p>
    <w:p w14:paraId="37ECF38A">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2.部门职责和工作任务情况</w:t>
      </w:r>
    </w:p>
    <w:p w14:paraId="64DE4F41">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b/>
          <w:bCs/>
          <w:kern w:val="0"/>
          <w:sz w:val="32"/>
          <w:szCs w:val="32"/>
        </w:rPr>
      </w:pPr>
      <w:r>
        <w:rPr>
          <w:rFonts w:hint="eastAsia" w:ascii="仿宋_GB2312" w:hAnsi="宋体" w:eastAsia="仿宋_GB2312" w:cs="宋体"/>
          <w:b w:val="0"/>
          <w:bCs w:val="0"/>
          <w:kern w:val="0"/>
          <w:sz w:val="32"/>
          <w:szCs w:val="32"/>
          <w:lang w:eastAsia="zh-CN"/>
        </w:rPr>
        <w:t>（</w:t>
      </w:r>
      <w:r>
        <w:rPr>
          <w:rFonts w:hint="eastAsia" w:ascii="仿宋_GB2312" w:hAnsi="宋体" w:eastAsia="仿宋_GB2312" w:cs="宋体"/>
          <w:b w:val="0"/>
          <w:bCs w:val="0"/>
          <w:kern w:val="0"/>
          <w:sz w:val="32"/>
          <w:szCs w:val="32"/>
          <w:lang w:val="en-US" w:eastAsia="zh-CN"/>
        </w:rPr>
        <w:t>1</w:t>
      </w:r>
      <w:r>
        <w:rPr>
          <w:rFonts w:hint="eastAsia" w:ascii="仿宋_GB2312" w:hAnsi="宋体" w:eastAsia="仿宋_GB2312" w:cs="宋体"/>
          <w:b w:val="0"/>
          <w:bCs w:val="0"/>
          <w:kern w:val="0"/>
          <w:sz w:val="32"/>
          <w:szCs w:val="32"/>
          <w:lang w:eastAsia="zh-CN"/>
        </w:rPr>
        <w:t>）</w:t>
      </w:r>
      <w:r>
        <w:rPr>
          <w:rFonts w:hint="eastAsia" w:ascii="仿宋_GB2312" w:hAnsi="宋体" w:eastAsia="仿宋_GB2312" w:cs="宋体"/>
          <w:b w:val="0"/>
          <w:bCs w:val="0"/>
          <w:kern w:val="0"/>
          <w:sz w:val="32"/>
          <w:szCs w:val="32"/>
        </w:rPr>
        <w:t>主要职责</w:t>
      </w:r>
    </w:p>
    <w:p w14:paraId="4BAFBA1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北京市体育局是负责北京市体育事业管理工作的市政府直属机构，主要职责包括：</w:t>
      </w:r>
    </w:p>
    <w:p w14:paraId="510470A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贯彻执行国家关于体育工作方面的方针、政策和法律、法规、规章，起草本市相关地方性法规草案、政府规章草案，拟订体育事业发展规划和政策并组织实施。</w:t>
      </w:r>
    </w:p>
    <w:p w14:paraId="6C8DD90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协调本市区域性体育发展，负责推动多元化体育服务体系建设，推进体育公共服务和体育体制改革。</w:t>
      </w:r>
    </w:p>
    <w:p w14:paraId="04FBE3DA">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统筹规划本市群众体育发展，负责推行全民健身计划，监督实施国家体育锻炼标准，推动国民体质监测和社会体育指导工作队伍制度建设，指导公共体育设施的建设，负责对公共体育设施的监督管理。</w:t>
      </w:r>
    </w:p>
    <w:p w14:paraId="7764676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统筹规划本市竞技体育发展，指导协调体育训练和体育竞赛，指导运动队伍建设，协调运动员社会保障工作。</w:t>
      </w:r>
    </w:p>
    <w:p w14:paraId="2E384720">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统筹规划本市青少年体育发展，指导和推进青少年体育工作。</w:t>
      </w:r>
    </w:p>
    <w:p w14:paraId="2D31A57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会同有关部门拟订本市体育产业发展规划和政策，培育、引导和扶持体育产业，推动产业结构优化升级，规范体育服务管理，推动体育标准化建设。</w:t>
      </w:r>
    </w:p>
    <w:p w14:paraId="1BC412A8">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指导、管理本市体育外事有关工作，组织开展国际间和与港澳台的体育交流与合作。</w:t>
      </w:r>
    </w:p>
    <w:p w14:paraId="0FBB891F">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组织开展本市体育领域重大科技研究、技术攻关和成果推广。</w:t>
      </w:r>
    </w:p>
    <w:p w14:paraId="04DBC22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主办、承办重大体育赛事活动。</w:t>
      </w:r>
    </w:p>
    <w:p w14:paraId="02F4F6F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负责组织、协调、监督本市体育运动中的反兴奋剂工作。</w:t>
      </w:r>
    </w:p>
    <w:p w14:paraId="0DE54024">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负责全市性体育社会团体的资格审查和业务管理工作。</w:t>
      </w:r>
    </w:p>
    <w:p w14:paraId="6B1F64DC">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依法对本市体育行业的安全工作承担管理责任，对以市体育局名义组织的各类活动的安全工作承担主体责任。</w:t>
      </w:r>
    </w:p>
    <w:p w14:paraId="55C4BA99">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承办市政府交办的其他事项。</w:t>
      </w:r>
    </w:p>
    <w:p w14:paraId="6E804588">
      <w:pPr>
        <w:spacing w:line="560" w:lineRule="exact"/>
        <w:ind w:firstLine="640" w:firstLineChars="200"/>
        <w:rPr>
          <w:rFonts w:hint="eastAsia"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lang w:eastAsia="zh-CN"/>
        </w:rPr>
        <w:t>（</w:t>
      </w:r>
      <w:r>
        <w:rPr>
          <w:rFonts w:hint="eastAsia" w:ascii="仿宋_GB2312" w:hAnsi="宋体" w:eastAsia="仿宋_GB2312" w:cs="宋体"/>
          <w:b w:val="0"/>
          <w:bCs w:val="0"/>
          <w:kern w:val="0"/>
          <w:sz w:val="32"/>
          <w:szCs w:val="32"/>
          <w:lang w:val="en-US" w:eastAsia="zh-CN"/>
        </w:rPr>
        <w:t>2</w:t>
      </w:r>
      <w:r>
        <w:rPr>
          <w:rFonts w:hint="eastAsia" w:ascii="仿宋_GB2312" w:hAnsi="宋体" w:eastAsia="仿宋_GB2312" w:cs="宋体"/>
          <w:b w:val="0"/>
          <w:bCs w:val="0"/>
          <w:kern w:val="0"/>
          <w:sz w:val="32"/>
          <w:szCs w:val="32"/>
          <w:lang w:eastAsia="zh-CN"/>
        </w:rPr>
        <w:t>）</w:t>
      </w:r>
      <w:r>
        <w:rPr>
          <w:rFonts w:hint="eastAsia" w:ascii="仿宋_GB2312" w:hAnsi="宋体" w:eastAsia="仿宋_GB2312" w:cs="宋体"/>
          <w:b w:val="0"/>
          <w:bCs w:val="0"/>
          <w:kern w:val="0"/>
          <w:sz w:val="32"/>
          <w:szCs w:val="32"/>
        </w:rPr>
        <w:t>工作任务情况</w:t>
      </w:r>
    </w:p>
    <w:p w14:paraId="6DA30883">
      <w:pPr>
        <w:keepNext w:val="0"/>
        <w:keepLines w:val="0"/>
        <w:pageBreakBefore w:val="0"/>
        <w:kinsoku/>
        <w:wordWrap/>
        <w:overflowPunct/>
        <w:topLinePunct w:val="0"/>
        <w:autoSpaceDE/>
        <w:autoSpaceDN/>
        <w:bidi w:val="0"/>
        <w:adjustRightInd/>
        <w:snapToGrid/>
        <w:spacing w:line="560" w:lineRule="exact"/>
        <w:ind w:firstLine="640" w:firstLineChars="200"/>
      </w:pPr>
      <w:r>
        <w:rPr>
          <w:rFonts w:hint="eastAsia" w:ascii="仿宋_GB2312" w:hAnsi="宋体" w:eastAsia="仿宋_GB2312" w:cs="宋体"/>
          <w:kern w:val="0"/>
          <w:sz w:val="32"/>
          <w:szCs w:val="32"/>
        </w:rPr>
        <w:t>准确把握群众体育健身新需求，加快构建更高水平的全民健身公共服务体系</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聚焦增强为国争光能力，进一步提升竞技体育综合实力</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坚持体教融合，不断提高青少年体育发展水平</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狠抓体育行业安全生产，全力服务首都安全稳定大局</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发挥“双奥之城”优势，持续推进冰雪运动普及发展</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积极申办举办重大赛事，服务国际交往中心功能建设</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持续增强政务服务能力，不断提升群众和企业的满意度</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深入推进京津冀协同发展，提升区域体育整体发展水平</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深入推进全面从严治党，努力提升体育系统凝聚力和战斗力</w:t>
      </w:r>
      <w:r>
        <w:rPr>
          <w:rFonts w:hint="eastAsia" w:ascii="仿宋_GB2312" w:hAnsi="宋体" w:eastAsia="仿宋_GB2312" w:cs="宋体"/>
          <w:kern w:val="0"/>
          <w:sz w:val="32"/>
          <w:szCs w:val="32"/>
          <w:lang w:eastAsia="zh-CN"/>
        </w:rPr>
        <w:t>。</w:t>
      </w:r>
    </w:p>
    <w:p w14:paraId="1FD5F45E">
      <w:pPr>
        <w:numPr>
          <w:ilvl w:val="0"/>
          <w:numId w:val="1"/>
        </w:numPr>
        <w:spacing w:line="560" w:lineRule="exact"/>
        <w:ind w:firstLine="640" w:firstLineChars="200"/>
        <w:outlineLvl w:val="1"/>
        <w:rPr>
          <w:rFonts w:ascii="楷体_GB2312" w:eastAsia="楷体_GB2312"/>
          <w:sz w:val="32"/>
          <w:szCs w:val="32"/>
        </w:rPr>
      </w:pPr>
      <w:bookmarkStart w:id="3" w:name="_Toc13993"/>
      <w:r>
        <w:rPr>
          <w:rFonts w:hint="eastAsia" w:ascii="楷体_GB2312" w:eastAsia="楷体_GB2312"/>
          <w:sz w:val="32"/>
          <w:szCs w:val="32"/>
        </w:rPr>
        <w:t>部门整体绩效目标设立情况</w:t>
      </w:r>
      <w:bookmarkEnd w:id="3"/>
    </w:p>
    <w:p w14:paraId="07293438">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1.绩效目标设立依据</w:t>
      </w:r>
    </w:p>
    <w:p w14:paraId="30487455">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（1）《中华人民共和国体育法》；</w:t>
      </w:r>
    </w:p>
    <w:p w14:paraId="7E57A379">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（2）国务院《体育强国建设纲要》；</w:t>
      </w:r>
    </w:p>
    <w:p w14:paraId="4EEB4F2A">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（3）国家体育总局《“十四五”体育发展规划》；</w:t>
      </w:r>
    </w:p>
    <w:p w14:paraId="2478D930">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（4）北京市体育局单位职责；</w:t>
      </w:r>
    </w:p>
    <w:p w14:paraId="323F134D">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（5）北京市人民政府《“十四五”时期健康北京建设规划》；</w:t>
      </w:r>
    </w:p>
    <w:p w14:paraId="6382826A">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（6）北京市体育局年度工作要点；</w:t>
      </w:r>
    </w:p>
    <w:p w14:paraId="2D6FFF7C">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（7）国家相关法律、法规和规章制度；</w:t>
      </w:r>
    </w:p>
    <w:p w14:paraId="29EEE28A">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（8）北京市相关法规、规章制度；</w:t>
      </w:r>
    </w:p>
    <w:p w14:paraId="5108B4FB">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（9）相关历史数据、行业标准、规划、计划等。</w:t>
      </w:r>
    </w:p>
    <w:p w14:paraId="6D9E0859">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2.目标设置情况</w:t>
      </w:r>
    </w:p>
    <w:p w14:paraId="35C16FC8">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北京市体育局根据单位职责和任务设置了部门整体绩效目标，绩效目标设置较为合理，具体情况如下：</w:t>
      </w:r>
    </w:p>
    <w:p w14:paraId="69B88756">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（1）部门绩效目标</w:t>
      </w:r>
    </w:p>
    <w:p w14:paraId="16EF54F7">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加快构建更高水平的全民健身公共服务体系。</w:t>
      </w:r>
    </w:p>
    <w:p w14:paraId="4EA1900F">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进一步提升竞技体育综合实力。</w:t>
      </w:r>
    </w:p>
    <w:p w14:paraId="65C8420E">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不断提高青少年体育发展水平。</w:t>
      </w:r>
    </w:p>
    <w:p w14:paraId="195E30F5">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全面推动体育产业高质量发展。</w:t>
      </w:r>
    </w:p>
    <w:p w14:paraId="4D033EA0">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持续推进冰雪运动普及发展。</w:t>
      </w:r>
    </w:p>
    <w:p w14:paraId="241D9ACE">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积极申办举办重大赛事。</w:t>
      </w:r>
    </w:p>
    <w:p w14:paraId="07258CE0">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（2）绩效指标</w:t>
      </w:r>
    </w:p>
    <w:p w14:paraId="4147E8C7">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1）产出数量指标</w:t>
      </w:r>
    </w:p>
    <w:p w14:paraId="66E5EE3D">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①全民健身赛事活动场次≥2000场次；</w:t>
      </w:r>
    </w:p>
    <w:p w14:paraId="2FAA5266">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②全民健身赛事活动参与人次≥34万人次；</w:t>
      </w:r>
    </w:p>
    <w:p w14:paraId="0D7C3C1E">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③社会体育指导员培训人数≥1300人；</w:t>
      </w:r>
    </w:p>
    <w:p w14:paraId="22290B25">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④运动处方培训人次≥400人；</w:t>
      </w:r>
    </w:p>
    <w:p w14:paraId="27A65400">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⑤竞技体育布局项目数量≥30项；</w:t>
      </w:r>
    </w:p>
    <w:p w14:paraId="19329043">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⑥持续建设高水平竞技体育训练基地数量≥5所；</w:t>
      </w:r>
    </w:p>
    <w:p w14:paraId="6008D746">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⑦开展体育专业人才培训期数≥4期/年；</w:t>
      </w:r>
    </w:p>
    <w:p w14:paraId="1ACE6242">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⑧参与运动干预人数≥800人；</w:t>
      </w:r>
    </w:p>
    <w:p w14:paraId="28037066">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⑨青少年赛事活动场次≥5000场次；</w:t>
      </w:r>
    </w:p>
    <w:p w14:paraId="5416574D">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⑩开展青少年赛事活动项目个数≥18项；</w:t>
      </w:r>
    </w:p>
    <w:p w14:paraId="552D502A">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⑪调查赛事数量≥3个；</w:t>
      </w:r>
    </w:p>
    <w:p w14:paraId="66E9A367">
      <w:pPr>
        <w:spacing w:line="560" w:lineRule="exact"/>
        <w:ind w:firstLine="64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32"/>
          <w:szCs w:val="32"/>
        </w:rPr>
        <w:t>⑫消费节启动仪式≥1个；</w:t>
      </w:r>
    </w:p>
    <w:p w14:paraId="536A71C0">
      <w:pPr>
        <w:spacing w:line="560" w:lineRule="exact"/>
        <w:ind w:firstLine="64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32"/>
          <w:szCs w:val="32"/>
        </w:rPr>
        <w:t>⑬竞技冰雪运动队数量≥21支；</w:t>
      </w:r>
    </w:p>
    <w:p w14:paraId="0198CB3B">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⑭举办高水平国际体育赛事≥4项；</w:t>
      </w:r>
    </w:p>
    <w:p w14:paraId="4EB56306">
      <w:pPr>
        <w:numPr>
          <w:ilvl w:val="0"/>
          <w:numId w:val="2"/>
        </w:num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产出质量指标</w:t>
      </w:r>
    </w:p>
    <w:p w14:paraId="180C31C3">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①体育场地设施问题响应率≥80%；</w:t>
      </w:r>
    </w:p>
    <w:p w14:paraId="43095458">
      <w:p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②科学健身指导关注人次≥750万人次；</w:t>
      </w:r>
    </w:p>
    <w:p w14:paraId="3ED72CFB">
      <w:pPr>
        <w:numPr>
          <w:ilvl w:val="0"/>
          <w:numId w:val="2"/>
        </w:num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产出进度指标</w:t>
      </w:r>
    </w:p>
    <w:p w14:paraId="61B3E36B">
      <w:pPr>
        <w:spacing w:line="560" w:lineRule="exact"/>
        <w:ind w:left="420" w:leftChars="200" w:firstLine="320" w:firstLineChars="1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各项目按计划完成：2024年12月31日前完成；</w:t>
      </w:r>
    </w:p>
    <w:p w14:paraId="0A47C7F7">
      <w:pPr>
        <w:numPr>
          <w:ilvl w:val="0"/>
          <w:numId w:val="2"/>
        </w:numPr>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效果指标</w:t>
      </w:r>
    </w:p>
    <w:p w14:paraId="70E0847B">
      <w:pPr>
        <w:spacing w:line="560" w:lineRule="exact"/>
        <w:ind w:left="420" w:leftChars="200"/>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经济效益：展会签约额≥70亿元；</w:t>
      </w:r>
    </w:p>
    <w:p w14:paraId="6180B467">
      <w:pPr>
        <w:spacing w:line="560" w:lineRule="exact"/>
        <w:ind w:firstLine="640" w:firstLineChars="200"/>
        <w:outlineLvl w:val="0"/>
        <w:rPr>
          <w:rFonts w:hint="eastAsia" w:ascii="黑体" w:hAnsi="黑体" w:eastAsia="黑体" w:cs="宋体"/>
          <w:color w:val="000000"/>
          <w:kern w:val="0"/>
          <w:sz w:val="32"/>
          <w:szCs w:val="32"/>
        </w:rPr>
      </w:pPr>
      <w:bookmarkStart w:id="4" w:name="_Toc9997"/>
      <w:r>
        <w:rPr>
          <w:rFonts w:hint="eastAsia" w:ascii="黑体" w:hAnsi="黑体" w:eastAsia="黑体" w:cs="宋体"/>
          <w:color w:val="000000"/>
          <w:kern w:val="0"/>
          <w:sz w:val="32"/>
          <w:szCs w:val="32"/>
        </w:rPr>
        <w:t>二、当年预算执行情况</w:t>
      </w:r>
      <w:bookmarkEnd w:id="4"/>
    </w:p>
    <w:p w14:paraId="1FAA1B6B">
      <w:pPr>
        <w:spacing w:line="560" w:lineRule="exact"/>
        <w:ind w:firstLine="640" w:firstLineChars="200"/>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kern w:val="0"/>
          <w:sz w:val="32"/>
          <w:szCs w:val="32"/>
          <w:highlight w:val="none"/>
        </w:rPr>
        <w:t>2024</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lang w:eastAsia="zh-CN"/>
        </w:rPr>
        <w:t>全年预算数</w:t>
      </w:r>
      <w:r>
        <w:rPr>
          <w:rFonts w:hint="eastAsia" w:ascii="仿宋_GB2312" w:hAnsi="宋体" w:eastAsia="仿宋_GB2312" w:cs="宋体"/>
          <w:color w:val="000000"/>
          <w:kern w:val="0"/>
          <w:sz w:val="32"/>
          <w:szCs w:val="32"/>
          <w:highlight w:val="none"/>
          <w:lang w:val="en-US" w:eastAsia="zh-CN"/>
        </w:rPr>
        <w:t>221,864.27万元，其中，基本支出预算数108,662.16万元，项目支出预算数113,202.11万元。全年</w:t>
      </w:r>
      <w:r>
        <w:rPr>
          <w:rFonts w:hint="eastAsia" w:ascii="仿宋_GB2312" w:hAnsi="宋体" w:eastAsia="仿宋_GB2312" w:cs="宋体"/>
          <w:color w:val="000000"/>
          <w:kern w:val="0"/>
          <w:sz w:val="32"/>
          <w:szCs w:val="32"/>
          <w:highlight w:val="none"/>
        </w:rPr>
        <w:t>支出204,168.9</w:t>
      </w:r>
      <w:r>
        <w:rPr>
          <w:rFonts w:hint="eastAsia" w:ascii="仿宋_GB2312" w:hAnsi="宋体" w:eastAsia="仿宋_GB2312" w:cs="宋体"/>
          <w:color w:val="000000"/>
          <w:kern w:val="0"/>
          <w:sz w:val="32"/>
          <w:szCs w:val="32"/>
          <w:highlight w:val="none"/>
          <w:lang w:val="en-US" w:eastAsia="zh-CN"/>
        </w:rPr>
        <w:t>2</w:t>
      </w:r>
      <w:r>
        <w:rPr>
          <w:rFonts w:ascii="仿宋_GB2312" w:hAnsi="宋体" w:eastAsia="仿宋_GB2312" w:cs="宋体"/>
          <w:color w:val="000000"/>
          <w:kern w:val="0"/>
          <w:sz w:val="32"/>
          <w:szCs w:val="32"/>
          <w:highlight w:val="none"/>
        </w:rPr>
        <w:t>万元，其中</w:t>
      </w:r>
      <w:r>
        <w:rPr>
          <w:rFonts w:hint="eastAsia" w:ascii="仿宋_GB2312" w:hAnsi="宋体" w:eastAsia="仿宋_GB2312" w:cs="宋体"/>
          <w:color w:val="000000"/>
          <w:kern w:val="0"/>
          <w:sz w:val="32"/>
          <w:szCs w:val="32"/>
          <w:highlight w:val="none"/>
          <w:lang w:eastAsia="zh-CN"/>
        </w:rPr>
        <w:t>，</w:t>
      </w:r>
      <w:r>
        <w:rPr>
          <w:rFonts w:ascii="仿宋_GB2312" w:hAnsi="宋体" w:eastAsia="仿宋_GB2312" w:cs="宋体"/>
          <w:color w:val="000000"/>
          <w:kern w:val="0"/>
          <w:sz w:val="32"/>
          <w:szCs w:val="32"/>
          <w:highlight w:val="none"/>
        </w:rPr>
        <w:t>基本支出</w:t>
      </w:r>
      <w:r>
        <w:rPr>
          <w:rFonts w:hint="eastAsia" w:ascii="仿宋_GB2312" w:hAnsi="宋体" w:eastAsia="仿宋_GB2312" w:cs="宋体"/>
          <w:color w:val="000000"/>
          <w:kern w:val="0"/>
          <w:sz w:val="32"/>
          <w:szCs w:val="32"/>
          <w:highlight w:val="none"/>
        </w:rPr>
        <w:t>101,374.5</w:t>
      </w:r>
      <w:r>
        <w:rPr>
          <w:rFonts w:hint="eastAsia" w:ascii="仿宋_GB2312" w:hAnsi="宋体" w:eastAsia="仿宋_GB2312" w:cs="宋体"/>
          <w:color w:val="000000"/>
          <w:kern w:val="0"/>
          <w:sz w:val="32"/>
          <w:szCs w:val="32"/>
          <w:highlight w:val="none"/>
          <w:lang w:val="en-US" w:eastAsia="zh-CN"/>
        </w:rPr>
        <w:t>9</w:t>
      </w:r>
      <w:r>
        <w:rPr>
          <w:rFonts w:ascii="仿宋_GB2312" w:hAnsi="宋体" w:eastAsia="仿宋_GB2312" w:cs="宋体"/>
          <w:color w:val="000000"/>
          <w:kern w:val="0"/>
          <w:sz w:val="32"/>
          <w:szCs w:val="32"/>
          <w:highlight w:val="none"/>
        </w:rPr>
        <w:t>万元，项目</w:t>
      </w:r>
      <w:r>
        <w:rPr>
          <w:rFonts w:hint="eastAsia" w:ascii="仿宋_GB2312" w:hAnsi="宋体" w:eastAsia="仿宋_GB2312" w:cs="宋体"/>
          <w:color w:val="000000"/>
          <w:kern w:val="0"/>
          <w:sz w:val="32"/>
          <w:szCs w:val="32"/>
          <w:highlight w:val="none"/>
        </w:rPr>
        <w:t>支出102,794.33</w:t>
      </w:r>
      <w:r>
        <w:rPr>
          <w:rFonts w:ascii="仿宋_GB2312" w:hAnsi="宋体" w:eastAsia="仿宋_GB2312" w:cs="宋体"/>
          <w:color w:val="000000"/>
          <w:kern w:val="0"/>
          <w:sz w:val="32"/>
          <w:szCs w:val="32"/>
          <w:highlight w:val="none"/>
        </w:rPr>
        <w:t>万元。</w:t>
      </w:r>
      <w:r>
        <w:rPr>
          <w:rFonts w:hint="eastAsia" w:ascii="仿宋_GB2312" w:hAnsi="宋体" w:eastAsia="仿宋_GB2312" w:cs="宋体"/>
          <w:color w:val="000000"/>
          <w:kern w:val="0"/>
          <w:sz w:val="32"/>
          <w:szCs w:val="32"/>
          <w:highlight w:val="none"/>
        </w:rPr>
        <w:t>预算</w:t>
      </w:r>
      <w:r>
        <w:rPr>
          <w:rFonts w:ascii="仿宋_GB2312" w:hAnsi="宋体" w:eastAsia="仿宋_GB2312" w:cs="宋体"/>
          <w:color w:val="000000"/>
          <w:kern w:val="0"/>
          <w:sz w:val="32"/>
          <w:szCs w:val="32"/>
          <w:highlight w:val="none"/>
        </w:rPr>
        <w:t>执行率为</w:t>
      </w:r>
      <w:r>
        <w:rPr>
          <w:rFonts w:hint="eastAsia" w:ascii="仿宋_GB2312" w:hAnsi="宋体" w:eastAsia="仿宋_GB2312" w:cs="宋体"/>
          <w:color w:val="000000"/>
          <w:kern w:val="0"/>
          <w:sz w:val="32"/>
          <w:szCs w:val="32"/>
          <w:highlight w:val="none"/>
        </w:rPr>
        <w:t>92.02%</w:t>
      </w:r>
      <w:r>
        <w:rPr>
          <w:rFonts w:hint="eastAsia" w:ascii="仿宋_GB2312" w:hAnsi="宋体" w:eastAsia="仿宋_GB2312" w:cs="宋体"/>
          <w:color w:val="000000"/>
          <w:kern w:val="0"/>
          <w:sz w:val="32"/>
          <w:szCs w:val="32"/>
          <w:highlight w:val="none"/>
          <w:lang w:eastAsia="zh-CN"/>
        </w:rPr>
        <w:t>。</w:t>
      </w:r>
    </w:p>
    <w:p w14:paraId="3B9C0FE7">
      <w:pPr>
        <w:spacing w:line="560" w:lineRule="exact"/>
        <w:ind w:firstLine="640" w:firstLineChars="200"/>
        <w:outlineLvl w:val="0"/>
        <w:rPr>
          <w:rFonts w:hint="eastAsia" w:ascii="黑体" w:hAnsi="黑体" w:eastAsia="黑体" w:cs="宋体"/>
          <w:color w:val="000000"/>
          <w:kern w:val="0"/>
          <w:sz w:val="32"/>
          <w:szCs w:val="32"/>
        </w:rPr>
      </w:pPr>
      <w:bookmarkStart w:id="5" w:name="_Toc663"/>
      <w:r>
        <w:rPr>
          <w:rFonts w:hint="eastAsia" w:ascii="黑体" w:hAnsi="黑体" w:eastAsia="黑体" w:cs="宋体"/>
          <w:color w:val="000000"/>
          <w:kern w:val="0"/>
          <w:sz w:val="32"/>
          <w:szCs w:val="32"/>
        </w:rPr>
        <w:t>三、整体绩效目标实现情况</w:t>
      </w:r>
      <w:bookmarkEnd w:id="5"/>
    </w:p>
    <w:p w14:paraId="365AB949">
      <w:pPr>
        <w:spacing w:line="560" w:lineRule="exact"/>
        <w:ind w:firstLine="640" w:firstLineChars="200"/>
        <w:outlineLvl w:val="1"/>
        <w:rPr>
          <w:rFonts w:ascii="楷体_GB2312" w:eastAsia="楷体_GB2312"/>
          <w:sz w:val="32"/>
          <w:szCs w:val="32"/>
        </w:rPr>
      </w:pPr>
      <w:bookmarkStart w:id="6" w:name="_Toc11468"/>
      <w:r>
        <w:rPr>
          <w:rFonts w:hint="eastAsia" w:ascii="楷体_GB2312" w:eastAsia="楷体_GB2312"/>
          <w:sz w:val="32"/>
          <w:szCs w:val="32"/>
        </w:rPr>
        <w:t>（一）产出完成情况分析</w:t>
      </w:r>
      <w:bookmarkEnd w:id="6"/>
    </w:p>
    <w:p w14:paraId="389A07A2">
      <w:pPr>
        <w:spacing w:line="56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14:paraId="7EBDAE97">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（1）全民健身赛事活动</w:t>
      </w:r>
    </w:p>
    <w:p w14:paraId="68BCF655">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highlight w:val="none"/>
        </w:rPr>
        <w:t>2024年度，北京市体育局深入贯彻全民健身发展战略，以民生实事项目为抓手，紧扣群众多元化体育需求，精心打造多层次、广覆盖的全民健身赛事体系。全年累计举办北京市体育大会、公园半程马拉松、社区杯足球赛、北京市乒乓球公开赛、市民快乐冰雪季等各级各类赛事活动3.8万余场次，</w:t>
      </w:r>
      <w:r>
        <w:rPr>
          <w:rFonts w:hint="eastAsia" w:ascii="仿宋_GB2312" w:hAnsi="宋体" w:eastAsia="仿宋_GB2312" w:cs="宋体"/>
          <w:kern w:val="0"/>
          <w:sz w:val="32"/>
          <w:szCs w:val="32"/>
          <w:highlight w:val="none"/>
          <w:lang w:val="en-US" w:eastAsia="zh-CN"/>
        </w:rPr>
        <w:t>群众直接参与人数约202万</w:t>
      </w:r>
      <w:r>
        <w:rPr>
          <w:rFonts w:hint="eastAsia" w:ascii="仿宋_GB2312" w:hAnsi="宋体" w:eastAsia="仿宋_GB2312" w:cs="宋体"/>
          <w:kern w:val="0"/>
          <w:sz w:val="32"/>
          <w:szCs w:val="32"/>
          <w:highlight w:val="none"/>
        </w:rPr>
        <w:t>。积极组队参加第一届全民健身</w:t>
      </w:r>
      <w:r>
        <w:rPr>
          <w:rFonts w:hint="eastAsia" w:ascii="仿宋_GB2312" w:hAnsi="宋体" w:eastAsia="仿宋_GB2312" w:cs="宋体"/>
          <w:kern w:val="0"/>
          <w:sz w:val="32"/>
          <w:szCs w:val="32"/>
        </w:rPr>
        <w:t>大赛（华北区）、第一届全国全民健身大赛总决赛和第十三届全国少数民族运动会，取得优异成绩，充分展现了首都群众体育发展的丰硕成果。</w:t>
      </w:r>
    </w:p>
    <w:p w14:paraId="24FCE7A9">
      <w:pPr>
        <w:numPr>
          <w:ilvl w:val="0"/>
          <w:numId w:val="3"/>
        </w:num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科学健身指导</w:t>
      </w:r>
    </w:p>
    <w:p w14:paraId="285A4CB0">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2024年，北京市体育局多措并举推进科学健身指导服务体系建设，取得显著成效。开展社会体育指导员岗位培训，推动全民健身人才建设。全年创新开展全民健身科学指导大讲堂780余场。加大社会体育指导员培养力度，高质量完成20期专项培训，成功举办京津冀社会体育指导员交流展示大会，吸引近1.3万名健身爱好者参与互动。深入推进体医融合创新发展，组织专业运动处方培训。</w:t>
      </w:r>
    </w:p>
    <w:p w14:paraId="381DA023">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（3）竞技体育发展</w:t>
      </w:r>
    </w:p>
    <w:p w14:paraId="128AD1D8">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2024年，北京市体育局全面优化竞技体育发展体系，构建了科学完备的竞技体育新格局。在项目布局方面，形成了冬夏均衡、优势突出的项目体系，为国家和首都培养输送高水平体育人才奠定了坚实基础。</w:t>
      </w:r>
    </w:p>
    <w:p w14:paraId="279AF4DB">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建设5所高水平竞技体育训练基地，打造了层次分明、功能完善的高水平训练网络，为提升竞技水平提供了强有力的硬件支撑。</w:t>
      </w:r>
    </w:p>
    <w:p w14:paraId="527D9761">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在人才队伍建设方面，建立了系统化、专业化的培养体系。全年开展教练员、裁判员、运动医疗师等各类专业培训4期，为竞技体育可持续发展提供了坚实的人才保障。</w:t>
      </w:r>
    </w:p>
    <w:p w14:paraId="00BA8B37">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（4）青少年体育发展</w:t>
      </w:r>
    </w:p>
    <w:p w14:paraId="4D58F363">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2024年度，北京市体育局加快建设新型青训体系，全面布局“633战略”项目，加强全生命周期人才梯队建设，构建全要素融合发展生态体系。开展传统校调查评估工作，260所学校参加评估，持续推进体教融合。</w:t>
      </w:r>
    </w:p>
    <w:p w14:paraId="30C7EA96">
      <w:pPr>
        <w:pStyle w:val="2"/>
        <w:spacing w:line="56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（5）青少年赛事活动</w:t>
      </w:r>
    </w:p>
    <w:p w14:paraId="0C0AFCFD">
      <w:pPr>
        <w:pStyle w:val="2"/>
        <w:spacing w:line="56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广泛组织市级青少年体育赛事，会同市教委首次制定发布年度北京市学生（青少年）竞赛计划，涵盖159项市级以上青少年体育赛事。成功举办冠军赛、锦标赛、冰球俱乐部联赛等青少年体育赛事。积极开展以“奔跑吧·少年”为主题的活动近100场，广泛吸引儿童青少年参与体育运动。</w:t>
      </w:r>
    </w:p>
    <w:p w14:paraId="2A672D88">
      <w:pPr>
        <w:pStyle w:val="2"/>
        <w:spacing w:line="56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（6）体育产业发展与消费促进</w:t>
      </w:r>
    </w:p>
    <w:p w14:paraId="7676C7F3">
      <w:pPr>
        <w:pStyle w:val="2"/>
        <w:spacing w:line="56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2024年度北京市体育局进一步加强体育行业管理，强化预付式消费监管。加大校外培训机构监管力度，开展经营单位信用评价。对全市5000余家运动项目经营单位开展检查督查；加强高危体育项目经营许可管理，健全安全生产评估机制，全市体育行业安全生产形势整体稳定。</w:t>
      </w:r>
    </w:p>
    <w:p w14:paraId="11D93759">
      <w:pPr>
        <w:pStyle w:val="2"/>
        <w:spacing w:line="560" w:lineRule="exact"/>
        <w:ind w:firstLine="64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注重发挥“体育+”作用，推动体商文旅融合发展，大力促进体育消费。成功举办第五届“8·8”北京体育消费节。举办2024年服贸会体育服务专题</w:t>
      </w:r>
      <w:r>
        <w:rPr>
          <w:rFonts w:hint="eastAsia" w:ascii="仿宋_GB2312" w:hAnsi="宋体" w:eastAsia="仿宋_GB2312" w:cs="宋体"/>
          <w:kern w:val="0"/>
          <w:sz w:val="32"/>
          <w:szCs w:val="32"/>
        </w:rPr>
        <w:t>。</w:t>
      </w:r>
    </w:p>
    <w:p w14:paraId="5C4B440D">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（7）竞技冰雪运动队训练比赛</w:t>
      </w:r>
    </w:p>
    <w:p w14:paraId="64EFB21D">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持续提升冬季项目竞技水平，北京运动员参加第十四届全国冬运会</w:t>
      </w:r>
      <w:r>
        <w:rPr>
          <w:rFonts w:hint="eastAsia" w:ascii="仿宋_GB2312" w:hAnsi="宋体" w:eastAsia="仿宋_GB2312" w:cs="宋体"/>
          <w:kern w:val="0"/>
          <w:sz w:val="32"/>
          <w:szCs w:val="32"/>
          <w:lang w:eastAsia="zh-CN"/>
        </w:rPr>
        <w:t>取得优异</w:t>
      </w:r>
      <w:r>
        <w:rPr>
          <w:rFonts w:hint="eastAsia" w:ascii="仿宋_GB2312" w:hAnsi="宋体" w:eastAsia="仿宋_GB2312" w:cs="宋体"/>
          <w:kern w:val="0"/>
          <w:sz w:val="32"/>
          <w:szCs w:val="32"/>
        </w:rPr>
        <w:t>成绩。积极优化项目布局，北京冰雪运动队在全国指令性比赛中</w:t>
      </w:r>
      <w:r>
        <w:rPr>
          <w:rFonts w:hint="eastAsia" w:ascii="仿宋_GB2312" w:hAnsi="宋体" w:eastAsia="仿宋_GB2312" w:cs="宋体"/>
          <w:kern w:val="0"/>
          <w:sz w:val="32"/>
          <w:szCs w:val="32"/>
          <w:lang w:eastAsia="zh-CN"/>
        </w:rPr>
        <w:t>获得优异成绩</w:t>
      </w:r>
      <w:r>
        <w:rPr>
          <w:rFonts w:hint="eastAsia" w:ascii="仿宋_GB2312" w:hAnsi="宋体" w:eastAsia="仿宋_GB2312" w:cs="宋体"/>
          <w:kern w:val="0"/>
          <w:sz w:val="32"/>
          <w:szCs w:val="32"/>
        </w:rPr>
        <w:t>，北京男子冰球队第四次获得全国男子冰球锦标赛冠军，女子冰球队夺得全国女子冰球锦标赛冠军。</w:t>
      </w:r>
    </w:p>
    <w:p w14:paraId="245E0476">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（8）国际顶级赛事</w:t>
      </w:r>
    </w:p>
    <w:p w14:paraId="1D592FB1">
      <w:pPr>
        <w:spacing w:line="560" w:lineRule="exact"/>
        <w:ind w:firstLine="640" w:firstLineChars="200"/>
      </w:pPr>
      <w:r>
        <w:rPr>
          <w:rFonts w:hint="eastAsia" w:ascii="仿宋_GB2312" w:hAnsi="宋体" w:eastAsia="仿宋_GB2312" w:cs="宋体"/>
          <w:kern w:val="0"/>
          <w:sz w:val="32"/>
          <w:szCs w:val="32"/>
        </w:rPr>
        <w:t>2024年度北京市体育局以北京双奥国际赛事名城建设为契机，创设“双奥100”精品赛事体系，优化整合体育空间资源和赛事资源，构建“一环、四区、N场景”赛事布局，初步形成城市体育活力环、精彩赛事聚集区、时尚运动聚集区、魅力健身聚集区、体育休闲聚集区和各具特色的体育运动新场景。建立“1+1+1+N”赛事运行保障机制，加强综合运行和赛事监管，全面提升赛事服务水平。成功举办花样游泳世界杯、钢架雪车世界杯、单板及自由式滑雪大跳台世界杯、短道速滑世界巡回赛、速度滑冰世界杯等21项国际顶级赛事。</w:t>
      </w:r>
    </w:p>
    <w:p w14:paraId="12E0328F">
      <w:pPr>
        <w:spacing w:line="560" w:lineRule="exact"/>
        <w:ind w:left="420" w:leftChars="200" w:firstLine="320" w:firstLineChars="1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14:paraId="38F7E06A">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（1）体育场地设施问题响应率</w:t>
      </w:r>
    </w:p>
    <w:p w14:paraId="34C048A6">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2024年度全民健身场地设施供给不断增加，改扩建体育公园10个，新建、更新室外健身器材5465件，安装乒乓球桌400张，安装儿童健身设施器材1710件。常态化开展全市全民健身设施巡检和室外健身器材“一键报修”工作，全年加装二维码标牌5万余块，器材维修维护2500余件，全民健身场地器材管理水平进一步提升。</w:t>
      </w:r>
    </w:p>
    <w:p w14:paraId="0039B32D">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（2）科学健身指导关注人次</w:t>
      </w:r>
    </w:p>
    <w:p w14:paraId="717E5E17">
      <w:pPr>
        <w:spacing w:line="560" w:lineRule="exact"/>
        <w:ind w:firstLine="640" w:firstLineChars="200"/>
      </w:pPr>
      <w:r>
        <w:rPr>
          <w:rFonts w:hint="eastAsia" w:ascii="仿宋_GB2312" w:hAnsi="宋体" w:eastAsia="仿宋_GB2312" w:cs="宋体"/>
          <w:kern w:val="0"/>
          <w:sz w:val="32"/>
          <w:szCs w:val="32"/>
        </w:rPr>
        <w:t>2024年度，北京市体育局继续加强全民健身宣传和科学健身普及力度，举办全民健身科学指导大讲堂780</w:t>
      </w:r>
      <w:r>
        <w:rPr>
          <w:rFonts w:hint="eastAsia" w:ascii="仿宋_GB2312" w:hAnsi="宋体" w:eastAsia="仿宋_GB2312" w:cs="宋体"/>
          <w:kern w:val="0"/>
          <w:sz w:val="32"/>
          <w:szCs w:val="32"/>
          <w:lang w:eastAsia="zh-CN"/>
        </w:rPr>
        <w:t>余</w:t>
      </w:r>
      <w:r>
        <w:rPr>
          <w:rFonts w:hint="eastAsia" w:ascii="仿宋_GB2312" w:hAnsi="宋体" w:eastAsia="仿宋_GB2312" w:cs="宋体"/>
          <w:kern w:val="0"/>
          <w:sz w:val="32"/>
          <w:szCs w:val="32"/>
        </w:rPr>
        <w:t>场，广泛普及科学健身知识，</w:t>
      </w:r>
      <w:r>
        <w:rPr>
          <w:rFonts w:hint="eastAsia" w:ascii="仿宋_GB2312" w:hAnsi="宋体" w:eastAsia="仿宋_GB2312" w:cs="宋体"/>
          <w:kern w:val="0"/>
          <w:sz w:val="32"/>
          <w:szCs w:val="32"/>
          <w:highlight w:val="none"/>
        </w:rPr>
        <w:t>科学健身指导关注人数达1000万人次，全</w:t>
      </w:r>
      <w:r>
        <w:rPr>
          <w:rFonts w:hint="eastAsia" w:ascii="仿宋_GB2312" w:hAnsi="宋体" w:eastAsia="仿宋_GB2312" w:cs="宋体"/>
          <w:kern w:val="0"/>
          <w:sz w:val="32"/>
          <w:szCs w:val="32"/>
        </w:rPr>
        <w:t>民健身事业实现高质量发展。</w:t>
      </w:r>
    </w:p>
    <w:p w14:paraId="4BE57C1F">
      <w:pPr>
        <w:spacing w:line="56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p>
    <w:p w14:paraId="0C894FDA">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2024年度北京市体育局</w:t>
      </w:r>
      <w:r>
        <w:rPr>
          <w:rFonts w:hint="eastAsia" w:ascii="仿宋_GB2312" w:hAnsi="宋体" w:eastAsia="仿宋_GB2312" w:cs="宋体"/>
          <w:kern w:val="0"/>
          <w:sz w:val="32"/>
          <w:szCs w:val="32"/>
          <w:highlight w:val="none"/>
          <w:lang w:eastAsia="zh-CN"/>
        </w:rPr>
        <w:t>各项任务</w:t>
      </w:r>
      <w:r>
        <w:rPr>
          <w:rFonts w:hint="eastAsia" w:ascii="仿宋_GB2312" w:hAnsi="宋体" w:eastAsia="仿宋_GB2312" w:cs="宋体"/>
          <w:kern w:val="0"/>
          <w:sz w:val="32"/>
          <w:szCs w:val="32"/>
          <w:highlight w:val="none"/>
        </w:rPr>
        <w:t>均按计划推进，未发生重大延期或取消事件。</w:t>
      </w:r>
    </w:p>
    <w:p w14:paraId="5BD0780D">
      <w:pPr>
        <w:spacing w:line="560" w:lineRule="exact"/>
        <w:ind w:left="105" w:leftChars="50" w:firstLine="480" w:firstLineChars="15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p>
    <w:p w14:paraId="0ECDE653">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highlight w:val="none"/>
        </w:rPr>
        <w:t>北京市体育局2024年基本支出实际执行金额101,374.5</w:t>
      </w:r>
      <w:r>
        <w:rPr>
          <w:rFonts w:hint="eastAsia" w:ascii="仿宋_GB2312" w:hAnsi="宋体" w:eastAsia="仿宋_GB2312" w:cs="宋体"/>
          <w:kern w:val="0"/>
          <w:sz w:val="32"/>
          <w:szCs w:val="32"/>
          <w:highlight w:val="none"/>
          <w:lang w:val="en-US" w:eastAsia="zh-CN"/>
        </w:rPr>
        <w:t>9</w:t>
      </w:r>
      <w:r>
        <w:rPr>
          <w:rFonts w:hint="eastAsia" w:ascii="仿宋_GB2312" w:hAnsi="宋体" w:eastAsia="仿宋_GB2312" w:cs="宋体"/>
          <w:kern w:val="0"/>
          <w:sz w:val="32"/>
          <w:szCs w:val="32"/>
          <w:highlight w:val="none"/>
        </w:rPr>
        <w:t>万元；项目支出实际执行金额102,794.33万元，各</w:t>
      </w:r>
      <w:r>
        <w:rPr>
          <w:rFonts w:hint="eastAsia" w:ascii="仿宋_GB2312" w:hAnsi="宋体" w:eastAsia="仿宋_GB2312" w:cs="宋体"/>
          <w:kern w:val="0"/>
          <w:sz w:val="32"/>
          <w:szCs w:val="32"/>
        </w:rPr>
        <w:t>项经费未出现超预算支出情况，实际成本控制在预算范围内。</w:t>
      </w:r>
    </w:p>
    <w:p w14:paraId="74E9B152">
      <w:pPr>
        <w:spacing w:line="560" w:lineRule="exact"/>
        <w:ind w:firstLine="640" w:firstLineChars="200"/>
        <w:outlineLvl w:val="1"/>
        <w:rPr>
          <w:rFonts w:ascii="楷体_GB2312" w:eastAsia="楷体_GB2312"/>
          <w:sz w:val="32"/>
          <w:szCs w:val="32"/>
        </w:rPr>
      </w:pPr>
      <w:bookmarkStart w:id="7" w:name="_Toc28384"/>
      <w:r>
        <w:rPr>
          <w:rFonts w:hint="eastAsia" w:ascii="楷体_GB2312" w:eastAsia="楷体_GB2312"/>
          <w:sz w:val="32"/>
          <w:szCs w:val="32"/>
        </w:rPr>
        <w:t>（二）效果实现情况分析</w:t>
      </w:r>
      <w:bookmarkEnd w:id="7"/>
    </w:p>
    <w:p w14:paraId="711D54EC">
      <w:pPr>
        <w:spacing w:line="56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14:paraId="56F17122">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rPr>
        <w:t>（1）2024年度，北京市体育局坚持以体育魅力激发经济活力，加快</w:t>
      </w:r>
      <w:r>
        <w:rPr>
          <w:rFonts w:hint="eastAsia" w:ascii="仿宋_GB2312" w:hAnsi="宋体" w:eastAsia="仿宋_GB2312" w:cs="宋体"/>
          <w:kern w:val="0"/>
          <w:sz w:val="32"/>
          <w:szCs w:val="32"/>
          <w:highlight w:val="none"/>
        </w:rPr>
        <w:t>推动体育产业发展，举办2024年服贸会体育服务专题。</w:t>
      </w:r>
    </w:p>
    <w:p w14:paraId="5B9CDADB">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开展体育旅游精品景区、线路、赛事、项目和目的地评选工作，龙潭中湖公园、北京国际山地徒步大会、百里山水画廊骑游、云居滑雪场等84个项目评为市级精品，延庆奥林匹克园区、什刹海、国际马术文化周、城市副中心马拉松获评国家体育旅游精品项目。</w:t>
      </w:r>
      <w:r>
        <w:rPr>
          <w:rFonts w:hint="eastAsia" w:ascii="仿宋_GB2312" w:hAnsi="宋体" w:eastAsia="仿宋_GB2312" w:cs="宋体"/>
          <w:kern w:val="0"/>
          <w:sz w:val="32"/>
          <w:szCs w:val="32"/>
          <w:lang w:val="en-US" w:eastAsia="zh-CN"/>
        </w:rPr>
        <w:t>发布体育赛事活动进景区、进街区、进商圈计划，举办活动116项次。</w:t>
      </w:r>
    </w:p>
    <w:p w14:paraId="138ECB37">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rPr>
        <w:t>（3）围绕“风险、品牌、渠道”</w:t>
      </w:r>
      <w:r>
        <w:rPr>
          <w:rFonts w:hint="eastAsia" w:ascii="仿宋_GB2312" w:hAnsi="宋体" w:eastAsia="仿宋_GB2312" w:cs="宋体"/>
          <w:kern w:val="0"/>
          <w:sz w:val="32"/>
          <w:szCs w:val="32"/>
          <w:highlight w:val="none"/>
        </w:rPr>
        <w:t>三个维度加强工作，体育彩票高质量发展和高水平安全同步推进。</w:t>
      </w:r>
    </w:p>
    <w:p w14:paraId="5BB0FC56">
      <w:pPr>
        <w:spacing w:line="560" w:lineRule="exact"/>
        <w:ind w:firstLine="640" w:firstLineChars="200"/>
      </w:pPr>
      <w:r>
        <w:rPr>
          <w:rFonts w:hint="eastAsia" w:ascii="仿宋_GB2312" w:hAnsi="宋体" w:eastAsia="仿宋_GB2312" w:cs="宋体"/>
          <w:kern w:val="0"/>
          <w:sz w:val="32"/>
          <w:szCs w:val="32"/>
        </w:rPr>
        <w:t>（4）支持冰雪服务消费发展</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开放冰雪运动经营场所85个，2023年12月15日至2024年3月5日累计接待约400万人次。</w:t>
      </w:r>
    </w:p>
    <w:p w14:paraId="6DC33359">
      <w:pPr>
        <w:spacing w:line="56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14:paraId="55E73FB0">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2024年度，北京市体育局坚持以习近平新时代中国特色社会主义思想为指导，全面贯彻落实党的二十大和二十届二中、三中全会精神，深入贯彻习近平总书记接见第33届夏季奥运会中国体育代表团全体成员重要讲话精神、对北京重要讲话精神和对体育工作重要指示批示精神，深入学习贯彻市委全会精神，认真落实市委市政府决策部署，立足“四个中心”城市战略定位，发挥“双奥之城”优势，打造“双奥100”精品赛事体系，优化整合体育空间资源和赛事资源，初步形成“一环、四区、N场景”赛事布局，以赛事为引领，带动群众体育、竞技体育、青少年体育、体育产业等全面发展，推动首都体育事业高质量发展，为体育强国建设作出北京贡献。</w:t>
      </w:r>
    </w:p>
    <w:p w14:paraId="20863CBD">
      <w:pPr>
        <w:spacing w:line="560" w:lineRule="exact"/>
        <w:ind w:firstLine="640" w:firstLineChars="200"/>
      </w:pPr>
      <w:r>
        <w:rPr>
          <w:rFonts w:hint="eastAsia" w:ascii="仿宋_GB2312" w:hAnsi="宋体" w:eastAsia="仿宋_GB2312" w:cs="宋体"/>
          <w:kern w:val="0"/>
          <w:sz w:val="32"/>
          <w:szCs w:val="32"/>
        </w:rPr>
        <w:t>（2）全面优化营商环境，服务企业更好更快发展。印发2024年度重点体育企业调研走访工作通知，依托市级“服务包”工作机制，重点对本市规模以上企业建立动态监测机制，加强企业走访服务，协调解决问题。</w:t>
      </w:r>
    </w:p>
    <w:p w14:paraId="26AC0CFF">
      <w:pPr>
        <w:spacing w:line="560" w:lineRule="exact"/>
        <w:ind w:firstLine="640" w:firstLineChars="200"/>
      </w:pPr>
      <w:r>
        <w:rPr>
          <w:rFonts w:hint="eastAsia" w:ascii="仿宋_GB2312" w:hAnsi="宋体" w:eastAsia="仿宋_GB2312" w:cs="宋体"/>
          <w:kern w:val="0"/>
          <w:sz w:val="32"/>
          <w:szCs w:val="32"/>
        </w:rPr>
        <w:t>（3）坚持人民至上，持续加强场地设施和赛事活动供给，全民健身普惠全民。开展丰富多彩的全民健身活动，营造浓厚全民健身氛围，广泛开展科学健身指导，普及全民健身运动知识，持续完善全民健身组织网络，提高全民健身的社会影响力和关注度。</w:t>
      </w:r>
    </w:p>
    <w:p w14:paraId="0843F9AE">
      <w:pPr>
        <w:spacing w:line="56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3.可持续</w:t>
      </w:r>
      <w:r>
        <w:rPr>
          <w:rFonts w:ascii="仿宋_GB2312" w:hAnsi="宋体" w:eastAsia="仿宋_GB2312" w:cs="宋体"/>
          <w:color w:val="000000"/>
          <w:kern w:val="0"/>
          <w:sz w:val="32"/>
          <w:szCs w:val="32"/>
        </w:rPr>
        <w:t>性影响</w:t>
      </w:r>
    </w:p>
    <w:p w14:paraId="444F9896">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在2024年巴黎奥运会上，北京健儿勇攀高峰、不负使命、再创辉煌，在乒乓球、跳水、田径、花样游泳、体操、射箭等优势项目上斩获5金2银1铜的优异成绩，金牌总数和贡献率较上届奥运会实现新突破。更为可贵的是，全体参赛运动员以精湛的技艺和昂扬的斗志，生动诠释了中华体育精神和奥林匹克精神，充分展现了“双奥之城”的时代风范和北京青年朝气蓬勃、奋发有为的精神品格。</w:t>
      </w:r>
    </w:p>
    <w:p w14:paraId="477A2A57">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在体育人才培养方面，着力构建现代化青训体系，重点推进“633战略”项目布局，打造全周期、多维度的人才培养机制。通过深化与高校的战略合作，在科学化训练体系构建、复合型人才培养等方面取得实质性进展。同时，积极拓展国际交流渠道，深化与国际学校合作，助推优秀青少年运动员职业化、国际化发展。</w:t>
      </w:r>
    </w:p>
    <w:p w14:paraId="56A70D3C">
      <w:pPr>
        <w:spacing w:line="560" w:lineRule="exact"/>
        <w:ind w:firstLine="640" w:firstLineChars="200"/>
        <w:outlineLvl w:val="0"/>
        <w:rPr>
          <w:rFonts w:hint="eastAsia" w:ascii="黑体" w:hAnsi="黑体" w:eastAsia="黑体" w:cs="宋体"/>
          <w:color w:val="000000"/>
          <w:kern w:val="0"/>
          <w:sz w:val="32"/>
          <w:szCs w:val="32"/>
        </w:rPr>
      </w:pPr>
      <w:bookmarkStart w:id="8" w:name="_Toc16634"/>
      <w:r>
        <w:rPr>
          <w:rFonts w:hint="eastAsia" w:ascii="黑体" w:hAnsi="黑体" w:eastAsia="黑体" w:cs="宋体"/>
          <w:color w:val="000000"/>
          <w:kern w:val="0"/>
          <w:sz w:val="32"/>
          <w:szCs w:val="32"/>
        </w:rPr>
        <w:t>四、预算管理情况分析</w:t>
      </w:r>
      <w:bookmarkEnd w:id="8"/>
    </w:p>
    <w:p w14:paraId="313060C8">
      <w:pPr>
        <w:spacing w:line="560" w:lineRule="exact"/>
        <w:ind w:firstLine="640" w:firstLineChars="200"/>
        <w:outlineLvl w:val="1"/>
        <w:rPr>
          <w:rFonts w:ascii="楷体_GB2312" w:eastAsia="楷体_GB2312"/>
          <w:sz w:val="32"/>
          <w:szCs w:val="32"/>
        </w:rPr>
      </w:pPr>
      <w:bookmarkStart w:id="9" w:name="_Toc12893"/>
      <w:r>
        <w:rPr>
          <w:rFonts w:hint="eastAsia" w:ascii="楷体_GB2312" w:eastAsia="楷体_GB2312"/>
          <w:sz w:val="32"/>
          <w:szCs w:val="32"/>
        </w:rPr>
        <w:t>（一）财务管理</w:t>
      </w:r>
      <w:bookmarkEnd w:id="9"/>
    </w:p>
    <w:p w14:paraId="5360A88B">
      <w:pPr>
        <w:spacing w:line="56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14:paraId="0CA742B6">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北京市体育局严格遵循国家财经法律法规和政策要求，全面构建规范高效的财务管理制度体系。依据《中华人民共和国会计法》《中华人民共和国预算法》等法律法规和文件规定，结合本部门工作实际，系统性地建立了覆盖预算管理全流程、政府采购各环节的内部控制制度体系，为提升财务管理效能、防范财务风险提供了坚实的制度保障。</w:t>
      </w:r>
    </w:p>
    <w:p w14:paraId="6709C942">
      <w:pPr>
        <w:spacing w:line="560" w:lineRule="exact"/>
        <w:ind w:left="105" w:leftChars="50" w:firstLine="480" w:firstLineChars="1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14:paraId="0BEADEA9">
      <w:pPr>
        <w:spacing w:line="560" w:lineRule="exact"/>
        <w:ind w:firstLine="640" w:firstLineChars="200"/>
      </w:pPr>
      <w:r>
        <w:rPr>
          <w:rFonts w:hint="eastAsia" w:ascii="仿宋_GB2312" w:hAnsi="宋体" w:eastAsia="仿宋_GB2312" w:cs="宋体"/>
          <w:kern w:val="0"/>
          <w:sz w:val="32"/>
          <w:szCs w:val="32"/>
        </w:rPr>
        <w:t>2024年度，北京市体育局深入贯彻中央八项规定精神，进一步提高资金使用合规性和安全性，建立了系统性的经费管理制度，明确了各项开支范围和标准，在资金使用过程中严格把关，认真落实“三重一大”制度、财务审批权限和经费报批手续，严格按政府采购、政府购买服务、合同法相关要求对项目资金进行全过程管理，确保资金使用的规范性和效益性，防范经济活动风险。</w:t>
      </w:r>
    </w:p>
    <w:p w14:paraId="4E1B921D">
      <w:pPr>
        <w:spacing w:line="560" w:lineRule="exact"/>
        <w:ind w:left="105" w:leftChars="50" w:firstLine="480" w:firstLineChars="150"/>
        <w:rPr>
          <w:rFonts w:hint="eastAsia"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14:paraId="43C8CB82">
      <w:pPr>
        <w:spacing w:line="560" w:lineRule="exact"/>
        <w:ind w:firstLine="640" w:firstLineChars="200"/>
      </w:pPr>
      <w:r>
        <w:rPr>
          <w:rFonts w:hint="eastAsia" w:ascii="仿宋_GB2312" w:hAnsi="宋体" w:eastAsia="仿宋_GB2312" w:cs="宋体"/>
          <w:kern w:val="0"/>
          <w:sz w:val="32"/>
          <w:szCs w:val="32"/>
        </w:rPr>
        <w:t>北京市体育局建立了系统完备的会计基础信息管理体系，具有完善的会计核算制度体系和组织保障机制，设立专职会计机构，配备专业会计人员，严格按照《中华人民共和国会计法》《中华人民共和国预算法》《政府会计准则——基本准则》《政府会计制度——行政事业单位会计科目和报表》《政府会计准则制度解释第5号》等要求，对发生的各项经济业务或事项进行会计核算，具备财务会计与预算会计双重功能，能够全面、清晰地反映财务信息和预算执行信息。会计信息质量完整、准确、及时。</w:t>
      </w:r>
    </w:p>
    <w:p w14:paraId="53CA7A96">
      <w:pPr>
        <w:spacing w:line="560" w:lineRule="exact"/>
        <w:ind w:firstLine="640" w:firstLineChars="200"/>
        <w:outlineLvl w:val="1"/>
        <w:rPr>
          <w:rFonts w:ascii="楷体_GB2312" w:eastAsia="楷体_GB2312"/>
          <w:sz w:val="32"/>
          <w:szCs w:val="32"/>
        </w:rPr>
      </w:pPr>
      <w:bookmarkStart w:id="10" w:name="_Toc21771"/>
      <w:r>
        <w:rPr>
          <w:rFonts w:hint="eastAsia" w:ascii="楷体_GB2312" w:eastAsia="楷体_GB2312"/>
          <w:sz w:val="32"/>
          <w:szCs w:val="32"/>
        </w:rPr>
        <w:t>（二）资产管理</w:t>
      </w:r>
      <w:bookmarkEnd w:id="10"/>
    </w:p>
    <w:p w14:paraId="3A98C83C">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北京市体育局</w:t>
      </w:r>
      <w:r>
        <w:rPr>
          <w:rFonts w:hint="eastAsia" w:ascii="仿宋_GB2312" w:hAnsi="仿宋_GB2312" w:eastAsia="仿宋_GB2312" w:cs="仿宋_GB2312"/>
          <w:sz w:val="32"/>
          <w:szCs w:val="32"/>
          <w:lang w:eastAsia="zh-CN"/>
        </w:rPr>
        <w:t>深入落实《行政事业性国有资产管理条例》，坚持配置科</w:t>
      </w:r>
      <w:r>
        <w:rPr>
          <w:rFonts w:hint="eastAsia" w:ascii="仿宋_GB2312" w:hAnsi="仿宋_GB2312" w:eastAsia="仿宋_GB2312" w:cs="仿宋_GB2312"/>
          <w:sz w:val="32"/>
          <w:szCs w:val="32"/>
        </w:rPr>
        <w:t>学、使用高效、处置规范、保障有力、监督到位，建立市体育局综合监管、单位占有使用并主责管理的资产管理机制，</w:t>
      </w:r>
      <w:r>
        <w:rPr>
          <w:rFonts w:hint="eastAsia" w:ascii="仿宋_GB2312" w:hAnsi="仿宋_GB2312" w:eastAsia="仿宋_GB2312" w:cs="仿宋_GB2312"/>
          <w:sz w:val="32"/>
          <w:szCs w:val="32"/>
          <w:lang w:eastAsia="zh-CN"/>
        </w:rPr>
        <w:t>强化局机关对局系统各单位资产综合统筹监管</w:t>
      </w:r>
      <w:r>
        <w:rPr>
          <w:rFonts w:hint="eastAsia" w:ascii="仿宋_GB2312" w:hAnsi="仿宋_GB2312" w:eastAsia="仿宋_GB2312" w:cs="仿宋_GB2312"/>
          <w:sz w:val="32"/>
          <w:szCs w:val="32"/>
          <w:lang w:eastAsia="zh"/>
        </w:rPr>
        <w:t>，其他各事业单位负责对其占有使用的资产实施管理，强化主体责任</w:t>
      </w:r>
      <w:r>
        <w:rPr>
          <w:rFonts w:hint="eastAsia" w:ascii="仿宋_GB2312" w:hAnsi="仿宋_GB2312" w:eastAsia="仿宋_GB2312" w:cs="仿宋_GB2312"/>
          <w:sz w:val="32"/>
          <w:szCs w:val="32"/>
          <w:lang w:eastAsia="zh-CN"/>
        </w:rPr>
        <w:t>落实与部门内部协同</w:t>
      </w:r>
      <w:r>
        <w:rPr>
          <w:rFonts w:hint="eastAsia" w:ascii="仿宋_GB2312" w:hAnsi="仿宋_GB2312" w:eastAsia="仿宋_GB2312" w:cs="仿宋_GB2312"/>
          <w:sz w:val="32"/>
          <w:szCs w:val="32"/>
          <w:lang w:eastAsia="zh"/>
        </w:rPr>
        <w:t>，切实</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
        </w:rPr>
        <w:t>国有</w:t>
      </w:r>
      <w:r>
        <w:rPr>
          <w:rFonts w:hint="eastAsia" w:ascii="仿宋_GB2312" w:hAnsi="仿宋_GB2312" w:eastAsia="仿宋_GB2312" w:cs="仿宋_GB2312"/>
          <w:sz w:val="32"/>
          <w:szCs w:val="32"/>
        </w:rPr>
        <w:t>资产对基本办公运转、体育事业发展的保障作用。</w:t>
      </w:r>
    </w:p>
    <w:p w14:paraId="66597274">
      <w:pPr>
        <w:pStyle w:val="2"/>
        <w:keepNext w:val="0"/>
        <w:keepLines w:val="0"/>
        <w:pageBreakBefore w:val="0"/>
        <w:widowControl/>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sz w:val="32"/>
          <w:szCs w:val="32"/>
          <w:lang w:eastAsia="zh-CN"/>
        </w:rPr>
        <w:t>北京市体育局严格</w:t>
      </w:r>
      <w:r>
        <w:rPr>
          <w:rFonts w:hint="eastAsia" w:ascii="仿宋_GB2312" w:hAnsi="仿宋_GB2312" w:eastAsia="仿宋_GB2312" w:cs="仿宋_GB2312"/>
          <w:sz w:val="32"/>
          <w:szCs w:val="32"/>
        </w:rPr>
        <w:t>按照市财政局关于加强行政事业单位国有资产管理工作的各项要求及《行政事业单位内部控制规范（试行）》，</w:t>
      </w:r>
      <w:r>
        <w:rPr>
          <w:rFonts w:hint="eastAsia" w:ascii="仿宋_GB2312" w:hAnsi="仿宋_GB2312" w:eastAsia="仿宋_GB2312" w:cs="仿宋_GB2312"/>
          <w:sz w:val="32"/>
          <w:szCs w:val="32"/>
          <w:lang w:eastAsia="zh"/>
        </w:rPr>
        <w:t>坚持实施资产</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lang w:eastAsia="zh"/>
        </w:rPr>
        <w:t>与预算管理结合，</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建立健全符合我局实际业务发展特点的资产配置、维护使用、处置管理的全生命周期资产管理内控体系</w:t>
      </w:r>
      <w:r>
        <w:rPr>
          <w:rFonts w:hint="eastAsia" w:ascii="仿宋_GB2312" w:hAnsi="仿宋_GB2312" w:eastAsia="仿宋_GB2312" w:cs="仿宋_GB2312"/>
          <w:sz w:val="32"/>
          <w:szCs w:val="32"/>
          <w:lang w:eastAsia="zh"/>
        </w:rPr>
        <w:t>，</w:t>
      </w:r>
      <w:r>
        <w:rPr>
          <w:rFonts w:hint="eastAsia" w:ascii="仿宋_GB2312" w:hAnsi="仿宋_GB2312" w:eastAsia="仿宋_GB2312" w:cs="仿宋_GB2312"/>
          <w:sz w:val="32"/>
          <w:szCs w:val="32"/>
          <w:lang w:eastAsia="zh-CN"/>
        </w:rPr>
        <w:t>加强资产管理和财务管理的衔接，规范资产日常管理和账务处理，强化</w:t>
      </w:r>
      <w:r>
        <w:rPr>
          <w:rFonts w:hint="eastAsia" w:ascii="仿宋_GB2312" w:hAnsi="仿宋_GB2312" w:eastAsia="仿宋_GB2312" w:cs="仿宋_GB2312"/>
          <w:sz w:val="32"/>
          <w:szCs w:val="32"/>
          <w:lang w:eastAsia="zh"/>
        </w:rPr>
        <w:t>产权登记、年度报告等专项</w:t>
      </w:r>
      <w:r>
        <w:rPr>
          <w:rFonts w:hint="eastAsia" w:ascii="仿宋_GB2312" w:hAnsi="仿宋_GB2312" w:eastAsia="仿宋_GB2312" w:cs="仿宋_GB2312"/>
          <w:sz w:val="32"/>
          <w:szCs w:val="32"/>
          <w:lang w:eastAsia="zh-CN"/>
        </w:rPr>
        <w:t>管理审核，规范局系统资产管理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严格落实政府过紧日子要求，加强</w:t>
      </w:r>
      <w:r>
        <w:rPr>
          <w:rFonts w:hint="eastAsia" w:ascii="仿宋_GB2312" w:hAnsi="仿宋_GB2312" w:eastAsia="仿宋_GB2312" w:cs="仿宋_GB2312"/>
          <w:sz w:val="32"/>
          <w:szCs w:val="32"/>
        </w:rPr>
        <w:t>全局资产统筹，</w:t>
      </w:r>
      <w:r>
        <w:rPr>
          <w:rFonts w:hint="eastAsia" w:ascii="仿宋_GB2312" w:hAnsi="仿宋_GB2312" w:eastAsia="仿宋_GB2312" w:cs="仿宋_GB2312"/>
          <w:sz w:val="32"/>
          <w:szCs w:val="32"/>
          <w:lang w:eastAsia="zh-CN"/>
        </w:rPr>
        <w:t>严控新增资产配置，强化</w:t>
      </w:r>
      <w:r>
        <w:rPr>
          <w:rFonts w:hint="eastAsia" w:ascii="仿宋_GB2312" w:hAnsi="仿宋_GB2312" w:eastAsia="仿宋_GB2312" w:cs="仿宋_GB2312"/>
          <w:sz w:val="32"/>
          <w:szCs w:val="32"/>
        </w:rPr>
        <w:t>局系统资产信息共享</w:t>
      </w:r>
      <w:r>
        <w:rPr>
          <w:rFonts w:hint="eastAsia" w:ascii="仿宋_GB2312" w:hAnsi="仿宋_GB2312" w:eastAsia="仿宋_GB2312" w:cs="仿宋_GB2312"/>
          <w:sz w:val="32"/>
          <w:szCs w:val="32"/>
          <w:lang w:eastAsia="zh-CN"/>
        </w:rPr>
        <w:t>与调剂利用</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国有</w:t>
      </w:r>
      <w:r>
        <w:rPr>
          <w:rFonts w:hint="eastAsia" w:ascii="仿宋_GB2312" w:hAnsi="仿宋_GB2312" w:eastAsia="仿宋_GB2312" w:cs="仿宋_GB2312"/>
          <w:sz w:val="32"/>
          <w:szCs w:val="32"/>
        </w:rPr>
        <w:t>资产使用</w:t>
      </w:r>
      <w:r>
        <w:rPr>
          <w:rFonts w:hint="eastAsia" w:ascii="仿宋_GB2312" w:hAnsi="仿宋_GB2312" w:eastAsia="仿宋_GB2312" w:cs="仿宋_GB2312"/>
          <w:sz w:val="32"/>
          <w:szCs w:val="32"/>
          <w:lang w:eastAsia="zh-CN"/>
        </w:rPr>
        <w:t>效益</w:t>
      </w:r>
      <w:r>
        <w:rPr>
          <w:rFonts w:hint="eastAsia" w:ascii="仿宋_GB2312" w:hAnsi="仿宋_GB2312" w:eastAsia="仿宋_GB2312" w:cs="仿宋_GB2312"/>
          <w:sz w:val="32"/>
          <w:szCs w:val="32"/>
        </w:rPr>
        <w:t>。</w:t>
      </w:r>
    </w:p>
    <w:p w14:paraId="0055EFA2">
      <w:pPr>
        <w:spacing w:line="560" w:lineRule="exact"/>
        <w:ind w:firstLine="640" w:firstLineChars="200"/>
        <w:outlineLvl w:val="1"/>
        <w:rPr>
          <w:rFonts w:ascii="楷体_GB2312" w:eastAsia="楷体_GB2312"/>
          <w:sz w:val="32"/>
          <w:szCs w:val="32"/>
        </w:rPr>
      </w:pPr>
      <w:bookmarkStart w:id="11" w:name="_Toc16043"/>
      <w:r>
        <w:rPr>
          <w:rFonts w:hint="eastAsia" w:ascii="楷体_GB2312" w:eastAsia="楷体_GB2312"/>
          <w:sz w:val="32"/>
          <w:szCs w:val="32"/>
        </w:rPr>
        <w:t>（三）绩效管理</w:t>
      </w:r>
      <w:bookmarkEnd w:id="11"/>
    </w:p>
    <w:p w14:paraId="6A2C635B">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2024年</w:t>
      </w:r>
      <w:r>
        <w:rPr>
          <w:rFonts w:hint="eastAsia" w:ascii="仿宋_GB2312" w:hAnsi="宋体" w:eastAsia="仿宋_GB2312" w:cs="宋体"/>
          <w:kern w:val="0"/>
          <w:sz w:val="32"/>
          <w:szCs w:val="32"/>
        </w:rPr>
        <w:t>绩效</w:t>
      </w:r>
      <w:r>
        <w:rPr>
          <w:rFonts w:hint="eastAsia" w:ascii="仿宋_GB2312" w:hAnsi="宋体" w:eastAsia="仿宋_GB2312" w:cs="宋体"/>
          <w:kern w:val="0"/>
          <w:sz w:val="32"/>
          <w:szCs w:val="32"/>
          <w:lang w:eastAsia="zh-CN"/>
        </w:rPr>
        <w:t>管理工作</w:t>
      </w:r>
    </w:p>
    <w:p w14:paraId="1B263358">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北京市体育局高度重视绩效管理相关工作，</w:t>
      </w:r>
      <w:r>
        <w:rPr>
          <w:rFonts w:hint="eastAsia" w:ascii="仿宋_GB2312" w:hAnsi="宋体" w:eastAsia="仿宋_GB2312" w:cs="宋体"/>
          <w:kern w:val="0"/>
          <w:sz w:val="32"/>
          <w:szCs w:val="32"/>
          <w:lang w:eastAsia="zh-CN"/>
        </w:rPr>
        <w:t>按照</w:t>
      </w:r>
      <w:r>
        <w:rPr>
          <w:rFonts w:hint="eastAsia" w:ascii="仿宋_GB2312" w:hAnsi="宋体" w:eastAsia="仿宋_GB2312" w:cs="宋体"/>
          <w:kern w:val="0"/>
          <w:sz w:val="32"/>
          <w:szCs w:val="32"/>
        </w:rPr>
        <w:t>《北京市财政局关于开展2024年预算绩效管理相关工作的函》，制定了《北京市体育局2024年预算绩效管理工作方案》，印发了《北京市体育局关于开展2024年预算绩效管理工作的通知》，对预算绩效管理工作进行了全面部署，并对2024年全部预算项目实施了绩效运行监控，从预算资金执行、管理以及绩效目标完成等情况进行了分析，提出了存在问题和改进建议，进一步加强了预算绩效运行监控管理，提高了预算执行效率和资金使用效益。</w:t>
      </w:r>
    </w:p>
    <w:p w14:paraId="0B1ACA88">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2024年预算项目</w:t>
      </w:r>
      <w:r>
        <w:rPr>
          <w:rFonts w:hint="eastAsia" w:ascii="仿宋_GB2312" w:hAnsi="宋体" w:eastAsia="仿宋_GB2312" w:cs="宋体"/>
          <w:kern w:val="0"/>
          <w:sz w:val="32"/>
          <w:szCs w:val="32"/>
        </w:rPr>
        <w:t>绩效评价</w:t>
      </w:r>
    </w:p>
    <w:p w14:paraId="38A35DB0">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rPr>
        <w:t>为全面实施预算绩效管理，建立科学、合理的项目支出绩效评价管理体系，北京市体育局</w:t>
      </w:r>
      <w:r>
        <w:rPr>
          <w:rFonts w:hint="eastAsia" w:ascii="仿宋_GB2312" w:hAnsi="宋体" w:eastAsia="仿宋_GB2312" w:cs="宋体"/>
          <w:kern w:val="0"/>
          <w:sz w:val="32"/>
          <w:szCs w:val="32"/>
          <w:lang w:eastAsia="zh-CN"/>
        </w:rPr>
        <w:t>按照</w:t>
      </w:r>
      <w:r>
        <w:rPr>
          <w:rFonts w:hint="eastAsia" w:ascii="仿宋_GB2312" w:hAnsi="宋体" w:eastAsia="仿宋_GB2312" w:cs="宋体"/>
          <w:kern w:val="0"/>
          <w:sz w:val="32"/>
          <w:szCs w:val="32"/>
          <w:lang w:val="en-US" w:eastAsia="zh-CN"/>
        </w:rPr>
        <w:t>2025年</w:t>
      </w:r>
      <w:r>
        <w:rPr>
          <w:rFonts w:hint="eastAsia" w:ascii="仿宋_GB2312" w:hAnsi="宋体" w:eastAsia="仿宋_GB2312" w:cs="宋体"/>
          <w:kern w:val="0"/>
          <w:sz w:val="32"/>
          <w:szCs w:val="32"/>
        </w:rPr>
        <w:t>绩效评价管理</w:t>
      </w:r>
      <w:r>
        <w:rPr>
          <w:rFonts w:hint="eastAsia" w:ascii="仿宋_GB2312" w:hAnsi="宋体" w:eastAsia="仿宋_GB2312" w:cs="宋体"/>
          <w:kern w:val="0"/>
          <w:sz w:val="32"/>
          <w:szCs w:val="32"/>
          <w:lang w:eastAsia="zh-CN"/>
        </w:rPr>
        <w:t>要求，</w:t>
      </w:r>
      <w:r>
        <w:rPr>
          <w:rFonts w:hint="eastAsia" w:ascii="仿宋_GB2312" w:hAnsi="宋体" w:eastAsia="仿宋_GB2312" w:cs="宋体"/>
          <w:kern w:val="0"/>
          <w:sz w:val="32"/>
          <w:szCs w:val="32"/>
        </w:rPr>
        <w:t>成立了绩效评价工作组，制定了实施方案，由主要领导担任工作组组长，负责协调、处理、决定绩效评价工作中的重大事项，研究解决工作中遇到的重大问题。财务处及项目实施单位作为成员单位，其中财务处为牵头部门，组织</w:t>
      </w:r>
      <w:r>
        <w:rPr>
          <w:rFonts w:hint="eastAsia" w:ascii="仿宋_GB2312" w:hAnsi="宋体" w:eastAsia="仿宋_GB2312" w:cs="宋体"/>
          <w:kern w:val="0"/>
          <w:sz w:val="32"/>
          <w:szCs w:val="32"/>
          <w:lang w:eastAsia="zh-CN"/>
        </w:rPr>
        <w:t>项目单位实施</w:t>
      </w:r>
      <w:r>
        <w:rPr>
          <w:rFonts w:hint="eastAsia" w:ascii="仿宋_GB2312" w:hAnsi="宋体" w:eastAsia="仿宋_GB2312" w:cs="宋体"/>
          <w:kern w:val="0"/>
          <w:sz w:val="32"/>
          <w:szCs w:val="32"/>
        </w:rPr>
        <w:t>绩效评价工作。</w:t>
      </w:r>
      <w:r>
        <w:rPr>
          <w:rFonts w:hint="eastAsia" w:ascii="仿宋_GB2312" w:hAnsi="宋体" w:eastAsia="仿宋_GB2312" w:cs="宋体"/>
          <w:kern w:val="0"/>
          <w:sz w:val="32"/>
          <w:szCs w:val="32"/>
          <w:lang w:eastAsia="zh-CN"/>
        </w:rPr>
        <w:t>完成了</w:t>
      </w:r>
      <w:r>
        <w:rPr>
          <w:rFonts w:hint="eastAsia" w:ascii="仿宋_GB2312" w:hAnsi="宋体" w:eastAsia="仿宋_GB2312" w:cs="宋体"/>
          <w:kern w:val="0"/>
          <w:sz w:val="32"/>
          <w:szCs w:val="32"/>
        </w:rPr>
        <w:t>2024年度</w:t>
      </w:r>
      <w:r>
        <w:rPr>
          <w:rFonts w:hint="eastAsia" w:ascii="仿宋_GB2312" w:hAnsi="宋体" w:eastAsia="仿宋_GB2312" w:cs="宋体"/>
          <w:kern w:val="0"/>
          <w:sz w:val="32"/>
          <w:szCs w:val="32"/>
          <w:lang w:eastAsia="zh-CN"/>
        </w:rPr>
        <w:t>预算</w:t>
      </w:r>
      <w:r>
        <w:rPr>
          <w:rFonts w:hint="eastAsia" w:ascii="仿宋_GB2312" w:hAnsi="宋体" w:eastAsia="仿宋_GB2312" w:cs="宋体"/>
          <w:kern w:val="0"/>
          <w:sz w:val="32"/>
          <w:szCs w:val="32"/>
        </w:rPr>
        <w:t>项目绩效自评、重点项目绩</w:t>
      </w:r>
      <w:r>
        <w:rPr>
          <w:rFonts w:hint="eastAsia" w:ascii="仿宋_GB2312" w:hAnsi="宋体" w:eastAsia="仿宋_GB2312" w:cs="宋体"/>
          <w:kern w:val="0"/>
          <w:sz w:val="32"/>
          <w:szCs w:val="32"/>
          <w:highlight w:val="none"/>
        </w:rPr>
        <w:t>效评价和部门整体绩效评价</w:t>
      </w:r>
      <w:r>
        <w:rPr>
          <w:rFonts w:hint="eastAsia" w:ascii="仿宋_GB2312" w:hAnsi="宋体" w:eastAsia="仿宋_GB2312" w:cs="宋体"/>
          <w:kern w:val="0"/>
          <w:sz w:val="32"/>
          <w:szCs w:val="32"/>
          <w:highlight w:val="none"/>
          <w:lang w:eastAsia="zh-CN"/>
        </w:rPr>
        <w:t>。其中，</w:t>
      </w:r>
      <w:r>
        <w:rPr>
          <w:rFonts w:hint="eastAsia" w:ascii="仿宋_GB2312" w:hAnsi="宋体" w:eastAsia="仿宋_GB2312" w:cs="宋体"/>
          <w:kern w:val="0"/>
          <w:sz w:val="32"/>
          <w:szCs w:val="32"/>
          <w:highlight w:val="none"/>
        </w:rPr>
        <w:t>重点项目绩效评价项目1个，为全民健身赛事活动相关经费项目，评价得分为94.30分。</w:t>
      </w:r>
    </w:p>
    <w:p w14:paraId="6E85E0B4">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从总体评价结果来看，各项目能够较好地按照预算编制要求完成，绩效目标设定较为清晰、合理，各项目目标及指标的完成情况较好，项目执行过程比较规范，符合相关制度要求，项目执行金额控制在全年预算范围内，项目产出和效益基本达到预定目标。</w:t>
      </w:r>
    </w:p>
    <w:p w14:paraId="7482CFD9">
      <w:pPr>
        <w:spacing w:line="560" w:lineRule="exact"/>
        <w:ind w:firstLine="640" w:firstLineChars="200"/>
        <w:outlineLvl w:val="1"/>
        <w:rPr>
          <w:rFonts w:ascii="楷体_GB2312" w:eastAsia="楷体_GB2312"/>
          <w:sz w:val="32"/>
          <w:szCs w:val="32"/>
        </w:rPr>
      </w:pPr>
      <w:bookmarkStart w:id="12" w:name="_Toc10819"/>
      <w:r>
        <w:rPr>
          <w:rFonts w:hint="eastAsia" w:ascii="楷体_GB2312" w:eastAsia="楷体_GB2312"/>
          <w:sz w:val="32"/>
          <w:szCs w:val="32"/>
        </w:rPr>
        <w:t>（四）结转结余率</w:t>
      </w:r>
      <w:bookmarkEnd w:id="12"/>
    </w:p>
    <w:p w14:paraId="4CA511F3">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北京市体育局2024年部门预算结转结余率7.98%，</w:t>
      </w:r>
      <w:r>
        <w:rPr>
          <w:rFonts w:hint="eastAsia" w:ascii="仿宋_GB2312" w:hAnsi="宋体" w:eastAsia="仿宋_GB2312" w:cs="宋体"/>
          <w:kern w:val="0"/>
          <w:sz w:val="32"/>
          <w:szCs w:val="32"/>
          <w:lang w:eastAsia="zh-CN"/>
        </w:rPr>
        <w:t>较去年减少</w:t>
      </w:r>
      <w:r>
        <w:rPr>
          <w:rFonts w:hint="eastAsia" w:ascii="仿宋_GB2312" w:hAnsi="宋体" w:eastAsia="仿宋_GB2312" w:cs="宋体"/>
          <w:kern w:val="0"/>
          <w:sz w:val="32"/>
          <w:szCs w:val="32"/>
          <w:lang w:val="en-US" w:eastAsia="zh-CN"/>
        </w:rPr>
        <w:t>1.24%，</w:t>
      </w:r>
      <w:r>
        <w:rPr>
          <w:rFonts w:hint="eastAsia" w:ascii="仿宋_GB2312" w:hAnsi="宋体" w:eastAsia="仿宋_GB2312" w:cs="宋体"/>
          <w:kern w:val="0"/>
          <w:sz w:val="32"/>
          <w:szCs w:val="32"/>
        </w:rPr>
        <w:t>预算管理水平进一步提高。</w:t>
      </w:r>
    </w:p>
    <w:p w14:paraId="5FFE04B3">
      <w:pPr>
        <w:spacing w:line="560" w:lineRule="exact"/>
        <w:ind w:firstLine="640" w:firstLineChars="200"/>
        <w:outlineLvl w:val="1"/>
        <w:rPr>
          <w:rFonts w:ascii="楷体_GB2312" w:eastAsia="楷体_GB2312"/>
          <w:sz w:val="32"/>
          <w:szCs w:val="32"/>
        </w:rPr>
      </w:pPr>
      <w:bookmarkStart w:id="13" w:name="_Toc21960"/>
      <w:r>
        <w:rPr>
          <w:rFonts w:hint="eastAsia" w:ascii="楷体_GB2312" w:eastAsia="楷体_GB2312"/>
          <w:sz w:val="32"/>
          <w:szCs w:val="32"/>
        </w:rPr>
        <w:t>（五）部门预决算差异率</w:t>
      </w:r>
      <w:bookmarkEnd w:id="13"/>
    </w:p>
    <w:p w14:paraId="49200818">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2024年度部门预决算差异率11.69%，较上年增加3.03%，主要原因是年内</w:t>
      </w:r>
      <w:r>
        <w:rPr>
          <w:rFonts w:hint="eastAsia" w:ascii="仿宋_GB2312" w:hAnsi="宋体" w:eastAsia="仿宋_GB2312" w:cs="宋体"/>
          <w:kern w:val="0"/>
          <w:sz w:val="32"/>
          <w:szCs w:val="32"/>
          <w:lang w:eastAsia="zh-CN"/>
        </w:rPr>
        <w:t>新增重大赛事等预算项目。</w:t>
      </w:r>
    </w:p>
    <w:p w14:paraId="5F6C0B1F">
      <w:pPr>
        <w:spacing w:line="560" w:lineRule="exact"/>
        <w:ind w:firstLine="640" w:firstLineChars="200"/>
        <w:outlineLvl w:val="0"/>
        <w:rPr>
          <w:rFonts w:hint="eastAsia" w:ascii="黑体" w:hAnsi="黑体" w:eastAsia="黑体" w:cs="宋体"/>
          <w:color w:val="000000"/>
          <w:kern w:val="0"/>
          <w:sz w:val="32"/>
          <w:szCs w:val="32"/>
        </w:rPr>
      </w:pPr>
      <w:bookmarkStart w:id="14" w:name="_Toc4414"/>
      <w:r>
        <w:rPr>
          <w:rFonts w:hint="eastAsia" w:ascii="黑体" w:hAnsi="黑体" w:eastAsia="黑体" w:cs="宋体"/>
          <w:color w:val="000000"/>
          <w:kern w:val="0"/>
          <w:sz w:val="32"/>
          <w:szCs w:val="32"/>
        </w:rPr>
        <w:t>五、总体评价结论</w:t>
      </w:r>
      <w:bookmarkEnd w:id="14"/>
    </w:p>
    <w:p w14:paraId="0FDAA43C">
      <w:pPr>
        <w:spacing w:line="560" w:lineRule="exact"/>
        <w:ind w:firstLine="640" w:firstLineChars="200"/>
        <w:outlineLvl w:val="1"/>
        <w:rPr>
          <w:rFonts w:ascii="楷体_GB2312" w:eastAsia="楷体_GB2312"/>
          <w:sz w:val="32"/>
          <w:szCs w:val="32"/>
        </w:rPr>
      </w:pPr>
      <w:bookmarkStart w:id="15" w:name="_Toc18934"/>
      <w:r>
        <w:rPr>
          <w:rFonts w:hint="eastAsia" w:ascii="楷体_GB2312" w:eastAsia="楷体_GB2312"/>
          <w:sz w:val="32"/>
          <w:szCs w:val="32"/>
        </w:rPr>
        <w:t>（一）评价得分情况</w:t>
      </w:r>
      <w:bookmarkEnd w:id="15"/>
    </w:p>
    <w:p w14:paraId="6AC6F601">
      <w:pPr>
        <w:pStyle w:val="2"/>
        <w:widowControl/>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部门整体绩效评价综合得分92.63分，其中：当年预算执行情况18.40分、整体绩效目标实现情况55.43分、预算管理情况18.80分。</w:t>
      </w:r>
    </w:p>
    <w:p w14:paraId="7F328CBC">
      <w:pPr>
        <w:spacing w:before="217" w:beforeLines="50" w:after="217" w:afterLines="50" w:line="560" w:lineRule="exact"/>
        <w:jc w:val="center"/>
      </w:pPr>
      <w:bookmarkStart w:id="16" w:name="_Toc30330"/>
      <w:r>
        <w:rPr>
          <w:rFonts w:hint="eastAsia" w:ascii="仿宋_GB2312" w:hAnsi="仿宋_GB2312" w:eastAsia="仿宋_GB2312" w:cs="仿宋_GB2312"/>
          <w:b/>
          <w:bCs/>
          <w:sz w:val="32"/>
          <w:szCs w:val="32"/>
          <w:lang w:bidi="ar"/>
        </w:rPr>
        <w:t>2024年部门整体绩效评价指标体系评分一览表</w:t>
      </w:r>
      <w:bookmarkEnd w:id="16"/>
    </w:p>
    <w:tbl>
      <w:tblPr>
        <w:tblStyle w:val="12"/>
        <w:tblW w:w="8335" w:type="dxa"/>
        <w:tblInd w:w="100" w:type="dxa"/>
        <w:tblLayout w:type="fixed"/>
        <w:tblCellMar>
          <w:top w:w="0" w:type="dxa"/>
          <w:left w:w="108" w:type="dxa"/>
          <w:bottom w:w="0" w:type="dxa"/>
          <w:right w:w="108" w:type="dxa"/>
        </w:tblCellMar>
      </w:tblPr>
      <w:tblGrid>
        <w:gridCol w:w="1700"/>
        <w:gridCol w:w="1785"/>
        <w:gridCol w:w="2845"/>
        <w:gridCol w:w="1050"/>
        <w:gridCol w:w="955"/>
      </w:tblGrid>
      <w:tr w14:paraId="7DA5C25E">
        <w:trPr>
          <w:trHeight w:val="720" w:hRule="atLeast"/>
        </w:trPr>
        <w:tc>
          <w:tcPr>
            <w:tcW w:w="1700" w:type="dxa"/>
            <w:tcBorders>
              <w:top w:val="single" w:color="000000" w:sz="4" w:space="0"/>
              <w:left w:val="single" w:color="000000" w:sz="4" w:space="0"/>
              <w:bottom w:val="single" w:color="000000" w:sz="4" w:space="0"/>
              <w:right w:val="single" w:color="000000" w:sz="4" w:space="0"/>
            </w:tcBorders>
            <w:vAlign w:val="center"/>
          </w:tcPr>
          <w:p w14:paraId="041F58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一级指标</w:t>
            </w:r>
          </w:p>
        </w:tc>
        <w:tc>
          <w:tcPr>
            <w:tcW w:w="1785" w:type="dxa"/>
            <w:tcBorders>
              <w:top w:val="single" w:color="000000" w:sz="4" w:space="0"/>
              <w:left w:val="single" w:color="000000" w:sz="4" w:space="0"/>
              <w:bottom w:val="single" w:color="000000" w:sz="4" w:space="0"/>
              <w:right w:val="single" w:color="000000" w:sz="4" w:space="0"/>
            </w:tcBorders>
            <w:vAlign w:val="center"/>
          </w:tcPr>
          <w:p w14:paraId="23A31E7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二级指标</w:t>
            </w:r>
          </w:p>
        </w:tc>
        <w:tc>
          <w:tcPr>
            <w:tcW w:w="2845" w:type="dxa"/>
            <w:tcBorders>
              <w:top w:val="single" w:color="000000" w:sz="4" w:space="0"/>
              <w:left w:val="single" w:color="000000" w:sz="4" w:space="0"/>
              <w:bottom w:val="single" w:color="000000" w:sz="4" w:space="0"/>
              <w:right w:val="single" w:color="000000" w:sz="4" w:space="0"/>
            </w:tcBorders>
            <w:vAlign w:val="center"/>
          </w:tcPr>
          <w:p w14:paraId="43DFB4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三级指标</w:t>
            </w:r>
          </w:p>
        </w:tc>
        <w:tc>
          <w:tcPr>
            <w:tcW w:w="1050" w:type="dxa"/>
            <w:tcBorders>
              <w:top w:val="single" w:color="000000" w:sz="4" w:space="0"/>
              <w:left w:val="single" w:color="000000" w:sz="4" w:space="0"/>
              <w:bottom w:val="single" w:color="000000" w:sz="4" w:space="0"/>
              <w:right w:val="single" w:color="000000" w:sz="4" w:space="0"/>
            </w:tcBorders>
            <w:vAlign w:val="center"/>
          </w:tcPr>
          <w:p w14:paraId="0D6915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分值</w:t>
            </w:r>
          </w:p>
        </w:tc>
        <w:tc>
          <w:tcPr>
            <w:tcW w:w="955" w:type="dxa"/>
            <w:tcBorders>
              <w:top w:val="single" w:color="000000" w:sz="4" w:space="0"/>
              <w:left w:val="single" w:color="000000" w:sz="4" w:space="0"/>
              <w:bottom w:val="single" w:color="000000" w:sz="4" w:space="0"/>
              <w:right w:val="single" w:color="000000" w:sz="4" w:space="0"/>
            </w:tcBorders>
            <w:vAlign w:val="center"/>
          </w:tcPr>
          <w:p w14:paraId="547C25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kern w:val="0"/>
                <w:sz w:val="22"/>
                <w:szCs w:val="22"/>
                <w:lang w:bidi="ar"/>
              </w:rPr>
              <w:t>得分</w:t>
            </w:r>
          </w:p>
        </w:tc>
      </w:tr>
      <w:tr w14:paraId="207B43AA">
        <w:trPr>
          <w:trHeight w:val="462" w:hRule="atLeast"/>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5CEBFD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当年预算</w:t>
            </w:r>
          </w:p>
          <w:p w14:paraId="6ACA67B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执行情况</w:t>
            </w:r>
          </w:p>
          <w:p w14:paraId="51FF1B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（20）</w:t>
            </w:r>
          </w:p>
        </w:tc>
        <w:tc>
          <w:tcPr>
            <w:tcW w:w="1785" w:type="dxa"/>
            <w:tcBorders>
              <w:top w:val="single" w:color="000000" w:sz="4" w:space="0"/>
              <w:left w:val="single" w:color="000000" w:sz="4" w:space="0"/>
              <w:bottom w:val="single" w:color="000000" w:sz="4" w:space="0"/>
              <w:right w:val="single" w:color="000000" w:sz="4" w:space="0"/>
            </w:tcBorders>
            <w:vAlign w:val="center"/>
          </w:tcPr>
          <w:p w14:paraId="4266B01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资金总体</w:t>
            </w:r>
          </w:p>
        </w:tc>
        <w:tc>
          <w:tcPr>
            <w:tcW w:w="2845" w:type="dxa"/>
            <w:tcBorders>
              <w:top w:val="single" w:color="000000" w:sz="4" w:space="0"/>
              <w:left w:val="single" w:color="000000" w:sz="4" w:space="0"/>
              <w:bottom w:val="single" w:color="000000" w:sz="4" w:space="0"/>
              <w:right w:val="single" w:color="000000" w:sz="4" w:space="0"/>
            </w:tcBorders>
            <w:vAlign w:val="center"/>
          </w:tcPr>
          <w:p w14:paraId="4C02ED6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w:t>
            </w:r>
          </w:p>
        </w:tc>
        <w:tc>
          <w:tcPr>
            <w:tcW w:w="1050" w:type="dxa"/>
            <w:vMerge w:val="restart"/>
            <w:tcBorders>
              <w:top w:val="single" w:color="000000" w:sz="4" w:space="0"/>
              <w:left w:val="single" w:color="000000" w:sz="4" w:space="0"/>
              <w:bottom w:val="single" w:color="000000" w:sz="4" w:space="0"/>
              <w:right w:val="single" w:color="000000" w:sz="4" w:space="0"/>
            </w:tcBorders>
            <w:noWrap/>
            <w:vAlign w:val="center"/>
          </w:tcPr>
          <w:p w14:paraId="57ECC7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20</w:t>
            </w:r>
          </w:p>
        </w:tc>
        <w:tc>
          <w:tcPr>
            <w:tcW w:w="955" w:type="dxa"/>
            <w:vMerge w:val="restart"/>
            <w:tcBorders>
              <w:top w:val="single" w:color="000000" w:sz="4" w:space="0"/>
              <w:left w:val="single" w:color="000000" w:sz="4" w:space="0"/>
              <w:bottom w:val="single" w:color="000000" w:sz="4" w:space="0"/>
              <w:right w:val="single" w:color="000000" w:sz="4" w:space="0"/>
            </w:tcBorders>
            <w:noWrap/>
            <w:vAlign w:val="center"/>
          </w:tcPr>
          <w:p w14:paraId="3E4059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 xml:space="preserve">18.40 </w:t>
            </w:r>
          </w:p>
        </w:tc>
      </w:tr>
      <w:tr w14:paraId="7202D9D6">
        <w:trPr>
          <w:trHeight w:val="462"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22CECFC4">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75249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基本支出</w:t>
            </w:r>
          </w:p>
        </w:tc>
        <w:tc>
          <w:tcPr>
            <w:tcW w:w="2845" w:type="dxa"/>
            <w:tcBorders>
              <w:top w:val="single" w:color="000000" w:sz="4" w:space="0"/>
              <w:left w:val="single" w:color="000000" w:sz="4" w:space="0"/>
              <w:bottom w:val="single" w:color="000000" w:sz="4" w:space="0"/>
              <w:right w:val="single" w:color="000000" w:sz="4" w:space="0"/>
            </w:tcBorders>
            <w:vAlign w:val="center"/>
          </w:tcPr>
          <w:p w14:paraId="703C36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14:paraId="55EBDDDF">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zCs w:val="21"/>
              </w:rPr>
            </w:pP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14:paraId="0E22BCA0">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zCs w:val="21"/>
              </w:rPr>
            </w:pPr>
          </w:p>
        </w:tc>
      </w:tr>
      <w:tr w14:paraId="01525536">
        <w:trPr>
          <w:trHeight w:val="435"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4C9890B6">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0E874EE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项目支出</w:t>
            </w:r>
          </w:p>
        </w:tc>
        <w:tc>
          <w:tcPr>
            <w:tcW w:w="2845" w:type="dxa"/>
            <w:tcBorders>
              <w:top w:val="single" w:color="000000" w:sz="4" w:space="0"/>
              <w:left w:val="single" w:color="000000" w:sz="4" w:space="0"/>
              <w:bottom w:val="single" w:color="000000" w:sz="4" w:space="0"/>
              <w:right w:val="single" w:color="000000" w:sz="4" w:space="0"/>
            </w:tcBorders>
            <w:vAlign w:val="center"/>
          </w:tcPr>
          <w:p w14:paraId="4BC3F1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14:paraId="45D59C9C">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zCs w:val="21"/>
              </w:rPr>
            </w:pP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14:paraId="7DF1837C">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zCs w:val="21"/>
              </w:rPr>
            </w:pPr>
          </w:p>
        </w:tc>
      </w:tr>
      <w:tr w14:paraId="2B7D6910">
        <w:trPr>
          <w:trHeight w:val="377"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66175AAE">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591BD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其他</w:t>
            </w:r>
          </w:p>
        </w:tc>
        <w:tc>
          <w:tcPr>
            <w:tcW w:w="2845" w:type="dxa"/>
            <w:tcBorders>
              <w:top w:val="single" w:color="000000" w:sz="4" w:space="0"/>
              <w:left w:val="single" w:color="000000" w:sz="4" w:space="0"/>
              <w:bottom w:val="single" w:color="000000" w:sz="4" w:space="0"/>
              <w:right w:val="single" w:color="000000" w:sz="4" w:space="0"/>
            </w:tcBorders>
            <w:vAlign w:val="center"/>
          </w:tcPr>
          <w:p w14:paraId="018CC7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14:paraId="63BAA66A">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zCs w:val="21"/>
              </w:rPr>
            </w:pPr>
          </w:p>
        </w:tc>
        <w:tc>
          <w:tcPr>
            <w:tcW w:w="955" w:type="dxa"/>
            <w:vMerge w:val="continue"/>
            <w:tcBorders>
              <w:top w:val="single" w:color="000000" w:sz="4" w:space="0"/>
              <w:left w:val="single" w:color="000000" w:sz="4" w:space="0"/>
              <w:bottom w:val="single" w:color="000000" w:sz="4" w:space="0"/>
              <w:right w:val="single" w:color="000000" w:sz="4" w:space="0"/>
            </w:tcBorders>
            <w:noWrap/>
            <w:vAlign w:val="center"/>
          </w:tcPr>
          <w:p w14:paraId="136AC5E5">
            <w:pPr>
              <w:keepNext w:val="0"/>
              <w:keepLines w:val="0"/>
              <w:pageBreakBefore w:val="0"/>
              <w:widowControl/>
              <w:kinsoku/>
              <w:wordWrap/>
              <w:overflowPunct/>
              <w:topLinePunct w:val="0"/>
              <w:autoSpaceDE/>
              <w:autoSpaceDN/>
              <w:bidi w:val="0"/>
              <w:adjustRightInd/>
              <w:snapToGrid/>
              <w:spacing w:line="300" w:lineRule="exact"/>
              <w:rPr>
                <w:rFonts w:hint="eastAsia" w:ascii="仿宋_GB2312" w:hAnsi="仿宋_GB2312" w:eastAsia="仿宋_GB2312" w:cs="仿宋_GB2312"/>
                <w:szCs w:val="21"/>
              </w:rPr>
            </w:pPr>
          </w:p>
        </w:tc>
      </w:tr>
      <w:tr w14:paraId="5EAFA95C">
        <w:trPr>
          <w:trHeight w:val="523" w:hRule="atLeast"/>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4A77B7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整体绩效目标</w:t>
            </w:r>
          </w:p>
          <w:p w14:paraId="7BAB5E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实现情况</w:t>
            </w:r>
          </w:p>
          <w:p w14:paraId="2F58A7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（60）</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14:paraId="36A54E7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产出（30）</w:t>
            </w:r>
          </w:p>
        </w:tc>
        <w:tc>
          <w:tcPr>
            <w:tcW w:w="2845" w:type="dxa"/>
            <w:tcBorders>
              <w:top w:val="single" w:color="000000" w:sz="4" w:space="0"/>
              <w:left w:val="single" w:color="000000" w:sz="4" w:space="0"/>
              <w:bottom w:val="single" w:color="000000" w:sz="4" w:space="0"/>
              <w:right w:val="single" w:color="000000" w:sz="4" w:space="0"/>
            </w:tcBorders>
            <w:vAlign w:val="center"/>
          </w:tcPr>
          <w:p w14:paraId="0E20122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全民健身赛事活动场次</w:t>
            </w:r>
          </w:p>
        </w:tc>
        <w:tc>
          <w:tcPr>
            <w:tcW w:w="1050" w:type="dxa"/>
            <w:tcBorders>
              <w:top w:val="single" w:color="000000" w:sz="4" w:space="0"/>
              <w:left w:val="single" w:color="000000" w:sz="4" w:space="0"/>
              <w:bottom w:val="single" w:color="000000" w:sz="4" w:space="0"/>
              <w:right w:val="single" w:color="000000" w:sz="4" w:space="0"/>
            </w:tcBorders>
            <w:vAlign w:val="center"/>
          </w:tcPr>
          <w:p w14:paraId="02D577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1F6BE5E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69AEF9D3">
        <w:trPr>
          <w:trHeight w:val="497"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F7B6BD2">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4A236E1B">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1AB7B85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全民健身赛事活动参与人次</w:t>
            </w:r>
          </w:p>
        </w:tc>
        <w:tc>
          <w:tcPr>
            <w:tcW w:w="1050" w:type="dxa"/>
            <w:tcBorders>
              <w:top w:val="single" w:color="000000" w:sz="4" w:space="0"/>
              <w:left w:val="single" w:color="000000" w:sz="4" w:space="0"/>
              <w:bottom w:val="single" w:color="000000" w:sz="4" w:space="0"/>
              <w:right w:val="single" w:color="000000" w:sz="4" w:space="0"/>
            </w:tcBorders>
            <w:vAlign w:val="center"/>
          </w:tcPr>
          <w:p w14:paraId="4AE58C6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57E03D9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0554FED4">
        <w:trPr>
          <w:trHeight w:val="535"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7BDC5D5">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64E27063">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2770061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社会体育指导员培训人数</w:t>
            </w:r>
          </w:p>
        </w:tc>
        <w:tc>
          <w:tcPr>
            <w:tcW w:w="1050" w:type="dxa"/>
            <w:tcBorders>
              <w:top w:val="single" w:color="000000" w:sz="4" w:space="0"/>
              <w:left w:val="single" w:color="000000" w:sz="4" w:space="0"/>
              <w:bottom w:val="single" w:color="000000" w:sz="4" w:space="0"/>
              <w:right w:val="single" w:color="000000" w:sz="4" w:space="0"/>
            </w:tcBorders>
            <w:vAlign w:val="center"/>
          </w:tcPr>
          <w:p w14:paraId="7E737A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2599E66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65F19CEA">
        <w:trPr>
          <w:trHeight w:val="510"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C8B97F4">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5441174A">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0CF668B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运动处方培训人次</w:t>
            </w:r>
          </w:p>
        </w:tc>
        <w:tc>
          <w:tcPr>
            <w:tcW w:w="1050" w:type="dxa"/>
            <w:tcBorders>
              <w:top w:val="single" w:color="000000" w:sz="4" w:space="0"/>
              <w:left w:val="single" w:color="000000" w:sz="4" w:space="0"/>
              <w:bottom w:val="single" w:color="000000" w:sz="4" w:space="0"/>
              <w:right w:val="single" w:color="000000" w:sz="4" w:space="0"/>
            </w:tcBorders>
            <w:vAlign w:val="center"/>
          </w:tcPr>
          <w:p w14:paraId="582081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0F606A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43435AC7">
        <w:trPr>
          <w:trHeight w:val="535"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1AEFA288">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6F0CEF02">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4CA5EBE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竞技体育布局项目数量</w:t>
            </w:r>
          </w:p>
        </w:tc>
        <w:tc>
          <w:tcPr>
            <w:tcW w:w="1050" w:type="dxa"/>
            <w:tcBorders>
              <w:top w:val="single" w:color="000000" w:sz="4" w:space="0"/>
              <w:left w:val="single" w:color="000000" w:sz="4" w:space="0"/>
              <w:bottom w:val="single" w:color="000000" w:sz="4" w:space="0"/>
              <w:right w:val="single" w:color="000000" w:sz="4" w:space="0"/>
            </w:tcBorders>
            <w:vAlign w:val="center"/>
          </w:tcPr>
          <w:p w14:paraId="5F19C37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6B2365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0DA37FA5">
        <w:trPr>
          <w:trHeight w:val="720"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A7542AD">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128D7392">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6E7ACB1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持续建设高水平竞技体育训练基地数量</w:t>
            </w:r>
          </w:p>
        </w:tc>
        <w:tc>
          <w:tcPr>
            <w:tcW w:w="1050" w:type="dxa"/>
            <w:tcBorders>
              <w:top w:val="single" w:color="000000" w:sz="4" w:space="0"/>
              <w:left w:val="single" w:color="000000" w:sz="4" w:space="0"/>
              <w:bottom w:val="single" w:color="000000" w:sz="4" w:space="0"/>
              <w:right w:val="single" w:color="000000" w:sz="4" w:space="0"/>
            </w:tcBorders>
            <w:vAlign w:val="center"/>
          </w:tcPr>
          <w:p w14:paraId="0DAC8DC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51ADF5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2B2A9314">
        <w:trPr>
          <w:trHeight w:val="523"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F0197CE">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6F44B5AB">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2FCC998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开展体育专业人才培训期数</w:t>
            </w:r>
          </w:p>
        </w:tc>
        <w:tc>
          <w:tcPr>
            <w:tcW w:w="1050" w:type="dxa"/>
            <w:tcBorders>
              <w:top w:val="single" w:color="000000" w:sz="4" w:space="0"/>
              <w:left w:val="single" w:color="000000" w:sz="4" w:space="0"/>
              <w:bottom w:val="single" w:color="000000" w:sz="4" w:space="0"/>
              <w:right w:val="single" w:color="000000" w:sz="4" w:space="0"/>
            </w:tcBorders>
            <w:vAlign w:val="center"/>
          </w:tcPr>
          <w:p w14:paraId="687383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5BAD03A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17675773">
        <w:trPr>
          <w:trHeight w:val="485"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32705E0F">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0FB660F7">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0B9DE59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参与运动干预人数</w:t>
            </w:r>
          </w:p>
        </w:tc>
        <w:tc>
          <w:tcPr>
            <w:tcW w:w="1050" w:type="dxa"/>
            <w:tcBorders>
              <w:top w:val="single" w:color="000000" w:sz="4" w:space="0"/>
              <w:left w:val="single" w:color="000000" w:sz="4" w:space="0"/>
              <w:bottom w:val="single" w:color="000000" w:sz="4" w:space="0"/>
              <w:right w:val="single" w:color="000000" w:sz="4" w:space="0"/>
            </w:tcBorders>
            <w:vAlign w:val="center"/>
          </w:tcPr>
          <w:p w14:paraId="53192D9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76B269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59D3E273">
        <w:trPr>
          <w:trHeight w:val="497"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296426C1">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5531A324">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54A510B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青少年赛事活动场次</w:t>
            </w:r>
          </w:p>
        </w:tc>
        <w:tc>
          <w:tcPr>
            <w:tcW w:w="1050" w:type="dxa"/>
            <w:tcBorders>
              <w:top w:val="single" w:color="000000" w:sz="4" w:space="0"/>
              <w:left w:val="single" w:color="000000" w:sz="4" w:space="0"/>
              <w:bottom w:val="single" w:color="000000" w:sz="4" w:space="0"/>
              <w:right w:val="single" w:color="000000" w:sz="4" w:space="0"/>
            </w:tcBorders>
            <w:vAlign w:val="center"/>
          </w:tcPr>
          <w:p w14:paraId="615BC3E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38264C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13360357">
        <w:trPr>
          <w:trHeight w:val="720"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44FBAF09">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0A0FE6FB">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645ED85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开展青少年赛事活动项目个数</w:t>
            </w:r>
          </w:p>
        </w:tc>
        <w:tc>
          <w:tcPr>
            <w:tcW w:w="1050" w:type="dxa"/>
            <w:tcBorders>
              <w:top w:val="single" w:color="000000" w:sz="4" w:space="0"/>
              <w:left w:val="single" w:color="000000" w:sz="4" w:space="0"/>
              <w:bottom w:val="single" w:color="000000" w:sz="4" w:space="0"/>
              <w:right w:val="single" w:color="000000" w:sz="4" w:space="0"/>
            </w:tcBorders>
            <w:vAlign w:val="center"/>
          </w:tcPr>
          <w:p w14:paraId="7BD571D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36D6D3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200E6CED">
        <w:trPr>
          <w:trHeight w:val="510"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2240E0FF">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60A5F9C9">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4290CA6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调查赛事数量</w:t>
            </w:r>
          </w:p>
        </w:tc>
        <w:tc>
          <w:tcPr>
            <w:tcW w:w="1050" w:type="dxa"/>
            <w:tcBorders>
              <w:top w:val="single" w:color="000000" w:sz="4" w:space="0"/>
              <w:left w:val="single" w:color="000000" w:sz="4" w:space="0"/>
              <w:bottom w:val="single" w:color="000000" w:sz="4" w:space="0"/>
              <w:right w:val="single" w:color="000000" w:sz="4" w:space="0"/>
            </w:tcBorders>
            <w:vAlign w:val="center"/>
          </w:tcPr>
          <w:p w14:paraId="438B11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25A403D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7B2DAEF9">
        <w:trPr>
          <w:trHeight w:val="472"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35E73E32">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2E98C619">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0FA8D18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消费节启动仪式</w:t>
            </w:r>
          </w:p>
        </w:tc>
        <w:tc>
          <w:tcPr>
            <w:tcW w:w="1050" w:type="dxa"/>
            <w:tcBorders>
              <w:top w:val="single" w:color="000000" w:sz="4" w:space="0"/>
              <w:left w:val="single" w:color="000000" w:sz="4" w:space="0"/>
              <w:bottom w:val="single" w:color="000000" w:sz="4" w:space="0"/>
              <w:right w:val="single" w:color="000000" w:sz="4" w:space="0"/>
            </w:tcBorders>
            <w:vAlign w:val="center"/>
          </w:tcPr>
          <w:p w14:paraId="084FB1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5BD8200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35B51513">
        <w:trPr>
          <w:trHeight w:val="448"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325AF039">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5EEA1821">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31E9382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竞技冰雪运动队数量</w:t>
            </w:r>
          </w:p>
        </w:tc>
        <w:tc>
          <w:tcPr>
            <w:tcW w:w="1050" w:type="dxa"/>
            <w:tcBorders>
              <w:top w:val="single" w:color="000000" w:sz="4" w:space="0"/>
              <w:left w:val="single" w:color="000000" w:sz="4" w:space="0"/>
              <w:bottom w:val="single" w:color="000000" w:sz="4" w:space="0"/>
              <w:right w:val="single" w:color="000000" w:sz="4" w:space="0"/>
            </w:tcBorders>
            <w:vAlign w:val="center"/>
          </w:tcPr>
          <w:p w14:paraId="4A079E1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742037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6C4F8782">
        <w:trPr>
          <w:trHeight w:val="510"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EAEEF95">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3661478C">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3A9421F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举办高水平国际体育赛事</w:t>
            </w:r>
          </w:p>
        </w:tc>
        <w:tc>
          <w:tcPr>
            <w:tcW w:w="1050" w:type="dxa"/>
            <w:tcBorders>
              <w:top w:val="single" w:color="000000" w:sz="4" w:space="0"/>
              <w:left w:val="single" w:color="000000" w:sz="4" w:space="0"/>
              <w:bottom w:val="single" w:color="000000" w:sz="4" w:space="0"/>
              <w:right w:val="single" w:color="000000" w:sz="4" w:space="0"/>
            </w:tcBorders>
            <w:vAlign w:val="center"/>
          </w:tcPr>
          <w:p w14:paraId="4E6F18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2CEEC4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308D3424">
        <w:trPr>
          <w:trHeight w:val="523"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72DC63E">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4D16D87B">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6410D36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体育场地设施问题响应率</w:t>
            </w:r>
          </w:p>
        </w:tc>
        <w:tc>
          <w:tcPr>
            <w:tcW w:w="1050" w:type="dxa"/>
            <w:tcBorders>
              <w:top w:val="single" w:color="000000" w:sz="4" w:space="0"/>
              <w:left w:val="single" w:color="000000" w:sz="4" w:space="0"/>
              <w:bottom w:val="single" w:color="000000" w:sz="4" w:space="0"/>
              <w:right w:val="single" w:color="000000" w:sz="4" w:space="0"/>
            </w:tcBorders>
            <w:vAlign w:val="center"/>
          </w:tcPr>
          <w:p w14:paraId="09AA4BC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1A9879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7F1730D8">
        <w:trPr>
          <w:trHeight w:val="498"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2319AF3">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7395C2CF">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3AAD914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科学健身指导关注人次</w:t>
            </w:r>
          </w:p>
        </w:tc>
        <w:tc>
          <w:tcPr>
            <w:tcW w:w="1050" w:type="dxa"/>
            <w:tcBorders>
              <w:top w:val="single" w:color="000000" w:sz="4" w:space="0"/>
              <w:left w:val="single" w:color="000000" w:sz="4" w:space="0"/>
              <w:bottom w:val="single" w:color="000000" w:sz="4" w:space="0"/>
              <w:right w:val="single" w:color="000000" w:sz="4" w:space="0"/>
            </w:tcBorders>
            <w:vAlign w:val="center"/>
          </w:tcPr>
          <w:p w14:paraId="6FC25A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20D4B0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2ACAB533">
        <w:trPr>
          <w:trHeight w:val="498"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40021D51">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4C625CE8">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2C52DEF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各项目按计划完成</w:t>
            </w:r>
          </w:p>
        </w:tc>
        <w:tc>
          <w:tcPr>
            <w:tcW w:w="1050" w:type="dxa"/>
            <w:tcBorders>
              <w:top w:val="single" w:color="000000" w:sz="4" w:space="0"/>
              <w:left w:val="single" w:color="000000" w:sz="4" w:space="0"/>
              <w:bottom w:val="single" w:color="000000" w:sz="4" w:space="0"/>
              <w:right w:val="single" w:color="000000" w:sz="4" w:space="0"/>
            </w:tcBorders>
            <w:vAlign w:val="center"/>
          </w:tcPr>
          <w:p w14:paraId="0B0710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w:t>
            </w:r>
          </w:p>
        </w:tc>
        <w:tc>
          <w:tcPr>
            <w:tcW w:w="955" w:type="dxa"/>
            <w:tcBorders>
              <w:top w:val="single" w:color="000000" w:sz="4" w:space="0"/>
              <w:left w:val="single" w:color="000000" w:sz="4" w:space="0"/>
              <w:bottom w:val="single" w:color="000000" w:sz="4" w:space="0"/>
              <w:right w:val="single" w:color="000000" w:sz="4" w:space="0"/>
            </w:tcBorders>
            <w:vAlign w:val="center"/>
          </w:tcPr>
          <w:p w14:paraId="3B69D67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3</w:t>
            </w:r>
          </w:p>
        </w:tc>
      </w:tr>
      <w:tr w14:paraId="62BA326E">
        <w:trPr>
          <w:trHeight w:val="720"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AF01A8A">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505BAA3D">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48F5004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基本支出成本控制在预算范围之内</w:t>
            </w:r>
          </w:p>
        </w:tc>
        <w:tc>
          <w:tcPr>
            <w:tcW w:w="1050" w:type="dxa"/>
            <w:tcBorders>
              <w:top w:val="single" w:color="000000" w:sz="4" w:space="0"/>
              <w:left w:val="single" w:color="000000" w:sz="4" w:space="0"/>
              <w:bottom w:val="single" w:color="000000" w:sz="4" w:space="0"/>
              <w:right w:val="single" w:color="000000" w:sz="4" w:space="0"/>
            </w:tcBorders>
            <w:vAlign w:val="center"/>
          </w:tcPr>
          <w:p w14:paraId="171D62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60A6A64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1.5</w:t>
            </w:r>
          </w:p>
        </w:tc>
      </w:tr>
      <w:tr w14:paraId="69064983">
        <w:trPr>
          <w:trHeight w:val="720"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7EDBFFE5">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5BE213FB">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5E313E4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项目支出成本控制在预算范围之内</w:t>
            </w:r>
          </w:p>
        </w:tc>
        <w:tc>
          <w:tcPr>
            <w:tcW w:w="1050" w:type="dxa"/>
            <w:tcBorders>
              <w:top w:val="single" w:color="000000" w:sz="4" w:space="0"/>
              <w:left w:val="single" w:color="000000" w:sz="4" w:space="0"/>
              <w:bottom w:val="single" w:color="000000" w:sz="4" w:space="0"/>
              <w:right w:val="single" w:color="000000" w:sz="4" w:space="0"/>
            </w:tcBorders>
            <w:vAlign w:val="center"/>
          </w:tcPr>
          <w:p w14:paraId="06D74E2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25763C1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1.5</w:t>
            </w:r>
          </w:p>
        </w:tc>
      </w:tr>
      <w:tr w14:paraId="438A80C7">
        <w:trPr>
          <w:trHeight w:val="522"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5888DDA6">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14:paraId="3F2E46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效果（30）</w:t>
            </w:r>
          </w:p>
        </w:tc>
        <w:tc>
          <w:tcPr>
            <w:tcW w:w="2845" w:type="dxa"/>
            <w:tcBorders>
              <w:top w:val="single" w:color="000000" w:sz="4" w:space="0"/>
              <w:left w:val="single" w:color="000000" w:sz="4" w:space="0"/>
              <w:bottom w:val="single" w:color="000000" w:sz="4" w:space="0"/>
              <w:right w:val="single" w:color="000000" w:sz="4" w:space="0"/>
            </w:tcBorders>
            <w:vAlign w:val="center"/>
          </w:tcPr>
          <w:p w14:paraId="562F7C6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经济效益</w:t>
            </w:r>
          </w:p>
        </w:tc>
        <w:tc>
          <w:tcPr>
            <w:tcW w:w="1050" w:type="dxa"/>
            <w:tcBorders>
              <w:top w:val="single" w:color="000000" w:sz="4" w:space="0"/>
              <w:left w:val="single" w:color="000000" w:sz="4" w:space="0"/>
              <w:bottom w:val="single" w:color="000000" w:sz="4" w:space="0"/>
              <w:right w:val="single" w:color="000000" w:sz="4" w:space="0"/>
            </w:tcBorders>
            <w:vAlign w:val="center"/>
          </w:tcPr>
          <w:p w14:paraId="170924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955" w:type="dxa"/>
            <w:tcBorders>
              <w:top w:val="single" w:color="000000" w:sz="4" w:space="0"/>
              <w:left w:val="single" w:color="000000" w:sz="4" w:space="0"/>
              <w:bottom w:val="single" w:color="000000" w:sz="4" w:space="0"/>
              <w:right w:val="single" w:color="000000" w:sz="4" w:space="0"/>
            </w:tcBorders>
            <w:vAlign w:val="center"/>
          </w:tcPr>
          <w:p w14:paraId="66F5169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8.43</w:t>
            </w:r>
          </w:p>
        </w:tc>
      </w:tr>
      <w:tr w14:paraId="19291CF0">
        <w:trPr>
          <w:trHeight w:val="548"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07ACFD06">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008F416E">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09870C9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社会效益</w:t>
            </w:r>
          </w:p>
        </w:tc>
        <w:tc>
          <w:tcPr>
            <w:tcW w:w="1050" w:type="dxa"/>
            <w:tcBorders>
              <w:top w:val="single" w:color="000000" w:sz="4" w:space="0"/>
              <w:left w:val="single" w:color="000000" w:sz="4" w:space="0"/>
              <w:bottom w:val="single" w:color="000000" w:sz="4" w:space="0"/>
              <w:right w:val="single" w:color="000000" w:sz="4" w:space="0"/>
            </w:tcBorders>
            <w:vAlign w:val="center"/>
          </w:tcPr>
          <w:p w14:paraId="795E55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955" w:type="dxa"/>
            <w:tcBorders>
              <w:top w:val="single" w:color="000000" w:sz="4" w:space="0"/>
              <w:left w:val="single" w:color="000000" w:sz="4" w:space="0"/>
              <w:bottom w:val="single" w:color="000000" w:sz="4" w:space="0"/>
              <w:right w:val="single" w:color="000000" w:sz="4" w:space="0"/>
            </w:tcBorders>
            <w:vAlign w:val="center"/>
          </w:tcPr>
          <w:p w14:paraId="783B7C1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r>
      <w:tr w14:paraId="147F4DBB">
        <w:trPr>
          <w:trHeight w:val="547"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0065C749">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47DFE4C5">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175A117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可持续影响</w:t>
            </w:r>
          </w:p>
        </w:tc>
        <w:tc>
          <w:tcPr>
            <w:tcW w:w="1050" w:type="dxa"/>
            <w:tcBorders>
              <w:top w:val="single" w:color="000000" w:sz="4" w:space="0"/>
              <w:left w:val="single" w:color="000000" w:sz="4" w:space="0"/>
              <w:bottom w:val="single" w:color="000000" w:sz="4" w:space="0"/>
              <w:right w:val="single" w:color="000000" w:sz="4" w:space="0"/>
            </w:tcBorders>
            <w:vAlign w:val="center"/>
          </w:tcPr>
          <w:p w14:paraId="3531D5E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955" w:type="dxa"/>
            <w:tcBorders>
              <w:top w:val="single" w:color="000000" w:sz="4" w:space="0"/>
              <w:left w:val="single" w:color="000000" w:sz="4" w:space="0"/>
              <w:bottom w:val="single" w:color="000000" w:sz="4" w:space="0"/>
              <w:right w:val="single" w:color="000000" w:sz="4" w:space="0"/>
            </w:tcBorders>
            <w:vAlign w:val="center"/>
          </w:tcPr>
          <w:p w14:paraId="63E15E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r>
      <w:tr w14:paraId="73C597AA">
        <w:trPr>
          <w:trHeight w:val="460" w:hRule="atLeast"/>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61C1F7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预算管理情况（20）</w:t>
            </w:r>
          </w:p>
        </w:tc>
        <w:tc>
          <w:tcPr>
            <w:tcW w:w="1785" w:type="dxa"/>
            <w:vMerge w:val="restart"/>
            <w:tcBorders>
              <w:top w:val="single" w:color="000000" w:sz="4" w:space="0"/>
              <w:left w:val="single" w:color="000000" w:sz="4" w:space="0"/>
              <w:bottom w:val="single" w:color="000000" w:sz="4" w:space="0"/>
              <w:right w:val="single" w:color="000000" w:sz="4" w:space="0"/>
            </w:tcBorders>
            <w:vAlign w:val="center"/>
          </w:tcPr>
          <w:p w14:paraId="63FD6D4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财务管理（4）</w:t>
            </w:r>
          </w:p>
        </w:tc>
        <w:tc>
          <w:tcPr>
            <w:tcW w:w="2845" w:type="dxa"/>
            <w:tcBorders>
              <w:top w:val="single" w:color="000000" w:sz="4" w:space="0"/>
              <w:left w:val="single" w:color="000000" w:sz="4" w:space="0"/>
              <w:bottom w:val="single" w:color="000000" w:sz="4" w:space="0"/>
              <w:right w:val="single" w:color="000000" w:sz="4" w:space="0"/>
            </w:tcBorders>
            <w:vAlign w:val="center"/>
          </w:tcPr>
          <w:p w14:paraId="0F70622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财务管理制度健全性</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3314C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14:paraId="287E39D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w:t>
            </w:r>
          </w:p>
        </w:tc>
      </w:tr>
      <w:tr w14:paraId="776BC65C">
        <w:trPr>
          <w:trHeight w:val="523"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26FF1CC3">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53CFCC6F">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4937943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资金使用合规性和安全性</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4B2085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955" w:type="dxa"/>
            <w:tcBorders>
              <w:top w:val="single" w:color="000000" w:sz="4" w:space="0"/>
              <w:left w:val="single" w:color="000000" w:sz="4" w:space="0"/>
              <w:bottom w:val="single" w:color="000000" w:sz="4" w:space="0"/>
              <w:right w:val="single" w:color="000000" w:sz="4" w:space="0"/>
            </w:tcBorders>
            <w:vAlign w:val="center"/>
          </w:tcPr>
          <w:p w14:paraId="03CD75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w:t>
            </w:r>
          </w:p>
        </w:tc>
      </w:tr>
      <w:tr w14:paraId="58717A45">
        <w:trPr>
          <w:trHeight w:val="435"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729208A0">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vMerge w:val="continue"/>
            <w:tcBorders>
              <w:top w:val="single" w:color="000000" w:sz="4" w:space="0"/>
              <w:left w:val="single" w:color="000000" w:sz="4" w:space="0"/>
              <w:bottom w:val="single" w:color="000000" w:sz="4" w:space="0"/>
              <w:right w:val="single" w:color="000000" w:sz="4" w:space="0"/>
            </w:tcBorders>
            <w:vAlign w:val="center"/>
          </w:tcPr>
          <w:p w14:paraId="602FD341">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2845" w:type="dxa"/>
            <w:tcBorders>
              <w:top w:val="single" w:color="000000" w:sz="4" w:space="0"/>
              <w:left w:val="single" w:color="000000" w:sz="4" w:space="0"/>
              <w:bottom w:val="single" w:color="000000" w:sz="4" w:space="0"/>
              <w:right w:val="single" w:color="000000" w:sz="4" w:space="0"/>
            </w:tcBorders>
            <w:vAlign w:val="center"/>
          </w:tcPr>
          <w:p w14:paraId="67A1D62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会计基础信息完善性</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14C4C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955" w:type="dxa"/>
            <w:tcBorders>
              <w:top w:val="single" w:color="000000" w:sz="4" w:space="0"/>
              <w:left w:val="single" w:color="000000" w:sz="4" w:space="0"/>
              <w:bottom w:val="single" w:color="000000" w:sz="4" w:space="0"/>
              <w:right w:val="single" w:color="000000" w:sz="4" w:space="0"/>
            </w:tcBorders>
            <w:vAlign w:val="center"/>
          </w:tcPr>
          <w:p w14:paraId="70527A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1</w:t>
            </w:r>
          </w:p>
        </w:tc>
      </w:tr>
      <w:tr w14:paraId="3A97DB7B">
        <w:trPr>
          <w:trHeight w:val="548"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6893EE43">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177F19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资产管理（4）</w:t>
            </w:r>
          </w:p>
        </w:tc>
        <w:tc>
          <w:tcPr>
            <w:tcW w:w="2845" w:type="dxa"/>
            <w:tcBorders>
              <w:top w:val="single" w:color="000000" w:sz="4" w:space="0"/>
              <w:left w:val="single" w:color="000000" w:sz="4" w:space="0"/>
              <w:bottom w:val="single" w:color="000000" w:sz="4" w:space="0"/>
              <w:right w:val="single" w:color="000000" w:sz="4" w:space="0"/>
            </w:tcBorders>
            <w:vAlign w:val="center"/>
          </w:tcPr>
          <w:p w14:paraId="3E2E36B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资产管理规范性</w:t>
            </w:r>
          </w:p>
        </w:tc>
        <w:tc>
          <w:tcPr>
            <w:tcW w:w="1050" w:type="dxa"/>
            <w:tcBorders>
              <w:top w:val="single" w:color="000000" w:sz="4" w:space="0"/>
              <w:left w:val="single" w:color="000000" w:sz="4" w:space="0"/>
              <w:bottom w:val="single" w:color="000000" w:sz="4" w:space="0"/>
              <w:right w:val="single" w:color="000000" w:sz="4" w:space="0"/>
            </w:tcBorders>
            <w:vAlign w:val="center"/>
          </w:tcPr>
          <w:p w14:paraId="17713A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955" w:type="dxa"/>
            <w:tcBorders>
              <w:top w:val="single" w:color="000000" w:sz="4" w:space="0"/>
              <w:left w:val="single" w:color="000000" w:sz="4" w:space="0"/>
              <w:bottom w:val="single" w:color="000000" w:sz="4" w:space="0"/>
              <w:right w:val="single" w:color="000000" w:sz="4" w:space="0"/>
            </w:tcBorders>
            <w:vAlign w:val="center"/>
          </w:tcPr>
          <w:p w14:paraId="395D459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w:t>
            </w:r>
          </w:p>
        </w:tc>
      </w:tr>
      <w:tr w14:paraId="5084FB3C">
        <w:trPr>
          <w:trHeight w:val="523"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05CE2831">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6DAE33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绩效管理（4）</w:t>
            </w:r>
          </w:p>
        </w:tc>
        <w:tc>
          <w:tcPr>
            <w:tcW w:w="2845" w:type="dxa"/>
            <w:tcBorders>
              <w:top w:val="single" w:color="000000" w:sz="4" w:space="0"/>
              <w:left w:val="single" w:color="000000" w:sz="4" w:space="0"/>
              <w:bottom w:val="single" w:color="000000" w:sz="4" w:space="0"/>
              <w:right w:val="single" w:color="000000" w:sz="4" w:space="0"/>
            </w:tcBorders>
            <w:vAlign w:val="center"/>
          </w:tcPr>
          <w:p w14:paraId="3176343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绩效管理情况</w:t>
            </w:r>
          </w:p>
        </w:tc>
        <w:tc>
          <w:tcPr>
            <w:tcW w:w="1050" w:type="dxa"/>
            <w:tcBorders>
              <w:top w:val="single" w:color="000000" w:sz="4" w:space="0"/>
              <w:left w:val="single" w:color="000000" w:sz="4" w:space="0"/>
              <w:bottom w:val="single" w:color="000000" w:sz="4" w:space="0"/>
              <w:right w:val="single" w:color="000000" w:sz="4" w:space="0"/>
            </w:tcBorders>
            <w:vAlign w:val="center"/>
          </w:tcPr>
          <w:p w14:paraId="0C9D03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955" w:type="dxa"/>
            <w:tcBorders>
              <w:top w:val="single" w:color="000000" w:sz="4" w:space="0"/>
              <w:left w:val="single" w:color="000000" w:sz="4" w:space="0"/>
              <w:bottom w:val="single" w:color="000000" w:sz="4" w:space="0"/>
              <w:right w:val="single" w:color="000000" w:sz="4" w:space="0"/>
            </w:tcBorders>
            <w:vAlign w:val="center"/>
          </w:tcPr>
          <w:p w14:paraId="4096714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w:t>
            </w:r>
          </w:p>
        </w:tc>
      </w:tr>
      <w:tr w14:paraId="5DEFBE97">
        <w:trPr>
          <w:trHeight w:val="674"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054BBB92">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tcBorders>
              <w:top w:val="single" w:color="000000" w:sz="4" w:space="0"/>
              <w:left w:val="single" w:color="000000" w:sz="4" w:space="0"/>
              <w:bottom w:val="single" w:color="auto" w:sz="4" w:space="0"/>
              <w:right w:val="single" w:color="000000" w:sz="4" w:space="0"/>
            </w:tcBorders>
            <w:vAlign w:val="center"/>
          </w:tcPr>
          <w:p w14:paraId="71BAAD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结转结余率（4）</w:t>
            </w:r>
          </w:p>
        </w:tc>
        <w:tc>
          <w:tcPr>
            <w:tcW w:w="2845" w:type="dxa"/>
            <w:tcBorders>
              <w:top w:val="single" w:color="000000" w:sz="4" w:space="0"/>
              <w:left w:val="single" w:color="000000" w:sz="4" w:space="0"/>
              <w:bottom w:val="single" w:color="auto" w:sz="4" w:space="0"/>
              <w:right w:val="single" w:color="000000" w:sz="4" w:space="0"/>
            </w:tcBorders>
            <w:vAlign w:val="center"/>
          </w:tcPr>
          <w:p w14:paraId="5E57F77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w:t>
            </w:r>
          </w:p>
        </w:tc>
        <w:tc>
          <w:tcPr>
            <w:tcW w:w="1050" w:type="dxa"/>
            <w:tcBorders>
              <w:top w:val="single" w:color="000000" w:sz="4" w:space="0"/>
              <w:left w:val="single" w:color="000000" w:sz="4" w:space="0"/>
              <w:bottom w:val="single" w:color="auto" w:sz="4" w:space="0"/>
              <w:right w:val="single" w:color="000000" w:sz="4" w:space="0"/>
            </w:tcBorders>
            <w:vAlign w:val="center"/>
          </w:tcPr>
          <w:p w14:paraId="3AA1554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955" w:type="dxa"/>
            <w:tcBorders>
              <w:top w:val="single" w:color="000000" w:sz="4" w:space="0"/>
              <w:left w:val="single" w:color="000000" w:sz="4" w:space="0"/>
              <w:bottom w:val="single" w:color="auto" w:sz="4" w:space="0"/>
              <w:right w:val="single" w:color="000000" w:sz="4" w:space="0"/>
            </w:tcBorders>
            <w:vAlign w:val="center"/>
          </w:tcPr>
          <w:p w14:paraId="628A2FB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w:t>
            </w:r>
          </w:p>
        </w:tc>
      </w:tr>
      <w:tr w14:paraId="3690097B">
        <w:trPr>
          <w:trHeight w:val="680" w:hRule="atLeast"/>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1DFF1437">
            <w:pPr>
              <w:keepNext w:val="0"/>
              <w:keepLines w:val="0"/>
              <w:pageBreakBefore w:val="0"/>
              <w:widowControl/>
              <w:kinsoku/>
              <w:wordWrap/>
              <w:overflowPunct/>
              <w:topLinePunct w:val="0"/>
              <w:autoSpaceDE/>
              <w:autoSpaceDN/>
              <w:bidi w:val="0"/>
              <w:adjustRightInd/>
              <w:snapToGrid/>
              <w:spacing w:line="300" w:lineRule="exact"/>
              <w:rPr>
                <w:szCs w:val="21"/>
              </w:rPr>
            </w:pPr>
          </w:p>
        </w:tc>
        <w:tc>
          <w:tcPr>
            <w:tcW w:w="1785" w:type="dxa"/>
            <w:tcBorders>
              <w:top w:val="single" w:color="000000" w:sz="4" w:space="0"/>
              <w:left w:val="single" w:color="000000" w:sz="4" w:space="0"/>
              <w:bottom w:val="single" w:color="000000" w:sz="4" w:space="0"/>
              <w:right w:val="single" w:color="000000" w:sz="4" w:space="0"/>
            </w:tcBorders>
            <w:vAlign w:val="center"/>
          </w:tcPr>
          <w:p w14:paraId="7A9106B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部门预决算</w:t>
            </w:r>
          </w:p>
          <w:p w14:paraId="39AA182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差异率（4）</w:t>
            </w:r>
          </w:p>
        </w:tc>
        <w:tc>
          <w:tcPr>
            <w:tcW w:w="2845" w:type="dxa"/>
            <w:tcBorders>
              <w:top w:val="single" w:color="000000" w:sz="4" w:space="0"/>
              <w:left w:val="single" w:color="000000" w:sz="4" w:space="0"/>
              <w:bottom w:val="single" w:color="000000" w:sz="4" w:space="0"/>
              <w:right w:val="single" w:color="000000" w:sz="4" w:space="0"/>
            </w:tcBorders>
            <w:vAlign w:val="center"/>
          </w:tcPr>
          <w:p w14:paraId="53A869F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680BAE5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4</w:t>
            </w:r>
          </w:p>
        </w:tc>
        <w:tc>
          <w:tcPr>
            <w:tcW w:w="955" w:type="dxa"/>
            <w:tcBorders>
              <w:top w:val="single" w:color="000000" w:sz="4" w:space="0"/>
              <w:left w:val="single" w:color="000000" w:sz="4" w:space="0"/>
              <w:bottom w:val="single" w:color="000000" w:sz="4" w:space="0"/>
              <w:right w:val="single" w:color="000000" w:sz="4" w:space="0"/>
            </w:tcBorders>
            <w:vAlign w:val="center"/>
          </w:tcPr>
          <w:p w14:paraId="11F6FA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2.8</w:t>
            </w:r>
          </w:p>
        </w:tc>
      </w:tr>
      <w:tr w14:paraId="0D8A0A57">
        <w:trPr>
          <w:trHeight w:val="583" w:hRule="atLeast"/>
        </w:trPr>
        <w:tc>
          <w:tcPr>
            <w:tcW w:w="6330" w:type="dxa"/>
            <w:gridSpan w:val="3"/>
            <w:tcBorders>
              <w:top w:val="single" w:color="000000" w:sz="4" w:space="0"/>
              <w:left w:val="single" w:color="000000" w:sz="4" w:space="0"/>
              <w:bottom w:val="single" w:color="000000" w:sz="4" w:space="0"/>
              <w:right w:val="single" w:color="000000" w:sz="4" w:space="0"/>
            </w:tcBorders>
            <w:vAlign w:val="center"/>
          </w:tcPr>
          <w:p w14:paraId="404D9ED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kern w:val="0"/>
                <w:szCs w:val="21"/>
                <w:lang w:bidi="ar"/>
              </w:rPr>
              <w:t>合计</w:t>
            </w:r>
          </w:p>
        </w:tc>
        <w:tc>
          <w:tcPr>
            <w:tcW w:w="1050" w:type="dxa"/>
            <w:tcBorders>
              <w:top w:val="single" w:color="000000" w:sz="4" w:space="0"/>
              <w:left w:val="single" w:color="000000" w:sz="4" w:space="0"/>
              <w:bottom w:val="single" w:color="000000" w:sz="4" w:space="0"/>
              <w:right w:val="single" w:color="000000" w:sz="4" w:space="0"/>
            </w:tcBorders>
            <w:vAlign w:val="center"/>
          </w:tcPr>
          <w:p w14:paraId="0E3903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kern w:val="0"/>
                <w:szCs w:val="21"/>
                <w:lang w:bidi="ar"/>
              </w:rPr>
              <w:t>100.00</w:t>
            </w:r>
          </w:p>
        </w:tc>
        <w:tc>
          <w:tcPr>
            <w:tcW w:w="955" w:type="dxa"/>
            <w:tcBorders>
              <w:top w:val="single" w:color="000000" w:sz="4" w:space="0"/>
              <w:left w:val="single" w:color="000000" w:sz="4" w:space="0"/>
              <w:bottom w:val="single" w:color="000000" w:sz="4" w:space="0"/>
              <w:right w:val="single" w:color="000000" w:sz="4" w:space="0"/>
            </w:tcBorders>
            <w:vAlign w:val="center"/>
          </w:tcPr>
          <w:p w14:paraId="2DBE43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szCs w:val="21"/>
              </w:rPr>
            </w:pPr>
            <w:r>
              <w:rPr>
                <w:rFonts w:hint="eastAsia" w:ascii="仿宋_GB2312" w:hAnsi="仿宋_GB2312" w:eastAsia="仿宋_GB2312" w:cs="仿宋_GB2312"/>
                <w:b/>
                <w:bCs/>
                <w:kern w:val="0"/>
                <w:szCs w:val="21"/>
                <w:lang w:bidi="ar"/>
              </w:rPr>
              <w:t>92.63</w:t>
            </w:r>
          </w:p>
        </w:tc>
      </w:tr>
    </w:tbl>
    <w:p w14:paraId="5DF9AB9C">
      <w:pPr>
        <w:spacing w:line="560" w:lineRule="exact"/>
        <w:ind w:firstLine="420" w:firstLineChars="200"/>
      </w:pPr>
    </w:p>
    <w:p w14:paraId="59E50390">
      <w:pPr>
        <w:spacing w:line="560" w:lineRule="exact"/>
        <w:ind w:firstLine="640" w:firstLineChars="200"/>
        <w:outlineLvl w:val="1"/>
        <w:rPr>
          <w:rFonts w:ascii="楷体_GB2312" w:eastAsia="楷体_GB2312"/>
          <w:sz w:val="32"/>
          <w:szCs w:val="32"/>
        </w:rPr>
      </w:pPr>
      <w:bookmarkStart w:id="17" w:name="_Toc12019"/>
      <w:r>
        <w:rPr>
          <w:rFonts w:hint="eastAsia" w:ascii="楷体_GB2312" w:eastAsia="楷体_GB2312"/>
          <w:sz w:val="32"/>
          <w:szCs w:val="32"/>
        </w:rPr>
        <w:t>（二）存在的问题及原因分析</w:t>
      </w:r>
      <w:bookmarkEnd w:id="17"/>
    </w:p>
    <w:p w14:paraId="7FFC6206">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预算绩效目标编制工作质量有待进一步提升，主要表现在以下几个方面：一是绩效指标体系建设不够完善，部分项目在编制年度预算时未能科学设置绩效指标权重，导致指标导向性不足；二是数量指标与质量指标未能实现精准对应，指标间的逻辑关联性有待加强；三是部分项目满意度指标值设置标准偏低；四是部分效益类指标设置较为宽泛，量化程度不足，可衡量性和可评价性有待提高。</w:t>
      </w:r>
    </w:p>
    <w:p w14:paraId="0467B578">
      <w:pPr>
        <w:pStyle w:val="2"/>
        <w:spacing w:line="560" w:lineRule="exact"/>
        <w:ind w:firstLine="640"/>
      </w:pPr>
      <w:r>
        <w:rPr>
          <w:rFonts w:hint="eastAsia" w:ascii="仿宋_GB2312" w:hAnsi="宋体" w:eastAsia="仿宋_GB2312" w:cs="宋体"/>
          <w:kern w:val="0"/>
          <w:sz w:val="32"/>
          <w:szCs w:val="32"/>
        </w:rPr>
        <w:t>2.</w:t>
      </w:r>
      <w:bookmarkStart w:id="21" w:name="_GoBack"/>
      <w:bookmarkEnd w:id="21"/>
      <w:r>
        <w:rPr>
          <w:rFonts w:hint="eastAsia" w:ascii="仿宋_GB2312" w:hAnsi="宋体" w:eastAsia="仿宋_GB2312" w:cs="宋体"/>
          <w:kern w:val="0"/>
          <w:sz w:val="32"/>
          <w:szCs w:val="32"/>
        </w:rPr>
        <w:t>项目效益资料有待进一步完善。个别项目效益资料归集不够全面，影响绩效评价的客观性和准确性；缺乏深度分析和对比支撑，</w:t>
      </w:r>
      <w:r>
        <w:rPr>
          <w:rFonts w:hint="eastAsia" w:ascii="仿宋_GB2312" w:hAnsi="仿宋_GB2312" w:eastAsia="仿宋_GB2312" w:cs="仿宋_GB2312"/>
          <w:sz w:val="32"/>
          <w:szCs w:val="32"/>
          <w:lang w:bidi="ar"/>
        </w:rPr>
        <w:t>不能充分体现项目实施效果。</w:t>
      </w:r>
    </w:p>
    <w:p w14:paraId="5F1B319A">
      <w:pPr>
        <w:spacing w:line="560" w:lineRule="exact"/>
        <w:ind w:firstLine="640" w:firstLineChars="200"/>
        <w:outlineLvl w:val="0"/>
        <w:rPr>
          <w:rFonts w:hint="eastAsia" w:ascii="黑体" w:hAnsi="黑体" w:eastAsia="黑体" w:cs="宋体"/>
          <w:color w:val="000000"/>
          <w:kern w:val="0"/>
          <w:sz w:val="32"/>
          <w:szCs w:val="32"/>
        </w:rPr>
      </w:pPr>
      <w:bookmarkStart w:id="18" w:name="_Toc8513"/>
      <w:r>
        <w:rPr>
          <w:rFonts w:hint="eastAsia" w:ascii="黑体" w:hAnsi="黑体" w:eastAsia="黑体" w:cs="宋体"/>
          <w:color w:val="000000"/>
          <w:kern w:val="0"/>
          <w:sz w:val="32"/>
          <w:szCs w:val="32"/>
        </w:rPr>
        <w:t>六、措施建议</w:t>
      </w:r>
      <w:bookmarkEnd w:id="18"/>
    </w:p>
    <w:p w14:paraId="44DD4BF1">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1.强化绩效管理意识，提升绩效目标和指标编制质量，着重加强绩效指标的科学性和系统性设计，确保各项指标设置既符合项目实际又具有前瞻性和挑战性，切实发挥预算绩效管理的导向和约束作用。</w:t>
      </w:r>
    </w:p>
    <w:p w14:paraId="75692BD8">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2.完善动态监控机制，及时纠偏优化；加强资金使用的精细化管理，提高投入产出效益；深化绩效结果应用，切实发挥预算绩效管理的激励约束作用。</w:t>
      </w:r>
    </w:p>
    <w:p w14:paraId="27E811B7">
      <w:pPr>
        <w:spacing w:line="560" w:lineRule="exact"/>
        <w:ind w:firstLine="640" w:firstLineChars="200"/>
      </w:pPr>
      <w:r>
        <w:rPr>
          <w:rFonts w:hint="eastAsia" w:ascii="仿宋_GB2312" w:hAnsi="宋体" w:eastAsia="仿宋_GB2312" w:cs="宋体"/>
          <w:kern w:val="0"/>
          <w:sz w:val="32"/>
          <w:szCs w:val="32"/>
        </w:rPr>
        <w:t>3.强化绩效资料的全过程管理，注重数据归集的规范性和系统性，确保绩效佐证材料完整、可追溯，切实提升绩效评价的实效性。</w:t>
      </w:r>
    </w:p>
    <w:p w14:paraId="4260508E">
      <w:pPr>
        <w:spacing w:line="560" w:lineRule="exact"/>
        <w:ind w:firstLine="640" w:firstLineChars="200"/>
        <w:outlineLvl w:val="0"/>
        <w:rPr>
          <w:rFonts w:hint="eastAsia" w:ascii="黑体" w:hAnsi="黑体" w:eastAsia="黑体" w:cs="宋体"/>
          <w:color w:val="000000"/>
          <w:kern w:val="0"/>
          <w:sz w:val="32"/>
          <w:szCs w:val="32"/>
        </w:rPr>
      </w:pPr>
      <w:bookmarkStart w:id="19" w:name="_Toc14970"/>
      <w:bookmarkStart w:id="20" w:name="_Toc103006301"/>
      <w:r>
        <w:rPr>
          <w:rFonts w:hint="eastAsia" w:ascii="黑体" w:hAnsi="黑体" w:eastAsia="黑体" w:cs="宋体"/>
          <w:color w:val="000000"/>
          <w:kern w:val="0"/>
          <w:sz w:val="32"/>
          <w:szCs w:val="32"/>
        </w:rPr>
        <w:t>七、附件</w:t>
      </w:r>
      <w:bookmarkEnd w:id="19"/>
      <w:bookmarkEnd w:id="20"/>
    </w:p>
    <w:p w14:paraId="5AE33AD9">
      <w:pPr>
        <w:spacing w:line="560" w:lineRule="exact"/>
        <w:ind w:firstLine="641"/>
        <w:rPr>
          <w:rFonts w:hint="eastAsia" w:ascii="仿宋_GB2312" w:hAnsi="仿宋_GB2312" w:eastAsia="仿宋_GB2312" w:cs="仿宋_GB2312"/>
          <w:sz w:val="32"/>
          <w:szCs w:val="32"/>
        </w:rPr>
        <w:sectPr>
          <w:footerReference r:id="rId4" w:type="default"/>
          <w:pgSz w:w="11906" w:h="16838"/>
          <w:pgMar w:top="2098" w:right="1474" w:bottom="1984" w:left="1587" w:header="851" w:footer="964" w:gutter="0"/>
          <w:pgBorders>
            <w:top w:val="none" w:sz="0" w:space="0"/>
            <w:left w:val="none" w:sz="0" w:space="0"/>
            <w:bottom w:val="none" w:sz="0" w:space="0"/>
            <w:right w:val="none" w:sz="0" w:space="0"/>
          </w:pgBorders>
          <w:pgNumType w:start="1"/>
          <w:cols w:space="425" w:num="1"/>
          <w:docGrid w:type="lines" w:linePitch="435" w:charSpace="0"/>
        </w:sectPr>
      </w:pPr>
      <w:r>
        <w:rPr>
          <w:rFonts w:hint="eastAsia" w:ascii="仿宋_GB2312" w:hAnsi="仿宋_GB2312" w:eastAsia="仿宋_GB2312" w:cs="仿宋_GB2312"/>
          <w:sz w:val="32"/>
          <w:szCs w:val="32"/>
        </w:rPr>
        <w:t>2024年部门整体绩效评价指标体系评分表</w:t>
      </w:r>
    </w:p>
    <w:tbl>
      <w:tblPr>
        <w:tblStyle w:val="12"/>
        <w:tblW w:w="15138" w:type="dxa"/>
        <w:tblInd w:w="0" w:type="dxa"/>
        <w:tblLayout w:type="fixed"/>
        <w:tblCellMar>
          <w:top w:w="0" w:type="dxa"/>
          <w:left w:w="108" w:type="dxa"/>
          <w:bottom w:w="0" w:type="dxa"/>
          <w:right w:w="108" w:type="dxa"/>
        </w:tblCellMar>
      </w:tblPr>
      <w:tblGrid>
        <w:gridCol w:w="1620"/>
        <w:gridCol w:w="1641"/>
        <w:gridCol w:w="2499"/>
        <w:gridCol w:w="2390"/>
        <w:gridCol w:w="3350"/>
        <w:gridCol w:w="1040"/>
        <w:gridCol w:w="2080"/>
        <w:gridCol w:w="518"/>
      </w:tblGrid>
      <w:tr w14:paraId="1CB7BEBE">
        <w:trPr>
          <w:gridAfter w:val="1"/>
          <w:wAfter w:w="518" w:type="dxa"/>
          <w:trHeight w:val="550" w:hRule="atLeast"/>
        </w:trPr>
        <w:tc>
          <w:tcPr>
            <w:tcW w:w="14620" w:type="dxa"/>
            <w:gridSpan w:val="7"/>
            <w:tcBorders>
              <w:top w:val="nil"/>
              <w:left w:val="nil"/>
              <w:bottom w:val="nil"/>
              <w:right w:val="nil"/>
            </w:tcBorders>
            <w:noWrap/>
            <w:vAlign w:val="center"/>
          </w:tcPr>
          <w:p w14:paraId="14BBB80A">
            <w:pPr>
              <w:widowControl/>
              <w:jc w:val="center"/>
              <w:rPr>
                <w:rFonts w:hint="eastAsia" w:ascii="方正小标宋简体" w:hAnsi="方正小标宋简体" w:eastAsia="方正小标宋简体" w:cs="宋体"/>
                <w:color w:val="000000"/>
                <w:kern w:val="0"/>
                <w:sz w:val="44"/>
                <w:szCs w:val="44"/>
              </w:rPr>
            </w:pPr>
            <w:r>
              <w:rPr>
                <w:rFonts w:hint="eastAsia" w:ascii="方正小标宋简体" w:hAnsi="方正小标宋简体" w:eastAsia="方正小标宋简体" w:cs="宋体"/>
                <w:color w:val="000000"/>
                <w:kern w:val="0"/>
                <w:sz w:val="44"/>
                <w:szCs w:val="44"/>
              </w:rPr>
              <w:t>2024年部门整体绩效评价指标体系评分表</w:t>
            </w:r>
          </w:p>
        </w:tc>
      </w:tr>
      <w:tr w14:paraId="75666971">
        <w:trPr>
          <w:gridAfter w:val="1"/>
          <w:wAfter w:w="518" w:type="dxa"/>
          <w:trHeight w:val="290" w:hRule="atLeast"/>
        </w:trPr>
        <w:tc>
          <w:tcPr>
            <w:tcW w:w="14620" w:type="dxa"/>
            <w:gridSpan w:val="7"/>
            <w:tcBorders>
              <w:top w:val="single" w:color="auto" w:sz="4" w:space="0"/>
              <w:left w:val="single" w:color="auto" w:sz="4" w:space="0"/>
              <w:bottom w:val="single" w:color="auto" w:sz="4" w:space="0"/>
              <w:right w:val="single" w:color="auto" w:sz="4" w:space="0"/>
            </w:tcBorders>
            <w:vAlign w:val="center"/>
          </w:tcPr>
          <w:p w14:paraId="3010DE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一、</w:t>
            </w:r>
            <w:r>
              <w:rPr>
                <w:rFonts w:hint="eastAsia" w:ascii="仿宋_GB2312" w:hAnsi="等线" w:eastAsia="仿宋_GB2312" w:cs="宋体"/>
                <w:color w:val="000000"/>
                <w:kern w:val="0"/>
                <w:sz w:val="20"/>
                <w:szCs w:val="20"/>
              </w:rPr>
              <w:t>当年预算执行情况（20分）</w:t>
            </w:r>
          </w:p>
        </w:tc>
      </w:tr>
      <w:tr w14:paraId="541E4984">
        <w:trPr>
          <w:gridAfter w:val="1"/>
          <w:wAfter w:w="518" w:type="dxa"/>
          <w:trHeight w:val="280" w:hRule="atLeast"/>
        </w:trPr>
        <w:tc>
          <w:tcPr>
            <w:tcW w:w="1620" w:type="dxa"/>
            <w:tcBorders>
              <w:top w:val="nil"/>
              <w:left w:val="single" w:color="auto" w:sz="4" w:space="0"/>
              <w:bottom w:val="single" w:color="auto" w:sz="4" w:space="0"/>
              <w:right w:val="single" w:color="auto" w:sz="4" w:space="0"/>
            </w:tcBorders>
            <w:vAlign w:val="center"/>
          </w:tcPr>
          <w:p w14:paraId="5F5854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一级指标　</w:t>
            </w:r>
          </w:p>
        </w:tc>
        <w:tc>
          <w:tcPr>
            <w:tcW w:w="1641" w:type="dxa"/>
            <w:tcBorders>
              <w:top w:val="nil"/>
              <w:left w:val="nil"/>
              <w:bottom w:val="single" w:color="auto" w:sz="4" w:space="0"/>
              <w:right w:val="single" w:color="auto" w:sz="4" w:space="0"/>
            </w:tcBorders>
            <w:vAlign w:val="center"/>
          </w:tcPr>
          <w:p w14:paraId="633E2C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二级指标　</w:t>
            </w:r>
          </w:p>
        </w:tc>
        <w:tc>
          <w:tcPr>
            <w:tcW w:w="2499" w:type="dxa"/>
            <w:tcBorders>
              <w:top w:val="nil"/>
              <w:left w:val="nil"/>
              <w:bottom w:val="single" w:color="auto" w:sz="4" w:space="0"/>
              <w:right w:val="single" w:color="auto" w:sz="4" w:space="0"/>
            </w:tcBorders>
            <w:vAlign w:val="center"/>
          </w:tcPr>
          <w:p w14:paraId="7B332D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预算数（万元）</w:t>
            </w:r>
          </w:p>
        </w:tc>
        <w:tc>
          <w:tcPr>
            <w:tcW w:w="2390" w:type="dxa"/>
            <w:tcBorders>
              <w:top w:val="nil"/>
              <w:left w:val="nil"/>
              <w:bottom w:val="single" w:color="auto" w:sz="4" w:space="0"/>
              <w:right w:val="single" w:color="auto" w:sz="4" w:space="0"/>
            </w:tcBorders>
            <w:vAlign w:val="center"/>
          </w:tcPr>
          <w:p w14:paraId="2BF5E0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执行数（万元）</w:t>
            </w:r>
          </w:p>
        </w:tc>
        <w:tc>
          <w:tcPr>
            <w:tcW w:w="3350" w:type="dxa"/>
            <w:tcBorders>
              <w:top w:val="nil"/>
              <w:left w:val="nil"/>
              <w:bottom w:val="single" w:color="auto" w:sz="4" w:space="0"/>
              <w:right w:val="single" w:color="auto" w:sz="4" w:space="0"/>
            </w:tcBorders>
            <w:vAlign w:val="center"/>
          </w:tcPr>
          <w:p w14:paraId="70E09B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预算执行率</w:t>
            </w:r>
          </w:p>
        </w:tc>
        <w:tc>
          <w:tcPr>
            <w:tcW w:w="1040" w:type="dxa"/>
            <w:tcBorders>
              <w:top w:val="nil"/>
              <w:left w:val="nil"/>
              <w:bottom w:val="single" w:color="auto" w:sz="4" w:space="0"/>
              <w:right w:val="single" w:color="auto" w:sz="4" w:space="0"/>
            </w:tcBorders>
            <w:vAlign w:val="center"/>
          </w:tcPr>
          <w:p w14:paraId="004BDD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分值</w:t>
            </w:r>
          </w:p>
        </w:tc>
        <w:tc>
          <w:tcPr>
            <w:tcW w:w="2080" w:type="dxa"/>
            <w:tcBorders>
              <w:top w:val="single" w:color="auto" w:sz="4" w:space="0"/>
              <w:left w:val="nil"/>
              <w:bottom w:val="single" w:color="auto" w:sz="4" w:space="0"/>
              <w:right w:val="single" w:color="auto" w:sz="4" w:space="0"/>
            </w:tcBorders>
            <w:vAlign w:val="center"/>
          </w:tcPr>
          <w:p w14:paraId="0D25AE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得分</w:t>
            </w:r>
          </w:p>
        </w:tc>
      </w:tr>
      <w:tr w14:paraId="3942F083">
        <w:trPr>
          <w:gridAfter w:val="1"/>
          <w:wAfter w:w="518" w:type="dxa"/>
          <w:trHeight w:val="336" w:hRule="atLeast"/>
        </w:trPr>
        <w:tc>
          <w:tcPr>
            <w:tcW w:w="1620" w:type="dxa"/>
            <w:vMerge w:val="restart"/>
            <w:tcBorders>
              <w:top w:val="nil"/>
              <w:left w:val="single" w:color="auto" w:sz="4" w:space="0"/>
              <w:bottom w:val="single" w:color="auto" w:sz="4" w:space="0"/>
              <w:right w:val="single" w:color="auto" w:sz="4" w:space="0"/>
            </w:tcBorders>
            <w:vAlign w:val="center"/>
          </w:tcPr>
          <w:p w14:paraId="6B8CE0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当年预算</w:t>
            </w:r>
          </w:p>
          <w:p w14:paraId="42322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执行情况（20）</w:t>
            </w:r>
          </w:p>
        </w:tc>
        <w:tc>
          <w:tcPr>
            <w:tcW w:w="1641" w:type="dxa"/>
            <w:tcBorders>
              <w:top w:val="nil"/>
              <w:left w:val="nil"/>
              <w:bottom w:val="single" w:color="auto" w:sz="4" w:space="0"/>
              <w:right w:val="single" w:color="auto" w:sz="4" w:space="0"/>
            </w:tcBorders>
            <w:vAlign w:val="center"/>
          </w:tcPr>
          <w:p w14:paraId="74CE91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资金总体</w:t>
            </w:r>
          </w:p>
        </w:tc>
        <w:tc>
          <w:tcPr>
            <w:tcW w:w="2499" w:type="dxa"/>
            <w:tcBorders>
              <w:top w:val="nil"/>
              <w:left w:val="nil"/>
              <w:bottom w:val="single" w:color="auto" w:sz="4" w:space="0"/>
              <w:right w:val="single" w:color="auto" w:sz="4" w:space="0"/>
            </w:tcBorders>
            <w:vAlign w:val="center"/>
          </w:tcPr>
          <w:p w14:paraId="1C9B62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221,864.27</w:t>
            </w:r>
          </w:p>
        </w:tc>
        <w:tc>
          <w:tcPr>
            <w:tcW w:w="2390" w:type="dxa"/>
            <w:tcBorders>
              <w:top w:val="nil"/>
              <w:left w:val="nil"/>
              <w:bottom w:val="single" w:color="auto" w:sz="4" w:space="0"/>
              <w:right w:val="single" w:color="auto" w:sz="4" w:space="0"/>
            </w:tcBorders>
            <w:vAlign w:val="center"/>
          </w:tcPr>
          <w:p w14:paraId="69861D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204,168.92</w:t>
            </w:r>
          </w:p>
        </w:tc>
        <w:tc>
          <w:tcPr>
            <w:tcW w:w="3350" w:type="dxa"/>
            <w:tcBorders>
              <w:top w:val="nil"/>
              <w:left w:val="nil"/>
              <w:bottom w:val="single" w:color="auto" w:sz="4" w:space="0"/>
              <w:right w:val="single" w:color="auto" w:sz="4" w:space="0"/>
            </w:tcBorders>
            <w:vAlign w:val="center"/>
          </w:tcPr>
          <w:p w14:paraId="498146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92.02%</w:t>
            </w:r>
          </w:p>
        </w:tc>
        <w:tc>
          <w:tcPr>
            <w:tcW w:w="1040" w:type="dxa"/>
            <w:vMerge w:val="restart"/>
            <w:tcBorders>
              <w:top w:val="nil"/>
              <w:left w:val="single" w:color="auto" w:sz="4" w:space="0"/>
              <w:bottom w:val="single" w:color="auto" w:sz="4" w:space="0"/>
              <w:right w:val="single" w:color="auto" w:sz="4" w:space="0"/>
            </w:tcBorders>
            <w:noWrap/>
            <w:vAlign w:val="center"/>
          </w:tcPr>
          <w:p w14:paraId="1DC111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w:t>
            </w:r>
          </w:p>
        </w:tc>
        <w:tc>
          <w:tcPr>
            <w:tcW w:w="2080" w:type="dxa"/>
            <w:vMerge w:val="restart"/>
            <w:tcBorders>
              <w:top w:val="single" w:color="auto" w:sz="4" w:space="0"/>
              <w:left w:val="single" w:color="auto" w:sz="4" w:space="0"/>
              <w:bottom w:val="single" w:color="auto" w:sz="4" w:space="0"/>
              <w:right w:val="single" w:color="auto" w:sz="4" w:space="0"/>
            </w:tcBorders>
            <w:noWrap/>
            <w:vAlign w:val="center"/>
          </w:tcPr>
          <w:p w14:paraId="4B6873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18.4</w:t>
            </w:r>
          </w:p>
        </w:tc>
      </w:tr>
      <w:tr w14:paraId="4CDB579A">
        <w:trPr>
          <w:gridAfter w:val="1"/>
          <w:wAfter w:w="518" w:type="dxa"/>
          <w:trHeight w:val="280" w:hRule="atLeast"/>
        </w:trPr>
        <w:tc>
          <w:tcPr>
            <w:tcW w:w="1620" w:type="dxa"/>
            <w:vMerge w:val="continue"/>
            <w:tcBorders>
              <w:top w:val="nil"/>
              <w:left w:val="single" w:color="auto" w:sz="4" w:space="0"/>
              <w:bottom w:val="single" w:color="auto" w:sz="4" w:space="0"/>
              <w:right w:val="single" w:color="auto" w:sz="4" w:space="0"/>
            </w:tcBorders>
            <w:vAlign w:val="center"/>
          </w:tcPr>
          <w:p w14:paraId="3D36F65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tcBorders>
              <w:top w:val="nil"/>
              <w:left w:val="nil"/>
              <w:bottom w:val="single" w:color="auto" w:sz="4" w:space="0"/>
              <w:right w:val="single" w:color="auto" w:sz="4" w:space="0"/>
            </w:tcBorders>
            <w:vAlign w:val="center"/>
          </w:tcPr>
          <w:p w14:paraId="4D5FA9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基本支出</w:t>
            </w:r>
          </w:p>
        </w:tc>
        <w:tc>
          <w:tcPr>
            <w:tcW w:w="2499" w:type="dxa"/>
            <w:tcBorders>
              <w:top w:val="nil"/>
              <w:left w:val="nil"/>
              <w:bottom w:val="single" w:color="auto" w:sz="4" w:space="0"/>
              <w:right w:val="single" w:color="auto" w:sz="4" w:space="0"/>
            </w:tcBorders>
            <w:vAlign w:val="center"/>
          </w:tcPr>
          <w:p w14:paraId="70C1A5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108,662.16</w:t>
            </w:r>
          </w:p>
        </w:tc>
        <w:tc>
          <w:tcPr>
            <w:tcW w:w="2390" w:type="dxa"/>
            <w:tcBorders>
              <w:top w:val="nil"/>
              <w:left w:val="nil"/>
              <w:bottom w:val="single" w:color="auto" w:sz="4" w:space="0"/>
              <w:right w:val="single" w:color="auto" w:sz="4" w:space="0"/>
            </w:tcBorders>
            <w:vAlign w:val="center"/>
          </w:tcPr>
          <w:p w14:paraId="5CC34F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101,374.59</w:t>
            </w:r>
          </w:p>
        </w:tc>
        <w:tc>
          <w:tcPr>
            <w:tcW w:w="3350" w:type="dxa"/>
            <w:vMerge w:val="restart"/>
            <w:tcBorders>
              <w:top w:val="nil"/>
              <w:left w:val="single" w:color="auto" w:sz="4" w:space="0"/>
              <w:bottom w:val="single" w:color="auto" w:sz="4" w:space="0"/>
              <w:right w:val="single" w:color="auto" w:sz="4" w:space="0"/>
            </w:tcBorders>
            <w:vAlign w:val="center"/>
          </w:tcPr>
          <w:p w14:paraId="6B41F5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w:t>
            </w:r>
          </w:p>
        </w:tc>
        <w:tc>
          <w:tcPr>
            <w:tcW w:w="1040" w:type="dxa"/>
            <w:vMerge w:val="continue"/>
            <w:tcBorders>
              <w:top w:val="nil"/>
              <w:left w:val="single" w:color="auto" w:sz="4" w:space="0"/>
              <w:bottom w:val="single" w:color="auto" w:sz="4" w:space="0"/>
              <w:right w:val="single" w:color="auto" w:sz="4" w:space="0"/>
            </w:tcBorders>
            <w:vAlign w:val="center"/>
          </w:tcPr>
          <w:p w14:paraId="1F5489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656876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r>
      <w:tr w14:paraId="7E59AFC3">
        <w:trPr>
          <w:gridAfter w:val="1"/>
          <w:wAfter w:w="518" w:type="dxa"/>
          <w:trHeight w:val="280" w:hRule="atLeast"/>
        </w:trPr>
        <w:tc>
          <w:tcPr>
            <w:tcW w:w="1620" w:type="dxa"/>
            <w:vMerge w:val="continue"/>
            <w:tcBorders>
              <w:top w:val="nil"/>
              <w:left w:val="single" w:color="auto" w:sz="4" w:space="0"/>
              <w:bottom w:val="single" w:color="auto" w:sz="4" w:space="0"/>
              <w:right w:val="single" w:color="auto" w:sz="4" w:space="0"/>
            </w:tcBorders>
            <w:vAlign w:val="center"/>
          </w:tcPr>
          <w:p w14:paraId="399841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tcBorders>
              <w:top w:val="nil"/>
              <w:left w:val="nil"/>
              <w:bottom w:val="single" w:color="auto" w:sz="4" w:space="0"/>
              <w:right w:val="single" w:color="auto" w:sz="4" w:space="0"/>
            </w:tcBorders>
            <w:vAlign w:val="center"/>
          </w:tcPr>
          <w:p w14:paraId="091916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项目支出</w:t>
            </w:r>
          </w:p>
        </w:tc>
        <w:tc>
          <w:tcPr>
            <w:tcW w:w="2499" w:type="dxa"/>
            <w:tcBorders>
              <w:top w:val="nil"/>
              <w:left w:val="nil"/>
              <w:bottom w:val="single" w:color="auto" w:sz="4" w:space="0"/>
              <w:right w:val="single" w:color="auto" w:sz="4" w:space="0"/>
            </w:tcBorders>
            <w:vAlign w:val="center"/>
          </w:tcPr>
          <w:p w14:paraId="02D633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113,202.11</w:t>
            </w:r>
          </w:p>
        </w:tc>
        <w:tc>
          <w:tcPr>
            <w:tcW w:w="2390" w:type="dxa"/>
            <w:tcBorders>
              <w:top w:val="nil"/>
              <w:left w:val="nil"/>
              <w:bottom w:val="single" w:color="auto" w:sz="4" w:space="0"/>
              <w:right w:val="single" w:color="auto" w:sz="4" w:space="0"/>
            </w:tcBorders>
            <w:vAlign w:val="center"/>
          </w:tcPr>
          <w:p w14:paraId="55BDBA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102,794.33</w:t>
            </w:r>
          </w:p>
        </w:tc>
        <w:tc>
          <w:tcPr>
            <w:tcW w:w="3350" w:type="dxa"/>
            <w:vMerge w:val="continue"/>
            <w:tcBorders>
              <w:top w:val="nil"/>
              <w:left w:val="single" w:color="auto" w:sz="4" w:space="0"/>
              <w:bottom w:val="single" w:color="auto" w:sz="4" w:space="0"/>
              <w:right w:val="single" w:color="auto" w:sz="4" w:space="0"/>
            </w:tcBorders>
            <w:vAlign w:val="center"/>
          </w:tcPr>
          <w:p w14:paraId="1DFD29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14:paraId="669CE9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13A4A4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r>
      <w:tr w14:paraId="7799F703">
        <w:trPr>
          <w:gridAfter w:val="1"/>
          <w:wAfter w:w="518" w:type="dxa"/>
          <w:trHeight w:val="280" w:hRule="atLeast"/>
        </w:trPr>
        <w:tc>
          <w:tcPr>
            <w:tcW w:w="1620" w:type="dxa"/>
            <w:vMerge w:val="continue"/>
            <w:tcBorders>
              <w:top w:val="nil"/>
              <w:left w:val="single" w:color="auto" w:sz="4" w:space="0"/>
              <w:bottom w:val="single" w:color="auto" w:sz="4" w:space="0"/>
              <w:right w:val="single" w:color="auto" w:sz="4" w:space="0"/>
            </w:tcBorders>
            <w:vAlign w:val="center"/>
          </w:tcPr>
          <w:p w14:paraId="02D1B0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tcBorders>
              <w:top w:val="nil"/>
              <w:left w:val="nil"/>
              <w:bottom w:val="single" w:color="auto" w:sz="4" w:space="0"/>
              <w:right w:val="single" w:color="auto" w:sz="4" w:space="0"/>
            </w:tcBorders>
            <w:vAlign w:val="center"/>
          </w:tcPr>
          <w:p w14:paraId="11BB38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其他</w:t>
            </w:r>
          </w:p>
        </w:tc>
        <w:tc>
          <w:tcPr>
            <w:tcW w:w="2499" w:type="dxa"/>
            <w:tcBorders>
              <w:top w:val="nil"/>
              <w:left w:val="nil"/>
              <w:bottom w:val="single" w:color="auto" w:sz="4" w:space="0"/>
              <w:right w:val="single" w:color="auto" w:sz="4" w:space="0"/>
            </w:tcBorders>
            <w:vAlign w:val="center"/>
          </w:tcPr>
          <w:p w14:paraId="53404F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2390" w:type="dxa"/>
            <w:tcBorders>
              <w:top w:val="nil"/>
              <w:left w:val="nil"/>
              <w:bottom w:val="single" w:color="auto" w:sz="4" w:space="0"/>
              <w:right w:val="single" w:color="auto" w:sz="4" w:space="0"/>
            </w:tcBorders>
            <w:vAlign w:val="center"/>
          </w:tcPr>
          <w:p w14:paraId="1F7F4E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　</w:t>
            </w:r>
          </w:p>
        </w:tc>
        <w:tc>
          <w:tcPr>
            <w:tcW w:w="3350" w:type="dxa"/>
            <w:vMerge w:val="continue"/>
            <w:tcBorders>
              <w:top w:val="nil"/>
              <w:left w:val="single" w:color="auto" w:sz="4" w:space="0"/>
              <w:bottom w:val="single" w:color="auto" w:sz="4" w:space="0"/>
              <w:right w:val="single" w:color="auto" w:sz="4" w:space="0"/>
            </w:tcBorders>
            <w:vAlign w:val="center"/>
          </w:tcPr>
          <w:p w14:paraId="2DB1A9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14:paraId="022C3FB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5CF4ED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r>
      <w:tr w14:paraId="26D47F4E">
        <w:trPr>
          <w:gridAfter w:val="1"/>
          <w:wAfter w:w="518" w:type="dxa"/>
          <w:trHeight w:val="280" w:hRule="atLeast"/>
        </w:trPr>
        <w:tc>
          <w:tcPr>
            <w:tcW w:w="14620" w:type="dxa"/>
            <w:gridSpan w:val="7"/>
            <w:tcBorders>
              <w:top w:val="single" w:color="auto" w:sz="4" w:space="0"/>
              <w:left w:val="single" w:color="auto" w:sz="4" w:space="0"/>
              <w:bottom w:val="single" w:color="auto" w:sz="4" w:space="0"/>
              <w:right w:val="single" w:color="auto" w:sz="4" w:space="0"/>
            </w:tcBorders>
            <w:vAlign w:val="center"/>
          </w:tcPr>
          <w:p w14:paraId="2245AB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二、</w:t>
            </w:r>
            <w:r>
              <w:rPr>
                <w:rFonts w:hint="eastAsia" w:ascii="仿宋_GB2312" w:hAnsi="等线" w:eastAsia="仿宋_GB2312" w:cs="宋体"/>
                <w:color w:val="000000"/>
                <w:kern w:val="0"/>
                <w:sz w:val="20"/>
                <w:szCs w:val="20"/>
              </w:rPr>
              <w:t>整体绩效目标实现情况（60分）</w:t>
            </w:r>
          </w:p>
        </w:tc>
      </w:tr>
      <w:tr w14:paraId="06A44626">
        <w:trPr>
          <w:gridAfter w:val="1"/>
          <w:wAfter w:w="518" w:type="dxa"/>
          <w:trHeight w:val="280" w:hRule="atLeast"/>
        </w:trPr>
        <w:tc>
          <w:tcPr>
            <w:tcW w:w="1620" w:type="dxa"/>
            <w:tcBorders>
              <w:top w:val="nil"/>
              <w:left w:val="single" w:color="auto" w:sz="4" w:space="0"/>
              <w:bottom w:val="single" w:color="auto" w:sz="4" w:space="0"/>
              <w:right w:val="single" w:color="auto" w:sz="4" w:space="0"/>
            </w:tcBorders>
            <w:vAlign w:val="center"/>
          </w:tcPr>
          <w:p w14:paraId="1596231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一级指标</w:t>
            </w:r>
          </w:p>
        </w:tc>
        <w:tc>
          <w:tcPr>
            <w:tcW w:w="1641" w:type="dxa"/>
            <w:tcBorders>
              <w:top w:val="nil"/>
              <w:left w:val="nil"/>
              <w:bottom w:val="single" w:color="auto" w:sz="4" w:space="0"/>
              <w:right w:val="single" w:color="auto" w:sz="4" w:space="0"/>
            </w:tcBorders>
            <w:vAlign w:val="center"/>
          </w:tcPr>
          <w:p w14:paraId="3B6362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二级指标　</w:t>
            </w:r>
          </w:p>
        </w:tc>
        <w:tc>
          <w:tcPr>
            <w:tcW w:w="2499" w:type="dxa"/>
            <w:tcBorders>
              <w:top w:val="nil"/>
              <w:left w:val="nil"/>
              <w:bottom w:val="single" w:color="auto" w:sz="4" w:space="0"/>
              <w:right w:val="single" w:color="auto" w:sz="4" w:space="0"/>
            </w:tcBorders>
            <w:vAlign w:val="center"/>
          </w:tcPr>
          <w:p w14:paraId="3146B25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三级指标　</w:t>
            </w:r>
          </w:p>
        </w:tc>
        <w:tc>
          <w:tcPr>
            <w:tcW w:w="2390" w:type="dxa"/>
            <w:tcBorders>
              <w:top w:val="nil"/>
              <w:left w:val="nil"/>
              <w:bottom w:val="single" w:color="auto" w:sz="4" w:space="0"/>
              <w:right w:val="single" w:color="auto" w:sz="4" w:space="0"/>
            </w:tcBorders>
            <w:vAlign w:val="center"/>
          </w:tcPr>
          <w:p w14:paraId="1A2AAE4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指标值</w:t>
            </w:r>
          </w:p>
        </w:tc>
        <w:tc>
          <w:tcPr>
            <w:tcW w:w="3350" w:type="dxa"/>
            <w:tcBorders>
              <w:top w:val="nil"/>
              <w:left w:val="nil"/>
              <w:bottom w:val="single" w:color="auto" w:sz="4" w:space="0"/>
              <w:right w:val="single" w:color="auto" w:sz="4" w:space="0"/>
            </w:tcBorders>
            <w:vAlign w:val="center"/>
          </w:tcPr>
          <w:p w14:paraId="2F9667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完成值</w:t>
            </w:r>
          </w:p>
        </w:tc>
        <w:tc>
          <w:tcPr>
            <w:tcW w:w="1040" w:type="dxa"/>
            <w:tcBorders>
              <w:top w:val="nil"/>
              <w:left w:val="nil"/>
              <w:bottom w:val="single" w:color="auto" w:sz="4" w:space="0"/>
              <w:right w:val="single" w:color="auto" w:sz="4" w:space="0"/>
            </w:tcBorders>
            <w:vAlign w:val="center"/>
          </w:tcPr>
          <w:p w14:paraId="2B62767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分值</w:t>
            </w:r>
          </w:p>
        </w:tc>
        <w:tc>
          <w:tcPr>
            <w:tcW w:w="2080" w:type="dxa"/>
            <w:tcBorders>
              <w:top w:val="single" w:color="auto" w:sz="4" w:space="0"/>
              <w:left w:val="nil"/>
              <w:bottom w:val="single" w:color="auto" w:sz="4" w:space="0"/>
              <w:right w:val="single" w:color="auto" w:sz="4" w:space="0"/>
            </w:tcBorders>
            <w:vAlign w:val="center"/>
          </w:tcPr>
          <w:p w14:paraId="57FDD3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得分</w:t>
            </w:r>
          </w:p>
        </w:tc>
      </w:tr>
      <w:tr w14:paraId="3ECCD81B">
        <w:trPr>
          <w:gridAfter w:val="1"/>
          <w:wAfter w:w="518" w:type="dxa"/>
          <w:trHeight w:val="280"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14:paraId="494ABC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7DA099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5F477B20">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等线" w:eastAsia="仿宋_GB2312" w:cs="宋体"/>
                <w:color w:val="000000"/>
                <w:kern w:val="0"/>
                <w:sz w:val="20"/>
                <w:szCs w:val="20"/>
              </w:rPr>
            </w:pPr>
          </w:p>
          <w:p w14:paraId="1CCFF6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79955E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50513F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2C12A1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整体绩效目标</w:t>
            </w:r>
          </w:p>
          <w:p w14:paraId="21E3DC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实现情况（60）</w:t>
            </w:r>
          </w:p>
          <w:p w14:paraId="50B13B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1B81EB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55B923C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4AD2A1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0F3706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00260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627BCB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7F1640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3C69E2F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77822B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704F9A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53FB1C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640BB2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7258BC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1B20DA65">
            <w:pPr>
              <w:pStyle w:val="2"/>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等线" w:eastAsia="仿宋_GB2312" w:cs="宋体"/>
                <w:color w:val="000000"/>
                <w:kern w:val="0"/>
                <w:sz w:val="20"/>
                <w:szCs w:val="20"/>
              </w:rPr>
            </w:pPr>
          </w:p>
          <w:p w14:paraId="1DA8EC2E">
            <w:pPr>
              <w:pStyle w:val="2"/>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仿宋_GB2312" w:hAnsi="等线" w:eastAsia="仿宋_GB2312" w:cs="宋体"/>
                <w:color w:val="000000"/>
                <w:kern w:val="0"/>
                <w:sz w:val="20"/>
                <w:szCs w:val="20"/>
              </w:rPr>
            </w:pPr>
          </w:p>
          <w:p w14:paraId="0A67CF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0C4147FE">
            <w:pPr>
              <w:pStyle w:val="2"/>
              <w:keepNext w:val="0"/>
              <w:keepLines w:val="0"/>
              <w:pageBreakBefore w:val="0"/>
              <w:widowControl/>
              <w:kinsoku/>
              <w:wordWrap/>
              <w:overflowPunct/>
              <w:topLinePunct w:val="0"/>
              <w:autoSpaceDE/>
              <w:autoSpaceDN/>
              <w:bidi w:val="0"/>
              <w:adjustRightInd/>
              <w:snapToGrid/>
              <w:spacing w:line="260" w:lineRule="exact"/>
              <w:textAlignment w:val="auto"/>
              <w:rPr>
                <w:rFonts w:hint="eastAsia"/>
              </w:rPr>
            </w:pPr>
          </w:p>
          <w:p w14:paraId="5D2ED159">
            <w:pPr>
              <w:pStyle w:val="2"/>
              <w:keepNext w:val="0"/>
              <w:keepLines w:val="0"/>
              <w:pageBreakBefore w:val="0"/>
              <w:widowControl/>
              <w:kinsoku/>
              <w:wordWrap/>
              <w:overflowPunct/>
              <w:topLinePunct w:val="0"/>
              <w:autoSpaceDE/>
              <w:autoSpaceDN/>
              <w:bidi w:val="0"/>
              <w:adjustRightInd/>
              <w:snapToGrid/>
              <w:spacing w:line="260" w:lineRule="exact"/>
              <w:textAlignment w:val="auto"/>
              <w:rPr>
                <w:rFonts w:hint="eastAsia"/>
              </w:rPr>
            </w:pPr>
          </w:p>
          <w:p w14:paraId="13240FC9">
            <w:pPr>
              <w:pStyle w:val="2"/>
              <w:keepNext w:val="0"/>
              <w:keepLines w:val="0"/>
              <w:pageBreakBefore w:val="0"/>
              <w:widowControl/>
              <w:kinsoku/>
              <w:wordWrap/>
              <w:overflowPunct/>
              <w:topLinePunct w:val="0"/>
              <w:autoSpaceDE/>
              <w:autoSpaceDN/>
              <w:bidi w:val="0"/>
              <w:adjustRightInd/>
              <w:snapToGrid/>
              <w:spacing w:line="260" w:lineRule="exact"/>
              <w:textAlignment w:val="auto"/>
              <w:rPr>
                <w:rFonts w:hint="eastAsia"/>
              </w:rPr>
            </w:pPr>
          </w:p>
          <w:p w14:paraId="4DCB4167">
            <w:pPr>
              <w:pStyle w:val="2"/>
              <w:keepNext w:val="0"/>
              <w:keepLines w:val="0"/>
              <w:pageBreakBefore w:val="0"/>
              <w:widowControl/>
              <w:kinsoku/>
              <w:wordWrap/>
              <w:overflowPunct/>
              <w:topLinePunct w:val="0"/>
              <w:autoSpaceDE/>
              <w:autoSpaceDN/>
              <w:bidi w:val="0"/>
              <w:adjustRightInd/>
              <w:snapToGrid/>
              <w:spacing w:line="260" w:lineRule="exact"/>
              <w:textAlignment w:val="auto"/>
              <w:rPr>
                <w:rFonts w:hint="eastAsia"/>
              </w:rPr>
            </w:pPr>
          </w:p>
          <w:p w14:paraId="300E55A5">
            <w:pPr>
              <w:pStyle w:val="2"/>
              <w:keepNext w:val="0"/>
              <w:keepLines w:val="0"/>
              <w:pageBreakBefore w:val="0"/>
              <w:widowControl/>
              <w:kinsoku/>
              <w:wordWrap/>
              <w:overflowPunct/>
              <w:topLinePunct w:val="0"/>
              <w:autoSpaceDE/>
              <w:autoSpaceDN/>
              <w:bidi w:val="0"/>
              <w:adjustRightInd/>
              <w:snapToGrid/>
              <w:spacing w:line="260" w:lineRule="exact"/>
              <w:textAlignment w:val="auto"/>
              <w:rPr>
                <w:rFonts w:hint="eastAsia"/>
              </w:rPr>
            </w:pPr>
          </w:p>
          <w:p w14:paraId="76DCBF3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5DE64AF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67C391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整体绩效目标</w:t>
            </w:r>
          </w:p>
          <w:p w14:paraId="62953C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实现情况（60）</w:t>
            </w:r>
          </w:p>
          <w:p w14:paraId="5DCE687B">
            <w:pPr>
              <w:keepNext w:val="0"/>
              <w:keepLines w:val="0"/>
              <w:pageBreakBefore w:val="0"/>
              <w:widowControl/>
              <w:kinsoku/>
              <w:wordWrap/>
              <w:overflowPunct/>
              <w:topLinePunct w:val="0"/>
              <w:autoSpaceDE/>
              <w:autoSpaceDN/>
              <w:bidi w:val="0"/>
              <w:adjustRightInd/>
              <w:snapToGrid/>
              <w:spacing w:line="260" w:lineRule="exact"/>
              <w:jc w:val="both"/>
              <w:textAlignment w:val="auto"/>
            </w:pPr>
          </w:p>
        </w:tc>
        <w:tc>
          <w:tcPr>
            <w:tcW w:w="1641" w:type="dxa"/>
            <w:vMerge w:val="restart"/>
            <w:tcBorders>
              <w:top w:val="single" w:color="auto" w:sz="4" w:space="0"/>
              <w:left w:val="single" w:color="auto" w:sz="4" w:space="0"/>
              <w:bottom w:val="single" w:color="auto" w:sz="4" w:space="0"/>
              <w:right w:val="single" w:color="auto" w:sz="4" w:space="0"/>
            </w:tcBorders>
            <w:vAlign w:val="center"/>
          </w:tcPr>
          <w:p w14:paraId="03E54D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7810C5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76F51F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732694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114D9D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7F569A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4DA0D9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07D7EBF7">
            <w:pPr>
              <w:keepNext w:val="0"/>
              <w:keepLines w:val="0"/>
              <w:pageBreakBefore w:val="0"/>
              <w:widowControl/>
              <w:kinsoku/>
              <w:wordWrap/>
              <w:overflowPunct/>
              <w:topLinePunct w:val="0"/>
              <w:autoSpaceDE/>
              <w:autoSpaceDN/>
              <w:bidi w:val="0"/>
              <w:adjustRightInd/>
              <w:snapToGrid/>
              <w:spacing w:line="260" w:lineRule="exact"/>
              <w:ind w:firstLine="200" w:firstLineChars="100"/>
              <w:jc w:val="both"/>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产出（30）</w:t>
            </w:r>
          </w:p>
          <w:p w14:paraId="1D243F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721D12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5E646E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1D4C7ACE">
            <w:pPr>
              <w:pStyle w:val="2"/>
              <w:keepNext w:val="0"/>
              <w:keepLines w:val="0"/>
              <w:pageBreakBefore w:val="0"/>
              <w:widowControl/>
              <w:kinsoku/>
              <w:wordWrap/>
              <w:overflowPunct/>
              <w:topLinePunct w:val="0"/>
              <w:autoSpaceDE/>
              <w:autoSpaceDN/>
              <w:bidi w:val="0"/>
              <w:adjustRightInd/>
              <w:snapToGrid/>
              <w:spacing w:line="260" w:lineRule="exact"/>
              <w:ind w:firstLine="420"/>
              <w:textAlignment w:val="auto"/>
            </w:pPr>
          </w:p>
          <w:p w14:paraId="0EBADBD2">
            <w:pPr>
              <w:pStyle w:val="2"/>
              <w:keepNext w:val="0"/>
              <w:keepLines w:val="0"/>
              <w:pageBreakBefore w:val="0"/>
              <w:widowControl/>
              <w:kinsoku/>
              <w:wordWrap/>
              <w:overflowPunct/>
              <w:topLinePunct w:val="0"/>
              <w:autoSpaceDE/>
              <w:autoSpaceDN/>
              <w:bidi w:val="0"/>
              <w:adjustRightInd/>
              <w:snapToGrid/>
              <w:spacing w:line="260" w:lineRule="exact"/>
              <w:ind w:firstLine="420"/>
              <w:textAlignment w:val="auto"/>
            </w:pPr>
          </w:p>
          <w:p w14:paraId="12F1AF5B">
            <w:pPr>
              <w:pStyle w:val="2"/>
              <w:keepNext w:val="0"/>
              <w:keepLines w:val="0"/>
              <w:pageBreakBefore w:val="0"/>
              <w:widowControl/>
              <w:kinsoku/>
              <w:wordWrap/>
              <w:overflowPunct/>
              <w:topLinePunct w:val="0"/>
              <w:autoSpaceDE/>
              <w:autoSpaceDN/>
              <w:bidi w:val="0"/>
              <w:adjustRightInd/>
              <w:snapToGrid/>
              <w:spacing w:line="260" w:lineRule="exact"/>
              <w:ind w:firstLine="420"/>
              <w:textAlignment w:val="auto"/>
            </w:pPr>
          </w:p>
          <w:p w14:paraId="3AC27317">
            <w:pPr>
              <w:pStyle w:val="2"/>
              <w:keepNext w:val="0"/>
              <w:keepLines w:val="0"/>
              <w:pageBreakBefore w:val="0"/>
              <w:widowControl/>
              <w:kinsoku/>
              <w:wordWrap/>
              <w:overflowPunct/>
              <w:topLinePunct w:val="0"/>
              <w:autoSpaceDE/>
              <w:autoSpaceDN/>
              <w:bidi w:val="0"/>
              <w:adjustRightInd/>
              <w:snapToGrid/>
              <w:spacing w:line="260" w:lineRule="exact"/>
              <w:ind w:firstLine="420"/>
              <w:textAlignment w:val="auto"/>
            </w:pPr>
          </w:p>
          <w:p w14:paraId="0CA07DC1">
            <w:pPr>
              <w:pStyle w:val="2"/>
              <w:keepNext w:val="0"/>
              <w:keepLines w:val="0"/>
              <w:pageBreakBefore w:val="0"/>
              <w:widowControl/>
              <w:kinsoku/>
              <w:wordWrap/>
              <w:overflowPunct/>
              <w:topLinePunct w:val="0"/>
              <w:autoSpaceDE/>
              <w:autoSpaceDN/>
              <w:bidi w:val="0"/>
              <w:adjustRightInd/>
              <w:snapToGrid/>
              <w:spacing w:line="260" w:lineRule="exact"/>
              <w:ind w:firstLine="420"/>
              <w:textAlignment w:val="auto"/>
            </w:pPr>
          </w:p>
          <w:p w14:paraId="33ABDE0A">
            <w:pPr>
              <w:pStyle w:val="2"/>
              <w:keepNext w:val="0"/>
              <w:keepLines w:val="0"/>
              <w:pageBreakBefore w:val="0"/>
              <w:widowControl/>
              <w:kinsoku/>
              <w:wordWrap/>
              <w:overflowPunct/>
              <w:topLinePunct w:val="0"/>
              <w:autoSpaceDE/>
              <w:autoSpaceDN/>
              <w:bidi w:val="0"/>
              <w:adjustRightInd/>
              <w:snapToGrid/>
              <w:spacing w:line="260" w:lineRule="exact"/>
              <w:ind w:firstLine="420"/>
              <w:textAlignment w:val="auto"/>
            </w:pPr>
          </w:p>
          <w:p w14:paraId="24B097D3">
            <w:pPr>
              <w:pStyle w:val="2"/>
              <w:keepNext w:val="0"/>
              <w:keepLines w:val="0"/>
              <w:pageBreakBefore w:val="0"/>
              <w:widowControl/>
              <w:kinsoku/>
              <w:wordWrap/>
              <w:overflowPunct/>
              <w:topLinePunct w:val="0"/>
              <w:autoSpaceDE/>
              <w:autoSpaceDN/>
              <w:bidi w:val="0"/>
              <w:adjustRightInd/>
              <w:snapToGrid/>
              <w:spacing w:line="260" w:lineRule="exact"/>
              <w:ind w:firstLine="420"/>
              <w:textAlignment w:val="auto"/>
            </w:pPr>
          </w:p>
          <w:p w14:paraId="3B313235">
            <w:pPr>
              <w:pStyle w:val="2"/>
              <w:keepNext w:val="0"/>
              <w:keepLines w:val="0"/>
              <w:pageBreakBefore w:val="0"/>
              <w:widowControl/>
              <w:kinsoku/>
              <w:wordWrap/>
              <w:overflowPunct/>
              <w:topLinePunct w:val="0"/>
              <w:autoSpaceDE/>
              <w:autoSpaceDN/>
              <w:bidi w:val="0"/>
              <w:adjustRightInd/>
              <w:snapToGrid/>
              <w:spacing w:line="260" w:lineRule="exact"/>
              <w:ind w:firstLine="420"/>
              <w:textAlignment w:val="auto"/>
            </w:pPr>
          </w:p>
          <w:p w14:paraId="021B7155">
            <w:pPr>
              <w:pStyle w:val="2"/>
              <w:keepNext w:val="0"/>
              <w:keepLines w:val="0"/>
              <w:pageBreakBefore w:val="0"/>
              <w:widowControl/>
              <w:kinsoku/>
              <w:wordWrap/>
              <w:overflowPunct/>
              <w:topLinePunct w:val="0"/>
              <w:autoSpaceDE/>
              <w:autoSpaceDN/>
              <w:bidi w:val="0"/>
              <w:adjustRightInd/>
              <w:snapToGrid/>
              <w:spacing w:line="260" w:lineRule="exact"/>
              <w:ind w:firstLine="420"/>
              <w:textAlignment w:val="auto"/>
            </w:pPr>
          </w:p>
          <w:p w14:paraId="24B0192E">
            <w:pPr>
              <w:pStyle w:val="2"/>
              <w:keepNext w:val="0"/>
              <w:keepLines w:val="0"/>
              <w:pageBreakBefore w:val="0"/>
              <w:widowControl/>
              <w:kinsoku/>
              <w:wordWrap/>
              <w:overflowPunct/>
              <w:topLinePunct w:val="0"/>
              <w:autoSpaceDE/>
              <w:autoSpaceDN/>
              <w:bidi w:val="0"/>
              <w:adjustRightInd/>
              <w:snapToGrid/>
              <w:spacing w:line="260" w:lineRule="exact"/>
              <w:ind w:firstLine="420"/>
              <w:textAlignment w:val="auto"/>
            </w:pPr>
          </w:p>
          <w:p w14:paraId="2FE081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00B901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产出（30）</w:t>
            </w:r>
          </w:p>
        </w:tc>
        <w:tc>
          <w:tcPr>
            <w:tcW w:w="2499" w:type="dxa"/>
            <w:tcBorders>
              <w:top w:val="single" w:color="auto" w:sz="4" w:space="0"/>
              <w:left w:val="single" w:color="auto" w:sz="4" w:space="0"/>
              <w:bottom w:val="single" w:color="auto" w:sz="4" w:space="0"/>
              <w:right w:val="single" w:color="auto" w:sz="4" w:space="0"/>
            </w:tcBorders>
            <w:vAlign w:val="center"/>
          </w:tcPr>
          <w:p w14:paraId="4D2EC9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全民健身赛事活动场次</w:t>
            </w:r>
          </w:p>
        </w:tc>
        <w:tc>
          <w:tcPr>
            <w:tcW w:w="2390" w:type="dxa"/>
            <w:tcBorders>
              <w:top w:val="single" w:color="auto" w:sz="4" w:space="0"/>
              <w:left w:val="single" w:color="auto" w:sz="4" w:space="0"/>
              <w:bottom w:val="single" w:color="auto" w:sz="4" w:space="0"/>
              <w:right w:val="single" w:color="auto" w:sz="4" w:space="0"/>
            </w:tcBorders>
            <w:vAlign w:val="center"/>
          </w:tcPr>
          <w:p w14:paraId="2ECC01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≥2000场次</w:t>
            </w:r>
          </w:p>
        </w:tc>
        <w:tc>
          <w:tcPr>
            <w:tcW w:w="3350" w:type="dxa"/>
            <w:tcBorders>
              <w:top w:val="single" w:color="auto" w:sz="4" w:space="0"/>
              <w:left w:val="single" w:color="auto" w:sz="4" w:space="0"/>
              <w:bottom w:val="single" w:color="auto" w:sz="4" w:space="0"/>
              <w:right w:val="single" w:color="auto" w:sz="4" w:space="0"/>
            </w:tcBorders>
            <w:vAlign w:val="center"/>
          </w:tcPr>
          <w:p w14:paraId="322D16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3.8万场次</w:t>
            </w:r>
          </w:p>
        </w:tc>
        <w:tc>
          <w:tcPr>
            <w:tcW w:w="1040" w:type="dxa"/>
            <w:tcBorders>
              <w:top w:val="single" w:color="auto" w:sz="4" w:space="0"/>
              <w:left w:val="single" w:color="auto" w:sz="4" w:space="0"/>
              <w:bottom w:val="single" w:color="auto" w:sz="4" w:space="0"/>
              <w:right w:val="single" w:color="auto" w:sz="4" w:space="0"/>
            </w:tcBorders>
            <w:vAlign w:val="center"/>
          </w:tcPr>
          <w:p w14:paraId="768F6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vAlign w:val="center"/>
          </w:tcPr>
          <w:p w14:paraId="6602D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190479CA">
        <w:trPr>
          <w:gridAfter w:val="1"/>
          <w:wAfter w:w="518" w:type="dxa"/>
          <w:trHeight w:val="475"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085483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7954B8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333A96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全民健身赛事活动</w:t>
            </w:r>
          </w:p>
          <w:p w14:paraId="74F30B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参与人次</w:t>
            </w:r>
          </w:p>
        </w:tc>
        <w:tc>
          <w:tcPr>
            <w:tcW w:w="2390" w:type="dxa"/>
            <w:tcBorders>
              <w:top w:val="single" w:color="auto" w:sz="4" w:space="0"/>
              <w:left w:val="single" w:color="auto" w:sz="4" w:space="0"/>
              <w:bottom w:val="single" w:color="auto" w:sz="4" w:space="0"/>
              <w:right w:val="single" w:color="auto" w:sz="4" w:space="0"/>
            </w:tcBorders>
            <w:vAlign w:val="center"/>
          </w:tcPr>
          <w:p w14:paraId="23E009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≥34万人次</w:t>
            </w:r>
          </w:p>
        </w:tc>
        <w:tc>
          <w:tcPr>
            <w:tcW w:w="3350" w:type="dxa"/>
            <w:tcBorders>
              <w:top w:val="single" w:color="auto" w:sz="4" w:space="0"/>
              <w:left w:val="single" w:color="auto" w:sz="4" w:space="0"/>
              <w:bottom w:val="single" w:color="auto" w:sz="4" w:space="0"/>
              <w:right w:val="single" w:color="auto" w:sz="4" w:space="0"/>
            </w:tcBorders>
            <w:vAlign w:val="center"/>
          </w:tcPr>
          <w:p w14:paraId="6EE174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202万人次</w:t>
            </w:r>
          </w:p>
        </w:tc>
        <w:tc>
          <w:tcPr>
            <w:tcW w:w="1040" w:type="dxa"/>
            <w:tcBorders>
              <w:top w:val="single" w:color="auto" w:sz="4" w:space="0"/>
              <w:left w:val="single" w:color="auto" w:sz="4" w:space="0"/>
              <w:bottom w:val="single" w:color="auto" w:sz="4" w:space="0"/>
              <w:right w:val="single" w:color="auto" w:sz="4" w:space="0"/>
            </w:tcBorders>
            <w:vAlign w:val="center"/>
          </w:tcPr>
          <w:p w14:paraId="46927E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vAlign w:val="center"/>
          </w:tcPr>
          <w:p w14:paraId="360E82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7970920A">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3DE99D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132A94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01909C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社会体育指导员培训人数</w:t>
            </w:r>
          </w:p>
        </w:tc>
        <w:tc>
          <w:tcPr>
            <w:tcW w:w="2390" w:type="dxa"/>
            <w:tcBorders>
              <w:top w:val="single" w:color="auto" w:sz="4" w:space="0"/>
              <w:left w:val="single" w:color="auto" w:sz="4" w:space="0"/>
              <w:bottom w:val="single" w:color="auto" w:sz="4" w:space="0"/>
              <w:right w:val="single" w:color="auto" w:sz="4" w:space="0"/>
            </w:tcBorders>
            <w:vAlign w:val="center"/>
          </w:tcPr>
          <w:p w14:paraId="316BAB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≥1300人</w:t>
            </w:r>
          </w:p>
        </w:tc>
        <w:tc>
          <w:tcPr>
            <w:tcW w:w="3350" w:type="dxa"/>
            <w:tcBorders>
              <w:top w:val="single" w:color="auto" w:sz="4" w:space="0"/>
              <w:left w:val="single" w:color="auto" w:sz="4" w:space="0"/>
              <w:bottom w:val="single" w:color="auto" w:sz="4" w:space="0"/>
              <w:right w:val="single" w:color="auto" w:sz="4" w:space="0"/>
            </w:tcBorders>
            <w:vAlign w:val="center"/>
          </w:tcPr>
          <w:p w14:paraId="6EA2A40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1656人</w:t>
            </w:r>
          </w:p>
        </w:tc>
        <w:tc>
          <w:tcPr>
            <w:tcW w:w="1040" w:type="dxa"/>
            <w:tcBorders>
              <w:top w:val="single" w:color="auto" w:sz="4" w:space="0"/>
              <w:left w:val="single" w:color="auto" w:sz="4" w:space="0"/>
              <w:bottom w:val="single" w:color="auto" w:sz="4" w:space="0"/>
              <w:right w:val="single" w:color="auto" w:sz="4" w:space="0"/>
            </w:tcBorders>
            <w:vAlign w:val="center"/>
          </w:tcPr>
          <w:p w14:paraId="299700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vAlign w:val="center"/>
          </w:tcPr>
          <w:p w14:paraId="169CDE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6191035C">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0BB3646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1A0F99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6E4593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运动处方培训人次</w:t>
            </w:r>
          </w:p>
        </w:tc>
        <w:tc>
          <w:tcPr>
            <w:tcW w:w="2390" w:type="dxa"/>
            <w:tcBorders>
              <w:top w:val="single" w:color="auto" w:sz="4" w:space="0"/>
              <w:left w:val="single" w:color="auto" w:sz="4" w:space="0"/>
              <w:bottom w:val="single" w:color="auto" w:sz="4" w:space="0"/>
              <w:right w:val="single" w:color="auto" w:sz="4" w:space="0"/>
            </w:tcBorders>
            <w:vAlign w:val="center"/>
          </w:tcPr>
          <w:p w14:paraId="35B109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≥400人</w:t>
            </w:r>
          </w:p>
        </w:tc>
        <w:tc>
          <w:tcPr>
            <w:tcW w:w="3350" w:type="dxa"/>
            <w:tcBorders>
              <w:top w:val="single" w:color="auto" w:sz="4" w:space="0"/>
              <w:left w:val="single" w:color="auto" w:sz="4" w:space="0"/>
              <w:bottom w:val="single" w:color="auto" w:sz="4" w:space="0"/>
              <w:right w:val="single" w:color="auto" w:sz="4" w:space="0"/>
            </w:tcBorders>
            <w:vAlign w:val="center"/>
          </w:tcPr>
          <w:p w14:paraId="5A6B0C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512名</w:t>
            </w:r>
          </w:p>
        </w:tc>
        <w:tc>
          <w:tcPr>
            <w:tcW w:w="1040" w:type="dxa"/>
            <w:tcBorders>
              <w:top w:val="single" w:color="auto" w:sz="4" w:space="0"/>
              <w:left w:val="single" w:color="auto" w:sz="4" w:space="0"/>
              <w:bottom w:val="single" w:color="auto" w:sz="4" w:space="0"/>
              <w:right w:val="single" w:color="auto" w:sz="4" w:space="0"/>
            </w:tcBorders>
            <w:vAlign w:val="center"/>
          </w:tcPr>
          <w:p w14:paraId="2447C0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vAlign w:val="center"/>
          </w:tcPr>
          <w:p w14:paraId="544EED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3BB92104">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6BF167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02223BF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shd w:val="clear" w:color="000000" w:fill="FFFFFF"/>
            <w:vAlign w:val="center"/>
          </w:tcPr>
          <w:p w14:paraId="729BD5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竞技体育布局项目数量</w:t>
            </w:r>
          </w:p>
        </w:tc>
        <w:tc>
          <w:tcPr>
            <w:tcW w:w="2390" w:type="dxa"/>
            <w:tcBorders>
              <w:top w:val="single" w:color="auto" w:sz="4" w:space="0"/>
              <w:left w:val="single" w:color="auto" w:sz="4" w:space="0"/>
              <w:bottom w:val="single" w:color="auto" w:sz="4" w:space="0"/>
              <w:right w:val="single" w:color="auto" w:sz="4" w:space="0"/>
            </w:tcBorders>
            <w:shd w:val="clear" w:color="000000" w:fill="FFFFFF"/>
            <w:vAlign w:val="center"/>
          </w:tcPr>
          <w:p w14:paraId="1D6374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≥30项</w:t>
            </w:r>
          </w:p>
        </w:tc>
        <w:tc>
          <w:tcPr>
            <w:tcW w:w="3350" w:type="dxa"/>
            <w:tcBorders>
              <w:top w:val="single" w:color="auto" w:sz="4" w:space="0"/>
              <w:left w:val="single" w:color="auto" w:sz="4" w:space="0"/>
              <w:bottom w:val="single" w:color="auto" w:sz="4" w:space="0"/>
              <w:right w:val="single" w:color="auto" w:sz="4" w:space="0"/>
            </w:tcBorders>
            <w:shd w:val="clear" w:color="000000" w:fill="FFFFFF"/>
            <w:vAlign w:val="center"/>
          </w:tcPr>
          <w:p w14:paraId="2185262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30项</w:t>
            </w:r>
          </w:p>
        </w:tc>
        <w:tc>
          <w:tcPr>
            <w:tcW w:w="1040" w:type="dxa"/>
            <w:tcBorders>
              <w:top w:val="single" w:color="auto" w:sz="4" w:space="0"/>
              <w:left w:val="single" w:color="auto" w:sz="4" w:space="0"/>
              <w:bottom w:val="single" w:color="auto" w:sz="4" w:space="0"/>
              <w:right w:val="single" w:color="auto" w:sz="4" w:space="0"/>
            </w:tcBorders>
            <w:shd w:val="clear" w:color="000000" w:fill="FFFFFF"/>
            <w:vAlign w:val="center"/>
          </w:tcPr>
          <w:p w14:paraId="2419A7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shd w:val="clear" w:color="000000" w:fill="FFFFFF"/>
            <w:vAlign w:val="center"/>
          </w:tcPr>
          <w:p w14:paraId="770112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6ECC9551">
        <w:trPr>
          <w:gridAfter w:val="1"/>
          <w:wAfter w:w="518" w:type="dxa"/>
          <w:trHeight w:val="9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4FA3B8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7A8903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shd w:val="clear" w:color="000000" w:fill="FFFFFF"/>
            <w:vAlign w:val="center"/>
          </w:tcPr>
          <w:p w14:paraId="1DC024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持续建设高水平竞技体育训练基地数量</w:t>
            </w:r>
          </w:p>
        </w:tc>
        <w:tc>
          <w:tcPr>
            <w:tcW w:w="2390" w:type="dxa"/>
            <w:tcBorders>
              <w:top w:val="single" w:color="auto" w:sz="4" w:space="0"/>
              <w:left w:val="single" w:color="auto" w:sz="4" w:space="0"/>
              <w:bottom w:val="single" w:color="auto" w:sz="4" w:space="0"/>
              <w:right w:val="single" w:color="auto" w:sz="4" w:space="0"/>
            </w:tcBorders>
            <w:shd w:val="clear" w:color="000000" w:fill="FFFFFF"/>
            <w:vAlign w:val="center"/>
          </w:tcPr>
          <w:p w14:paraId="252FC8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ascii="仿宋_GB2312" w:hAnsi="等线" w:eastAsia="仿宋_GB2312" w:cs="宋体"/>
                <w:color w:val="000000"/>
                <w:kern w:val="0"/>
                <w:sz w:val="20"/>
                <w:szCs w:val="20"/>
              </w:rPr>
              <w:t>≥</w:t>
            </w:r>
            <w:r>
              <w:rPr>
                <w:rFonts w:hint="eastAsia" w:ascii="仿宋_GB2312" w:hAnsi="等线" w:eastAsia="仿宋_GB2312" w:cs="宋体"/>
                <w:color w:val="000000"/>
                <w:kern w:val="0"/>
                <w:sz w:val="20"/>
                <w:szCs w:val="20"/>
              </w:rPr>
              <w:t>5所</w:t>
            </w:r>
          </w:p>
        </w:tc>
        <w:tc>
          <w:tcPr>
            <w:tcW w:w="3350" w:type="dxa"/>
            <w:tcBorders>
              <w:top w:val="single" w:color="auto" w:sz="4" w:space="0"/>
              <w:left w:val="single" w:color="auto" w:sz="4" w:space="0"/>
              <w:bottom w:val="single" w:color="auto" w:sz="4" w:space="0"/>
              <w:right w:val="single" w:color="auto" w:sz="4" w:space="0"/>
            </w:tcBorders>
            <w:shd w:val="clear" w:color="000000" w:fill="FFFFFF"/>
            <w:vAlign w:val="center"/>
          </w:tcPr>
          <w:p w14:paraId="62067A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5所</w:t>
            </w:r>
          </w:p>
        </w:tc>
        <w:tc>
          <w:tcPr>
            <w:tcW w:w="1040" w:type="dxa"/>
            <w:tcBorders>
              <w:top w:val="single" w:color="auto" w:sz="4" w:space="0"/>
              <w:left w:val="single" w:color="auto" w:sz="4" w:space="0"/>
              <w:bottom w:val="single" w:color="auto" w:sz="4" w:space="0"/>
              <w:right w:val="single" w:color="auto" w:sz="4" w:space="0"/>
            </w:tcBorders>
            <w:shd w:val="clear" w:color="000000" w:fill="FFFFFF"/>
            <w:vAlign w:val="center"/>
          </w:tcPr>
          <w:p w14:paraId="5408CC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0588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5E43665D">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740DB8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406243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22209E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开展体育专业人才</w:t>
            </w:r>
          </w:p>
          <w:p w14:paraId="2B3C33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培训期数</w:t>
            </w:r>
          </w:p>
        </w:tc>
        <w:tc>
          <w:tcPr>
            <w:tcW w:w="2390" w:type="dxa"/>
            <w:tcBorders>
              <w:top w:val="single" w:color="auto" w:sz="4" w:space="0"/>
              <w:left w:val="single" w:color="auto" w:sz="4" w:space="0"/>
              <w:bottom w:val="single" w:color="auto" w:sz="4" w:space="0"/>
              <w:right w:val="single" w:color="auto" w:sz="4" w:space="0"/>
            </w:tcBorders>
            <w:vAlign w:val="center"/>
          </w:tcPr>
          <w:p w14:paraId="069777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≥4期/年</w:t>
            </w:r>
          </w:p>
        </w:tc>
        <w:tc>
          <w:tcPr>
            <w:tcW w:w="3350" w:type="dxa"/>
            <w:tcBorders>
              <w:top w:val="single" w:color="auto" w:sz="4" w:space="0"/>
              <w:left w:val="single" w:color="auto" w:sz="4" w:space="0"/>
              <w:bottom w:val="single" w:color="auto" w:sz="4" w:space="0"/>
              <w:right w:val="single" w:color="auto" w:sz="4" w:space="0"/>
            </w:tcBorders>
            <w:vAlign w:val="center"/>
          </w:tcPr>
          <w:p w14:paraId="222213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4期/年</w:t>
            </w:r>
          </w:p>
        </w:tc>
        <w:tc>
          <w:tcPr>
            <w:tcW w:w="1040" w:type="dxa"/>
            <w:tcBorders>
              <w:top w:val="single" w:color="auto" w:sz="4" w:space="0"/>
              <w:left w:val="single" w:color="auto" w:sz="4" w:space="0"/>
              <w:bottom w:val="single" w:color="auto" w:sz="4" w:space="0"/>
              <w:right w:val="single" w:color="auto" w:sz="4" w:space="0"/>
            </w:tcBorders>
            <w:shd w:val="clear" w:color="000000" w:fill="FFFFFF"/>
            <w:vAlign w:val="center"/>
          </w:tcPr>
          <w:p w14:paraId="0B8062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524A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302B66F7">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610F968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65BBA6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73465E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参与运动干预人数</w:t>
            </w:r>
          </w:p>
        </w:tc>
        <w:tc>
          <w:tcPr>
            <w:tcW w:w="2390" w:type="dxa"/>
            <w:tcBorders>
              <w:top w:val="single" w:color="auto" w:sz="4" w:space="0"/>
              <w:left w:val="single" w:color="auto" w:sz="4" w:space="0"/>
              <w:bottom w:val="single" w:color="auto" w:sz="4" w:space="0"/>
              <w:right w:val="single" w:color="auto" w:sz="4" w:space="0"/>
            </w:tcBorders>
            <w:vAlign w:val="center"/>
          </w:tcPr>
          <w:p w14:paraId="23AFDC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≥800人</w:t>
            </w:r>
          </w:p>
        </w:tc>
        <w:tc>
          <w:tcPr>
            <w:tcW w:w="3350" w:type="dxa"/>
            <w:tcBorders>
              <w:top w:val="single" w:color="auto" w:sz="4" w:space="0"/>
              <w:left w:val="single" w:color="auto" w:sz="4" w:space="0"/>
              <w:bottom w:val="single" w:color="auto" w:sz="4" w:space="0"/>
              <w:right w:val="single" w:color="auto" w:sz="4" w:space="0"/>
            </w:tcBorders>
            <w:vAlign w:val="center"/>
          </w:tcPr>
          <w:p w14:paraId="4A289C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800人</w:t>
            </w:r>
          </w:p>
        </w:tc>
        <w:tc>
          <w:tcPr>
            <w:tcW w:w="1040" w:type="dxa"/>
            <w:tcBorders>
              <w:top w:val="single" w:color="auto" w:sz="4" w:space="0"/>
              <w:left w:val="single" w:color="auto" w:sz="4" w:space="0"/>
              <w:bottom w:val="single" w:color="auto" w:sz="4" w:space="0"/>
              <w:right w:val="single" w:color="auto" w:sz="4" w:space="0"/>
            </w:tcBorders>
            <w:vAlign w:val="center"/>
          </w:tcPr>
          <w:p w14:paraId="3A8135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noWrap/>
            <w:vAlign w:val="center"/>
          </w:tcPr>
          <w:p w14:paraId="368B65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3D050E58">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2F515C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6F5B56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026D3BC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青少年赛事活动场次</w:t>
            </w:r>
          </w:p>
        </w:tc>
        <w:tc>
          <w:tcPr>
            <w:tcW w:w="2390" w:type="dxa"/>
            <w:tcBorders>
              <w:top w:val="single" w:color="auto" w:sz="4" w:space="0"/>
              <w:left w:val="single" w:color="auto" w:sz="4" w:space="0"/>
              <w:bottom w:val="single" w:color="auto" w:sz="4" w:space="0"/>
              <w:right w:val="single" w:color="auto" w:sz="4" w:space="0"/>
            </w:tcBorders>
            <w:vAlign w:val="center"/>
          </w:tcPr>
          <w:p w14:paraId="01E918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≥5000场次</w:t>
            </w:r>
          </w:p>
        </w:tc>
        <w:tc>
          <w:tcPr>
            <w:tcW w:w="3350" w:type="dxa"/>
            <w:tcBorders>
              <w:top w:val="single" w:color="auto" w:sz="4" w:space="0"/>
              <w:left w:val="single" w:color="auto" w:sz="4" w:space="0"/>
              <w:bottom w:val="single" w:color="auto" w:sz="4" w:space="0"/>
              <w:right w:val="single" w:color="auto" w:sz="4" w:space="0"/>
            </w:tcBorders>
            <w:vAlign w:val="center"/>
          </w:tcPr>
          <w:p w14:paraId="4C7CC8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10502场</w:t>
            </w:r>
          </w:p>
        </w:tc>
        <w:tc>
          <w:tcPr>
            <w:tcW w:w="1040" w:type="dxa"/>
            <w:tcBorders>
              <w:top w:val="single" w:color="auto" w:sz="4" w:space="0"/>
              <w:left w:val="single" w:color="auto" w:sz="4" w:space="0"/>
              <w:bottom w:val="single" w:color="auto" w:sz="4" w:space="0"/>
              <w:right w:val="single" w:color="auto" w:sz="4" w:space="0"/>
            </w:tcBorders>
            <w:shd w:val="clear" w:color="000000" w:fill="FFFFFF"/>
            <w:vAlign w:val="center"/>
          </w:tcPr>
          <w:p w14:paraId="39152C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8A02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2568703C">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6D7C75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535EC8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5BD4DE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开展青少年赛事活动</w:t>
            </w:r>
          </w:p>
          <w:p w14:paraId="1476930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项目个数</w:t>
            </w:r>
          </w:p>
        </w:tc>
        <w:tc>
          <w:tcPr>
            <w:tcW w:w="2390" w:type="dxa"/>
            <w:tcBorders>
              <w:top w:val="single" w:color="auto" w:sz="4" w:space="0"/>
              <w:left w:val="single" w:color="auto" w:sz="4" w:space="0"/>
              <w:bottom w:val="single" w:color="auto" w:sz="4" w:space="0"/>
              <w:right w:val="single" w:color="auto" w:sz="4" w:space="0"/>
            </w:tcBorders>
            <w:vAlign w:val="center"/>
          </w:tcPr>
          <w:p w14:paraId="42C210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≥18项</w:t>
            </w:r>
          </w:p>
        </w:tc>
        <w:tc>
          <w:tcPr>
            <w:tcW w:w="3350" w:type="dxa"/>
            <w:tcBorders>
              <w:top w:val="single" w:color="auto" w:sz="4" w:space="0"/>
              <w:left w:val="single" w:color="auto" w:sz="4" w:space="0"/>
              <w:bottom w:val="single" w:color="auto" w:sz="4" w:space="0"/>
              <w:right w:val="single" w:color="auto" w:sz="4" w:space="0"/>
            </w:tcBorders>
            <w:vAlign w:val="center"/>
          </w:tcPr>
          <w:p w14:paraId="484C53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18项</w:t>
            </w:r>
          </w:p>
        </w:tc>
        <w:tc>
          <w:tcPr>
            <w:tcW w:w="1040" w:type="dxa"/>
            <w:tcBorders>
              <w:top w:val="single" w:color="auto" w:sz="4" w:space="0"/>
              <w:left w:val="single" w:color="auto" w:sz="4" w:space="0"/>
              <w:bottom w:val="single" w:color="auto" w:sz="4" w:space="0"/>
              <w:right w:val="single" w:color="auto" w:sz="4" w:space="0"/>
            </w:tcBorders>
            <w:shd w:val="clear" w:color="000000" w:fill="FFFFFF"/>
            <w:vAlign w:val="center"/>
          </w:tcPr>
          <w:p w14:paraId="332B20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BFBA7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2796C6AC">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59E6C5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31FE86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2042F9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调查赛事数量</w:t>
            </w:r>
          </w:p>
        </w:tc>
        <w:tc>
          <w:tcPr>
            <w:tcW w:w="2390" w:type="dxa"/>
            <w:tcBorders>
              <w:top w:val="single" w:color="auto" w:sz="4" w:space="0"/>
              <w:left w:val="single" w:color="auto" w:sz="4" w:space="0"/>
              <w:bottom w:val="single" w:color="auto" w:sz="4" w:space="0"/>
              <w:right w:val="single" w:color="auto" w:sz="4" w:space="0"/>
            </w:tcBorders>
            <w:vAlign w:val="center"/>
          </w:tcPr>
          <w:p w14:paraId="5DC5C5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≥3个</w:t>
            </w:r>
          </w:p>
        </w:tc>
        <w:tc>
          <w:tcPr>
            <w:tcW w:w="3350" w:type="dxa"/>
            <w:tcBorders>
              <w:top w:val="single" w:color="auto" w:sz="4" w:space="0"/>
              <w:left w:val="single" w:color="auto" w:sz="4" w:space="0"/>
              <w:bottom w:val="single" w:color="auto" w:sz="4" w:space="0"/>
              <w:right w:val="single" w:color="auto" w:sz="4" w:space="0"/>
            </w:tcBorders>
            <w:shd w:val="clear" w:color="000000" w:fill="FFFFFF"/>
            <w:vAlign w:val="center"/>
          </w:tcPr>
          <w:p w14:paraId="589661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3个</w:t>
            </w:r>
          </w:p>
        </w:tc>
        <w:tc>
          <w:tcPr>
            <w:tcW w:w="1040" w:type="dxa"/>
            <w:tcBorders>
              <w:top w:val="single" w:color="auto" w:sz="4" w:space="0"/>
              <w:left w:val="single" w:color="auto" w:sz="4" w:space="0"/>
              <w:bottom w:val="single" w:color="auto" w:sz="4" w:space="0"/>
              <w:right w:val="single" w:color="auto" w:sz="4" w:space="0"/>
            </w:tcBorders>
            <w:shd w:val="clear" w:color="000000" w:fill="FFFFFF"/>
            <w:vAlign w:val="center"/>
          </w:tcPr>
          <w:p w14:paraId="1D8ADE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9D45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46DAB3E9">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25D7B4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56B3AB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44BECC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消费节启动仪式</w:t>
            </w:r>
          </w:p>
        </w:tc>
        <w:tc>
          <w:tcPr>
            <w:tcW w:w="2390" w:type="dxa"/>
            <w:tcBorders>
              <w:top w:val="single" w:color="auto" w:sz="4" w:space="0"/>
              <w:left w:val="single" w:color="auto" w:sz="4" w:space="0"/>
              <w:bottom w:val="single" w:color="auto" w:sz="4" w:space="0"/>
              <w:right w:val="single" w:color="auto" w:sz="4" w:space="0"/>
            </w:tcBorders>
            <w:vAlign w:val="center"/>
          </w:tcPr>
          <w:p w14:paraId="4E02F2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≥1个</w:t>
            </w:r>
          </w:p>
        </w:tc>
        <w:tc>
          <w:tcPr>
            <w:tcW w:w="3350" w:type="dxa"/>
            <w:tcBorders>
              <w:top w:val="single" w:color="auto" w:sz="4" w:space="0"/>
              <w:left w:val="single" w:color="auto" w:sz="4" w:space="0"/>
              <w:bottom w:val="single" w:color="auto" w:sz="4" w:space="0"/>
              <w:right w:val="single" w:color="auto" w:sz="4" w:space="0"/>
            </w:tcBorders>
            <w:vAlign w:val="center"/>
          </w:tcPr>
          <w:p w14:paraId="06BA048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1个</w:t>
            </w:r>
          </w:p>
        </w:tc>
        <w:tc>
          <w:tcPr>
            <w:tcW w:w="1040" w:type="dxa"/>
            <w:tcBorders>
              <w:top w:val="single" w:color="auto" w:sz="4" w:space="0"/>
              <w:left w:val="single" w:color="auto" w:sz="4" w:space="0"/>
              <w:bottom w:val="single" w:color="auto" w:sz="4" w:space="0"/>
              <w:right w:val="single" w:color="auto" w:sz="4" w:space="0"/>
            </w:tcBorders>
            <w:vAlign w:val="center"/>
          </w:tcPr>
          <w:p w14:paraId="1C00E6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noWrap/>
            <w:vAlign w:val="center"/>
          </w:tcPr>
          <w:p w14:paraId="575B07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11F3F9B7">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4A033D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273F57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17094C7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竞技冰雪运动队数量</w:t>
            </w:r>
          </w:p>
        </w:tc>
        <w:tc>
          <w:tcPr>
            <w:tcW w:w="2390" w:type="dxa"/>
            <w:tcBorders>
              <w:top w:val="single" w:color="auto" w:sz="4" w:space="0"/>
              <w:left w:val="single" w:color="auto" w:sz="4" w:space="0"/>
              <w:bottom w:val="single" w:color="auto" w:sz="4" w:space="0"/>
              <w:right w:val="single" w:color="auto" w:sz="4" w:space="0"/>
            </w:tcBorders>
            <w:vAlign w:val="center"/>
          </w:tcPr>
          <w:p w14:paraId="28870A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≥21支</w:t>
            </w:r>
          </w:p>
        </w:tc>
        <w:tc>
          <w:tcPr>
            <w:tcW w:w="3350" w:type="dxa"/>
            <w:tcBorders>
              <w:top w:val="single" w:color="auto" w:sz="4" w:space="0"/>
              <w:left w:val="single" w:color="auto" w:sz="4" w:space="0"/>
              <w:bottom w:val="single" w:color="auto" w:sz="4" w:space="0"/>
              <w:right w:val="single" w:color="auto" w:sz="4" w:space="0"/>
            </w:tcBorders>
            <w:vAlign w:val="center"/>
          </w:tcPr>
          <w:p w14:paraId="038C22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21支</w:t>
            </w:r>
          </w:p>
        </w:tc>
        <w:tc>
          <w:tcPr>
            <w:tcW w:w="1040" w:type="dxa"/>
            <w:tcBorders>
              <w:top w:val="single" w:color="auto" w:sz="4" w:space="0"/>
              <w:left w:val="single" w:color="auto" w:sz="4" w:space="0"/>
              <w:bottom w:val="single" w:color="auto" w:sz="4" w:space="0"/>
              <w:right w:val="single" w:color="auto" w:sz="4" w:space="0"/>
            </w:tcBorders>
            <w:vAlign w:val="center"/>
          </w:tcPr>
          <w:p w14:paraId="19E0E29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noWrap/>
            <w:vAlign w:val="center"/>
          </w:tcPr>
          <w:p w14:paraId="56B3E0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46F5815F">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3B05A8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52599D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5FDE4A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举办高水平国际体育赛事</w:t>
            </w:r>
          </w:p>
        </w:tc>
        <w:tc>
          <w:tcPr>
            <w:tcW w:w="2390" w:type="dxa"/>
            <w:tcBorders>
              <w:top w:val="single" w:color="auto" w:sz="4" w:space="0"/>
              <w:left w:val="single" w:color="auto" w:sz="4" w:space="0"/>
              <w:bottom w:val="single" w:color="auto" w:sz="4" w:space="0"/>
              <w:right w:val="single" w:color="auto" w:sz="4" w:space="0"/>
            </w:tcBorders>
            <w:vAlign w:val="center"/>
          </w:tcPr>
          <w:p w14:paraId="37A87A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≥4项</w:t>
            </w:r>
          </w:p>
        </w:tc>
        <w:tc>
          <w:tcPr>
            <w:tcW w:w="3350" w:type="dxa"/>
            <w:tcBorders>
              <w:top w:val="single" w:color="auto" w:sz="4" w:space="0"/>
              <w:left w:val="single" w:color="auto" w:sz="4" w:space="0"/>
              <w:bottom w:val="single" w:color="auto" w:sz="4" w:space="0"/>
              <w:right w:val="single" w:color="auto" w:sz="4" w:space="0"/>
            </w:tcBorders>
            <w:vAlign w:val="center"/>
          </w:tcPr>
          <w:p w14:paraId="78A05B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21项</w:t>
            </w:r>
          </w:p>
        </w:tc>
        <w:tc>
          <w:tcPr>
            <w:tcW w:w="1040" w:type="dxa"/>
            <w:tcBorders>
              <w:top w:val="single" w:color="auto" w:sz="4" w:space="0"/>
              <w:left w:val="single" w:color="auto" w:sz="4" w:space="0"/>
              <w:bottom w:val="single" w:color="auto" w:sz="4" w:space="0"/>
              <w:right w:val="single" w:color="auto" w:sz="4" w:space="0"/>
            </w:tcBorders>
            <w:vAlign w:val="center"/>
          </w:tcPr>
          <w:p w14:paraId="6065A5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noWrap/>
            <w:vAlign w:val="center"/>
          </w:tcPr>
          <w:p w14:paraId="3683F0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4B93BD80">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0A5D7D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5BC361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6DA522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体育场地设施问题响应率</w:t>
            </w:r>
          </w:p>
        </w:tc>
        <w:tc>
          <w:tcPr>
            <w:tcW w:w="2390" w:type="dxa"/>
            <w:tcBorders>
              <w:top w:val="single" w:color="auto" w:sz="4" w:space="0"/>
              <w:left w:val="single" w:color="auto" w:sz="4" w:space="0"/>
              <w:bottom w:val="single" w:color="auto" w:sz="4" w:space="0"/>
              <w:right w:val="single" w:color="auto" w:sz="4" w:space="0"/>
            </w:tcBorders>
            <w:vAlign w:val="center"/>
          </w:tcPr>
          <w:p w14:paraId="670C077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≥80%</w:t>
            </w:r>
          </w:p>
        </w:tc>
        <w:tc>
          <w:tcPr>
            <w:tcW w:w="3350" w:type="dxa"/>
            <w:tcBorders>
              <w:top w:val="single" w:color="auto" w:sz="4" w:space="0"/>
              <w:left w:val="single" w:color="auto" w:sz="4" w:space="0"/>
              <w:bottom w:val="single" w:color="auto" w:sz="4" w:space="0"/>
              <w:right w:val="single" w:color="auto" w:sz="4" w:space="0"/>
            </w:tcBorders>
            <w:vAlign w:val="center"/>
          </w:tcPr>
          <w:p w14:paraId="64243B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100.00%</w:t>
            </w:r>
          </w:p>
        </w:tc>
        <w:tc>
          <w:tcPr>
            <w:tcW w:w="1040" w:type="dxa"/>
            <w:tcBorders>
              <w:top w:val="single" w:color="auto" w:sz="4" w:space="0"/>
              <w:left w:val="single" w:color="auto" w:sz="4" w:space="0"/>
              <w:bottom w:val="single" w:color="auto" w:sz="4" w:space="0"/>
              <w:right w:val="single" w:color="auto" w:sz="4" w:space="0"/>
            </w:tcBorders>
            <w:shd w:val="clear" w:color="000000" w:fill="FFFFFF"/>
            <w:vAlign w:val="center"/>
          </w:tcPr>
          <w:p w14:paraId="716DFF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D2FB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33C22A49">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197BB1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4B9971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nil"/>
              <w:bottom w:val="single" w:color="auto" w:sz="4" w:space="0"/>
              <w:right w:val="single" w:color="auto" w:sz="4" w:space="0"/>
            </w:tcBorders>
            <w:vAlign w:val="center"/>
          </w:tcPr>
          <w:p w14:paraId="04ACC8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科学健身指导关注人次</w:t>
            </w:r>
          </w:p>
        </w:tc>
        <w:tc>
          <w:tcPr>
            <w:tcW w:w="2390" w:type="dxa"/>
            <w:tcBorders>
              <w:top w:val="single" w:color="auto" w:sz="4" w:space="0"/>
              <w:left w:val="nil"/>
              <w:bottom w:val="single" w:color="auto" w:sz="4" w:space="0"/>
              <w:right w:val="single" w:color="auto" w:sz="4" w:space="0"/>
            </w:tcBorders>
            <w:vAlign w:val="center"/>
          </w:tcPr>
          <w:p w14:paraId="46AEBA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≥750万人次</w:t>
            </w:r>
          </w:p>
        </w:tc>
        <w:tc>
          <w:tcPr>
            <w:tcW w:w="3350" w:type="dxa"/>
            <w:tcBorders>
              <w:top w:val="single" w:color="auto" w:sz="4" w:space="0"/>
              <w:left w:val="nil"/>
              <w:bottom w:val="single" w:color="auto" w:sz="4" w:space="0"/>
              <w:right w:val="single" w:color="auto" w:sz="4" w:space="0"/>
            </w:tcBorders>
            <w:vAlign w:val="center"/>
          </w:tcPr>
          <w:p w14:paraId="348742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lang w:val="en-US" w:eastAsia="zh-CN"/>
              </w:rPr>
              <w:t>&gt;1000</w:t>
            </w:r>
            <w:r>
              <w:rPr>
                <w:rFonts w:hint="eastAsia" w:ascii="仿宋_GB2312" w:hAnsi="等线" w:eastAsia="仿宋_GB2312" w:cs="宋体"/>
                <w:color w:val="000000"/>
                <w:kern w:val="0"/>
                <w:sz w:val="20"/>
                <w:szCs w:val="20"/>
              </w:rPr>
              <w:t>万人次</w:t>
            </w:r>
          </w:p>
        </w:tc>
        <w:tc>
          <w:tcPr>
            <w:tcW w:w="1040" w:type="dxa"/>
            <w:tcBorders>
              <w:top w:val="single" w:color="auto" w:sz="4" w:space="0"/>
              <w:left w:val="nil"/>
              <w:bottom w:val="single" w:color="auto" w:sz="4" w:space="0"/>
              <w:right w:val="single" w:color="auto" w:sz="4" w:space="0"/>
            </w:tcBorders>
            <w:vAlign w:val="center"/>
          </w:tcPr>
          <w:p w14:paraId="62F685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nil"/>
              <w:bottom w:val="single" w:color="auto" w:sz="4" w:space="0"/>
              <w:right w:val="single" w:color="auto" w:sz="4" w:space="0"/>
            </w:tcBorders>
            <w:noWrap/>
            <w:vAlign w:val="center"/>
          </w:tcPr>
          <w:p w14:paraId="690B6E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4216F4A1">
        <w:trPr>
          <w:gridAfter w:val="1"/>
          <w:wAfter w:w="518" w:type="dxa"/>
          <w:trHeight w:val="352" w:hRule="atLeast"/>
        </w:trPr>
        <w:tc>
          <w:tcPr>
            <w:tcW w:w="1620" w:type="dxa"/>
            <w:vMerge w:val="continue"/>
            <w:tcBorders>
              <w:top w:val="nil"/>
              <w:left w:val="single" w:color="auto" w:sz="4" w:space="0"/>
              <w:bottom w:val="single" w:color="auto" w:sz="4" w:space="0"/>
              <w:right w:val="single" w:color="auto" w:sz="4" w:space="0"/>
            </w:tcBorders>
            <w:vAlign w:val="center"/>
          </w:tcPr>
          <w:p w14:paraId="2E75BD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nil"/>
              <w:left w:val="single" w:color="auto" w:sz="4" w:space="0"/>
              <w:bottom w:val="single" w:color="auto" w:sz="4" w:space="0"/>
              <w:right w:val="single" w:color="auto" w:sz="4" w:space="0"/>
            </w:tcBorders>
            <w:vAlign w:val="center"/>
          </w:tcPr>
          <w:p w14:paraId="20680A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nil"/>
              <w:left w:val="nil"/>
              <w:bottom w:val="single" w:color="auto" w:sz="4" w:space="0"/>
              <w:right w:val="single" w:color="auto" w:sz="4" w:space="0"/>
            </w:tcBorders>
            <w:vAlign w:val="center"/>
          </w:tcPr>
          <w:p w14:paraId="72ABF1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各项目按计划完成</w:t>
            </w:r>
          </w:p>
        </w:tc>
        <w:tc>
          <w:tcPr>
            <w:tcW w:w="2390" w:type="dxa"/>
            <w:tcBorders>
              <w:top w:val="nil"/>
              <w:left w:val="nil"/>
              <w:bottom w:val="single" w:color="auto" w:sz="4" w:space="0"/>
              <w:right w:val="single" w:color="auto" w:sz="4" w:space="0"/>
            </w:tcBorders>
            <w:vAlign w:val="center"/>
          </w:tcPr>
          <w:p w14:paraId="7FC35C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2024年12月31日前完成</w:t>
            </w:r>
          </w:p>
        </w:tc>
        <w:tc>
          <w:tcPr>
            <w:tcW w:w="3350" w:type="dxa"/>
            <w:tcBorders>
              <w:top w:val="nil"/>
              <w:left w:val="nil"/>
              <w:bottom w:val="single" w:color="auto" w:sz="4" w:space="0"/>
              <w:right w:val="single" w:color="auto" w:sz="4" w:space="0"/>
            </w:tcBorders>
            <w:vAlign w:val="center"/>
          </w:tcPr>
          <w:p w14:paraId="4BAA76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2024年12月31日前</w:t>
            </w:r>
          </w:p>
        </w:tc>
        <w:tc>
          <w:tcPr>
            <w:tcW w:w="1040" w:type="dxa"/>
            <w:tcBorders>
              <w:top w:val="nil"/>
              <w:left w:val="nil"/>
              <w:bottom w:val="single" w:color="auto" w:sz="4" w:space="0"/>
              <w:right w:val="single" w:color="auto" w:sz="4" w:space="0"/>
            </w:tcBorders>
            <w:vAlign w:val="center"/>
          </w:tcPr>
          <w:p w14:paraId="5E5DB1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w:t>
            </w:r>
          </w:p>
        </w:tc>
        <w:tc>
          <w:tcPr>
            <w:tcW w:w="2080" w:type="dxa"/>
            <w:tcBorders>
              <w:top w:val="single" w:color="auto" w:sz="4" w:space="0"/>
              <w:left w:val="nil"/>
              <w:bottom w:val="single" w:color="auto" w:sz="4" w:space="0"/>
              <w:right w:val="single" w:color="auto" w:sz="4" w:space="0"/>
            </w:tcBorders>
            <w:noWrap/>
            <w:vAlign w:val="center"/>
          </w:tcPr>
          <w:p w14:paraId="7B4B51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3</w:t>
            </w:r>
          </w:p>
        </w:tc>
      </w:tr>
      <w:tr w14:paraId="63A4D7A2">
        <w:trPr>
          <w:gridAfter w:val="1"/>
          <w:wAfter w:w="518" w:type="dxa"/>
          <w:trHeight w:val="540" w:hRule="atLeast"/>
        </w:trPr>
        <w:tc>
          <w:tcPr>
            <w:tcW w:w="1620" w:type="dxa"/>
            <w:vMerge w:val="continue"/>
            <w:tcBorders>
              <w:top w:val="nil"/>
              <w:left w:val="single" w:color="auto" w:sz="4" w:space="0"/>
              <w:bottom w:val="single" w:color="auto" w:sz="4" w:space="0"/>
              <w:right w:val="single" w:color="auto" w:sz="4" w:space="0"/>
            </w:tcBorders>
            <w:vAlign w:val="center"/>
          </w:tcPr>
          <w:p w14:paraId="5730DE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nil"/>
              <w:left w:val="single" w:color="auto" w:sz="4" w:space="0"/>
              <w:bottom w:val="single" w:color="auto" w:sz="4" w:space="0"/>
              <w:right w:val="single" w:color="auto" w:sz="4" w:space="0"/>
            </w:tcBorders>
            <w:vAlign w:val="center"/>
          </w:tcPr>
          <w:p w14:paraId="543D03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nil"/>
              <w:left w:val="nil"/>
              <w:bottom w:val="single" w:color="auto" w:sz="4" w:space="0"/>
              <w:right w:val="single" w:color="auto" w:sz="4" w:space="0"/>
            </w:tcBorders>
            <w:vAlign w:val="center"/>
          </w:tcPr>
          <w:p w14:paraId="665AA7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成本指标：基本支出成本控制在预算范围之内</w:t>
            </w:r>
          </w:p>
        </w:tc>
        <w:tc>
          <w:tcPr>
            <w:tcW w:w="2390" w:type="dxa"/>
            <w:tcBorders>
              <w:top w:val="nil"/>
              <w:left w:val="nil"/>
              <w:bottom w:val="single" w:color="auto" w:sz="4" w:space="0"/>
              <w:right w:val="single" w:color="auto" w:sz="4" w:space="0"/>
            </w:tcBorders>
            <w:vAlign w:val="center"/>
          </w:tcPr>
          <w:p w14:paraId="4A6C67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highlight w:val="none"/>
              </w:rPr>
            </w:pPr>
            <w:r>
              <w:rPr>
                <w:rFonts w:hint="eastAsia" w:ascii="仿宋_GB2312" w:hAnsi="等线" w:eastAsia="仿宋_GB2312" w:cs="宋体"/>
                <w:color w:val="000000"/>
                <w:kern w:val="0"/>
                <w:sz w:val="20"/>
                <w:szCs w:val="20"/>
                <w:highlight w:val="none"/>
              </w:rPr>
              <w:t>≤108662.1</w:t>
            </w:r>
            <w:r>
              <w:rPr>
                <w:rFonts w:hint="eastAsia" w:ascii="仿宋_GB2312" w:hAnsi="等线" w:eastAsia="仿宋_GB2312" w:cs="宋体"/>
                <w:color w:val="000000"/>
                <w:kern w:val="0"/>
                <w:sz w:val="20"/>
                <w:szCs w:val="20"/>
                <w:highlight w:val="none"/>
                <w:lang w:val="en-US" w:eastAsia="zh-CN"/>
              </w:rPr>
              <w:t>57049</w:t>
            </w:r>
            <w:r>
              <w:rPr>
                <w:rFonts w:hint="eastAsia" w:ascii="仿宋_GB2312" w:hAnsi="等线" w:eastAsia="仿宋_GB2312" w:cs="宋体"/>
                <w:color w:val="000000"/>
                <w:kern w:val="0"/>
                <w:sz w:val="20"/>
                <w:szCs w:val="20"/>
                <w:highlight w:val="none"/>
              </w:rPr>
              <w:t>万元</w:t>
            </w:r>
          </w:p>
        </w:tc>
        <w:tc>
          <w:tcPr>
            <w:tcW w:w="3350" w:type="dxa"/>
            <w:tcBorders>
              <w:top w:val="nil"/>
              <w:left w:val="nil"/>
              <w:bottom w:val="single" w:color="auto" w:sz="4" w:space="0"/>
              <w:right w:val="single" w:color="auto" w:sz="4" w:space="0"/>
            </w:tcBorders>
            <w:vAlign w:val="center"/>
          </w:tcPr>
          <w:p w14:paraId="457A6F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highlight w:val="none"/>
              </w:rPr>
            </w:pPr>
            <w:r>
              <w:rPr>
                <w:rFonts w:hint="eastAsia" w:ascii="仿宋_GB2312" w:hAnsi="等线" w:eastAsia="仿宋_GB2312" w:cs="宋体"/>
                <w:color w:val="000000"/>
                <w:kern w:val="0"/>
                <w:sz w:val="20"/>
                <w:szCs w:val="20"/>
                <w:highlight w:val="none"/>
              </w:rPr>
              <w:t>101374.586383万元</w:t>
            </w:r>
          </w:p>
        </w:tc>
        <w:tc>
          <w:tcPr>
            <w:tcW w:w="1040" w:type="dxa"/>
            <w:tcBorders>
              <w:top w:val="nil"/>
              <w:left w:val="nil"/>
              <w:bottom w:val="single" w:color="auto" w:sz="4" w:space="0"/>
              <w:right w:val="single" w:color="auto" w:sz="4" w:space="0"/>
            </w:tcBorders>
            <w:vAlign w:val="center"/>
          </w:tcPr>
          <w:p w14:paraId="3F66080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nil"/>
              <w:bottom w:val="single" w:color="auto" w:sz="4" w:space="0"/>
              <w:right w:val="single" w:color="auto" w:sz="4" w:space="0"/>
            </w:tcBorders>
            <w:vAlign w:val="center"/>
          </w:tcPr>
          <w:p w14:paraId="1C6F9D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2450D496">
        <w:trPr>
          <w:gridAfter w:val="1"/>
          <w:wAfter w:w="518" w:type="dxa"/>
          <w:trHeight w:val="540" w:hRule="atLeast"/>
        </w:trPr>
        <w:tc>
          <w:tcPr>
            <w:tcW w:w="1620" w:type="dxa"/>
            <w:vMerge w:val="continue"/>
            <w:tcBorders>
              <w:top w:val="nil"/>
              <w:left w:val="single" w:color="auto" w:sz="4" w:space="0"/>
              <w:bottom w:val="single" w:color="auto" w:sz="4" w:space="0"/>
              <w:right w:val="single" w:color="auto" w:sz="4" w:space="0"/>
            </w:tcBorders>
            <w:vAlign w:val="center"/>
          </w:tcPr>
          <w:p w14:paraId="76EF61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nil"/>
              <w:left w:val="single" w:color="auto" w:sz="4" w:space="0"/>
              <w:bottom w:val="single" w:color="auto" w:sz="4" w:space="0"/>
              <w:right w:val="single" w:color="auto" w:sz="4" w:space="0"/>
            </w:tcBorders>
            <w:vAlign w:val="center"/>
          </w:tcPr>
          <w:p w14:paraId="505C31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nil"/>
              <w:left w:val="nil"/>
              <w:bottom w:val="single" w:color="auto" w:sz="4" w:space="0"/>
              <w:right w:val="single" w:color="auto" w:sz="4" w:space="0"/>
            </w:tcBorders>
            <w:vAlign w:val="center"/>
          </w:tcPr>
          <w:p w14:paraId="254E2E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成本指标：项目支出成本控制在预算范围之内</w:t>
            </w:r>
          </w:p>
        </w:tc>
        <w:tc>
          <w:tcPr>
            <w:tcW w:w="2390" w:type="dxa"/>
            <w:tcBorders>
              <w:top w:val="nil"/>
              <w:left w:val="nil"/>
              <w:bottom w:val="single" w:color="auto" w:sz="4" w:space="0"/>
              <w:right w:val="single" w:color="auto" w:sz="4" w:space="0"/>
            </w:tcBorders>
            <w:vAlign w:val="center"/>
          </w:tcPr>
          <w:p w14:paraId="681BE1D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highlight w:val="none"/>
              </w:rPr>
            </w:pPr>
            <w:r>
              <w:rPr>
                <w:rFonts w:hint="eastAsia" w:ascii="仿宋_GB2312" w:hAnsi="等线" w:eastAsia="仿宋_GB2312" w:cs="宋体"/>
                <w:color w:val="000000"/>
                <w:kern w:val="0"/>
                <w:sz w:val="20"/>
                <w:szCs w:val="20"/>
                <w:highlight w:val="none"/>
              </w:rPr>
              <w:t>≤113202.11</w:t>
            </w:r>
            <w:r>
              <w:rPr>
                <w:rFonts w:hint="eastAsia" w:ascii="仿宋_GB2312" w:hAnsi="等线" w:eastAsia="仿宋_GB2312" w:cs="宋体"/>
                <w:color w:val="000000"/>
                <w:kern w:val="0"/>
                <w:sz w:val="20"/>
                <w:szCs w:val="20"/>
                <w:highlight w:val="none"/>
                <w:lang w:val="en-US" w:eastAsia="zh-CN"/>
              </w:rPr>
              <w:t>0464</w:t>
            </w:r>
            <w:r>
              <w:rPr>
                <w:rFonts w:hint="eastAsia" w:ascii="仿宋_GB2312" w:hAnsi="等线" w:eastAsia="仿宋_GB2312" w:cs="宋体"/>
                <w:color w:val="000000"/>
                <w:kern w:val="0"/>
                <w:sz w:val="20"/>
                <w:szCs w:val="20"/>
                <w:highlight w:val="none"/>
              </w:rPr>
              <w:t>万元</w:t>
            </w:r>
          </w:p>
        </w:tc>
        <w:tc>
          <w:tcPr>
            <w:tcW w:w="3350" w:type="dxa"/>
            <w:tcBorders>
              <w:top w:val="nil"/>
              <w:left w:val="nil"/>
              <w:bottom w:val="single" w:color="auto" w:sz="4" w:space="0"/>
              <w:right w:val="single" w:color="auto" w:sz="4" w:space="0"/>
            </w:tcBorders>
            <w:vAlign w:val="center"/>
          </w:tcPr>
          <w:p w14:paraId="62060E5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highlight w:val="none"/>
              </w:rPr>
            </w:pPr>
            <w:r>
              <w:rPr>
                <w:rFonts w:hint="eastAsia" w:ascii="仿宋_GB2312" w:hAnsi="等线" w:eastAsia="仿宋_GB2312" w:cs="宋体"/>
                <w:color w:val="000000"/>
                <w:kern w:val="0"/>
                <w:sz w:val="20"/>
                <w:szCs w:val="20"/>
                <w:highlight w:val="none"/>
              </w:rPr>
              <w:t>102794.331221万元</w:t>
            </w:r>
          </w:p>
        </w:tc>
        <w:tc>
          <w:tcPr>
            <w:tcW w:w="1040" w:type="dxa"/>
            <w:tcBorders>
              <w:top w:val="nil"/>
              <w:left w:val="nil"/>
              <w:bottom w:val="single" w:color="auto" w:sz="4" w:space="0"/>
              <w:right w:val="single" w:color="auto" w:sz="4" w:space="0"/>
            </w:tcBorders>
            <w:vAlign w:val="center"/>
          </w:tcPr>
          <w:p w14:paraId="7533E6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c>
          <w:tcPr>
            <w:tcW w:w="2080" w:type="dxa"/>
            <w:tcBorders>
              <w:top w:val="single" w:color="auto" w:sz="4" w:space="0"/>
              <w:left w:val="nil"/>
              <w:bottom w:val="single" w:color="auto" w:sz="4" w:space="0"/>
              <w:right w:val="single" w:color="auto" w:sz="4" w:space="0"/>
            </w:tcBorders>
            <w:vAlign w:val="center"/>
          </w:tcPr>
          <w:p w14:paraId="3AF220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1.5</w:t>
            </w:r>
          </w:p>
        </w:tc>
      </w:tr>
      <w:tr w14:paraId="406FD4E4">
        <w:trPr>
          <w:gridAfter w:val="1"/>
          <w:wAfter w:w="518" w:type="dxa"/>
          <w:trHeight w:val="375" w:hRule="atLeast"/>
        </w:trPr>
        <w:tc>
          <w:tcPr>
            <w:tcW w:w="1620" w:type="dxa"/>
            <w:vMerge w:val="continue"/>
            <w:tcBorders>
              <w:top w:val="nil"/>
              <w:left w:val="single" w:color="auto" w:sz="4" w:space="0"/>
              <w:bottom w:val="single" w:color="auto" w:sz="4" w:space="0"/>
              <w:right w:val="single" w:color="auto" w:sz="4" w:space="0"/>
            </w:tcBorders>
            <w:vAlign w:val="center"/>
          </w:tcPr>
          <w:p w14:paraId="4DDC6BE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restart"/>
            <w:tcBorders>
              <w:top w:val="nil"/>
              <w:left w:val="single" w:color="auto" w:sz="4" w:space="0"/>
              <w:bottom w:val="single" w:color="auto" w:sz="4" w:space="0"/>
              <w:right w:val="single" w:color="auto" w:sz="4" w:space="0"/>
            </w:tcBorders>
            <w:vAlign w:val="center"/>
          </w:tcPr>
          <w:p w14:paraId="7651E1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效果（30）</w:t>
            </w:r>
          </w:p>
        </w:tc>
        <w:tc>
          <w:tcPr>
            <w:tcW w:w="2499" w:type="dxa"/>
            <w:tcBorders>
              <w:top w:val="single" w:color="auto" w:sz="4" w:space="0"/>
              <w:left w:val="single" w:color="auto" w:sz="4" w:space="0"/>
              <w:bottom w:val="single" w:color="auto" w:sz="4" w:space="0"/>
              <w:right w:val="single" w:color="auto" w:sz="4" w:space="0"/>
            </w:tcBorders>
            <w:vAlign w:val="center"/>
          </w:tcPr>
          <w:p w14:paraId="755953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cs="宋体"/>
                <w:color w:val="000000"/>
                <w:kern w:val="0"/>
                <w:sz w:val="20"/>
                <w:szCs w:val="20"/>
                <w:highlight w:val="yellow"/>
              </w:rPr>
            </w:pPr>
            <w:r>
              <w:rPr>
                <w:rFonts w:hint="eastAsia" w:ascii="仿宋_GB2312" w:hAnsi="等线" w:eastAsia="仿宋_GB2312" w:cs="宋体"/>
                <w:color w:val="000000"/>
                <w:kern w:val="0"/>
                <w:sz w:val="20"/>
                <w:szCs w:val="20"/>
              </w:rPr>
              <w:t>经济效益指标</w:t>
            </w:r>
          </w:p>
        </w:tc>
        <w:tc>
          <w:tcPr>
            <w:tcW w:w="2390" w:type="dxa"/>
            <w:tcBorders>
              <w:top w:val="single" w:color="auto" w:sz="4" w:space="0"/>
              <w:left w:val="single" w:color="auto" w:sz="4" w:space="0"/>
              <w:bottom w:val="single" w:color="auto" w:sz="4" w:space="0"/>
              <w:right w:val="single" w:color="auto" w:sz="4" w:space="0"/>
            </w:tcBorders>
            <w:vAlign w:val="center"/>
          </w:tcPr>
          <w:p w14:paraId="660203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highlight w:val="none"/>
              </w:rPr>
            </w:pPr>
            <w:r>
              <w:rPr>
                <w:rFonts w:hint="eastAsia" w:ascii="仿宋_GB2312" w:hAnsi="等线" w:eastAsia="仿宋_GB2312" w:cs="宋体"/>
                <w:color w:val="000000"/>
                <w:kern w:val="0"/>
                <w:sz w:val="20"/>
                <w:szCs w:val="20"/>
                <w:highlight w:val="none"/>
              </w:rPr>
              <w:t>展会签约额≥70亿元</w:t>
            </w:r>
          </w:p>
        </w:tc>
        <w:tc>
          <w:tcPr>
            <w:tcW w:w="3350" w:type="dxa"/>
            <w:tcBorders>
              <w:top w:val="single" w:color="auto" w:sz="4" w:space="0"/>
              <w:left w:val="single" w:color="auto" w:sz="4" w:space="0"/>
              <w:bottom w:val="single" w:color="auto" w:sz="4" w:space="0"/>
              <w:right w:val="single" w:color="auto" w:sz="4" w:space="0"/>
            </w:tcBorders>
            <w:vAlign w:val="center"/>
          </w:tcPr>
          <w:p w14:paraId="7DF932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highlight w:val="none"/>
              </w:rPr>
            </w:pPr>
            <w:r>
              <w:rPr>
                <w:rFonts w:hint="eastAsia" w:ascii="仿宋_GB2312" w:hAnsi="等线" w:eastAsia="仿宋_GB2312" w:cs="宋体"/>
                <w:color w:val="000000"/>
                <w:kern w:val="0"/>
                <w:sz w:val="20"/>
                <w:szCs w:val="20"/>
                <w:highlight w:val="none"/>
              </w:rPr>
              <w:t>59亿元（8.12亿美元）</w:t>
            </w:r>
          </w:p>
        </w:tc>
        <w:tc>
          <w:tcPr>
            <w:tcW w:w="1040" w:type="dxa"/>
            <w:tcBorders>
              <w:top w:val="single" w:color="auto" w:sz="4" w:space="0"/>
              <w:left w:val="single" w:color="auto" w:sz="4" w:space="0"/>
              <w:bottom w:val="single" w:color="auto" w:sz="4" w:space="0"/>
              <w:right w:val="single" w:color="auto" w:sz="4" w:space="0"/>
            </w:tcBorders>
            <w:noWrap/>
            <w:vAlign w:val="center"/>
          </w:tcPr>
          <w:p w14:paraId="1ADEF3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highlight w:val="none"/>
              </w:rPr>
            </w:pPr>
            <w:r>
              <w:rPr>
                <w:rFonts w:hint="eastAsia" w:ascii="仿宋_GB2312" w:hAnsi="等线" w:eastAsia="仿宋_GB2312" w:cs="宋体"/>
                <w:color w:val="000000"/>
                <w:kern w:val="0"/>
                <w:sz w:val="20"/>
                <w:szCs w:val="20"/>
                <w:highlight w:val="none"/>
              </w:rPr>
              <w:t>10</w:t>
            </w:r>
          </w:p>
        </w:tc>
        <w:tc>
          <w:tcPr>
            <w:tcW w:w="20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5761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highlight w:val="none"/>
              </w:rPr>
            </w:pPr>
            <w:r>
              <w:rPr>
                <w:rFonts w:hint="eastAsia" w:ascii="仿宋_GB2312" w:hAnsi="等线" w:eastAsia="仿宋_GB2312" w:cs="宋体"/>
                <w:color w:val="000000"/>
                <w:kern w:val="0"/>
                <w:sz w:val="20"/>
                <w:szCs w:val="20"/>
                <w:highlight w:val="none"/>
              </w:rPr>
              <w:t>8.43</w:t>
            </w:r>
          </w:p>
        </w:tc>
      </w:tr>
      <w:tr w14:paraId="2801AA53">
        <w:trPr>
          <w:gridAfter w:val="1"/>
          <w:wAfter w:w="518" w:type="dxa"/>
          <w:trHeight w:val="2400" w:hRule="atLeast"/>
        </w:trPr>
        <w:tc>
          <w:tcPr>
            <w:tcW w:w="1620" w:type="dxa"/>
            <w:vMerge w:val="continue"/>
            <w:tcBorders>
              <w:top w:val="nil"/>
              <w:left w:val="single" w:color="auto" w:sz="4" w:space="0"/>
              <w:bottom w:val="single" w:color="auto" w:sz="4" w:space="0"/>
              <w:right w:val="single" w:color="auto" w:sz="4" w:space="0"/>
            </w:tcBorders>
            <w:vAlign w:val="center"/>
          </w:tcPr>
          <w:p w14:paraId="36EAF5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nil"/>
              <w:left w:val="single" w:color="auto" w:sz="4" w:space="0"/>
              <w:bottom w:val="single" w:color="auto" w:sz="4" w:space="0"/>
              <w:right w:val="single" w:color="auto" w:sz="4" w:space="0"/>
            </w:tcBorders>
            <w:vAlign w:val="center"/>
          </w:tcPr>
          <w:p w14:paraId="010A4E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nil"/>
              <w:bottom w:val="single" w:color="auto" w:sz="4" w:space="0"/>
              <w:right w:val="single" w:color="auto" w:sz="4" w:space="0"/>
            </w:tcBorders>
            <w:vAlign w:val="center"/>
          </w:tcPr>
          <w:p w14:paraId="70EA33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社会效益指标</w:t>
            </w:r>
          </w:p>
        </w:tc>
        <w:tc>
          <w:tcPr>
            <w:tcW w:w="2390" w:type="dxa"/>
            <w:tcBorders>
              <w:top w:val="single" w:color="auto" w:sz="4" w:space="0"/>
              <w:left w:val="nil"/>
              <w:bottom w:val="single" w:color="auto" w:sz="4" w:space="0"/>
              <w:right w:val="single" w:color="auto" w:sz="4" w:space="0"/>
            </w:tcBorders>
            <w:vAlign w:val="center"/>
          </w:tcPr>
          <w:p w14:paraId="0F1180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推动首都体育事业高质量发展</w:t>
            </w:r>
          </w:p>
        </w:tc>
        <w:tc>
          <w:tcPr>
            <w:tcW w:w="3350" w:type="dxa"/>
            <w:tcBorders>
              <w:top w:val="single" w:color="auto" w:sz="4" w:space="0"/>
              <w:left w:val="nil"/>
              <w:bottom w:val="single" w:color="auto" w:sz="4" w:space="0"/>
              <w:right w:val="single" w:color="auto" w:sz="4" w:space="0"/>
            </w:tcBorders>
            <w:vAlign w:val="center"/>
          </w:tcPr>
          <w:p w14:paraId="5E9F9F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立足“四个中心”城市战略定位，发挥“双奥之城”优势，打造“双奥100”精品赛事体系，优化整合体育空间资源和赛事资源，初步形成“一环、四区、N场景”赛事布局，以赛事为引领，带动群众体育、竞技体育、青少年体育、体育产业等全面发展，推动首都体育事业高质量发展，为体育强国建设作出北京贡献。</w:t>
            </w:r>
          </w:p>
        </w:tc>
        <w:tc>
          <w:tcPr>
            <w:tcW w:w="1040" w:type="dxa"/>
            <w:tcBorders>
              <w:top w:val="single" w:color="auto" w:sz="4" w:space="0"/>
              <w:left w:val="nil"/>
              <w:bottom w:val="single" w:color="auto" w:sz="4" w:space="0"/>
              <w:right w:val="single" w:color="auto" w:sz="4" w:space="0"/>
            </w:tcBorders>
            <w:vAlign w:val="center"/>
          </w:tcPr>
          <w:p w14:paraId="4DDE53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2080" w:type="dxa"/>
            <w:tcBorders>
              <w:top w:val="single" w:color="auto" w:sz="4" w:space="0"/>
              <w:left w:val="nil"/>
              <w:bottom w:val="single" w:color="auto" w:sz="4" w:space="0"/>
              <w:right w:val="single" w:color="auto" w:sz="4" w:space="0"/>
            </w:tcBorders>
            <w:noWrap/>
            <w:vAlign w:val="center"/>
          </w:tcPr>
          <w:p w14:paraId="1D9C38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r>
      <w:tr w14:paraId="13B97F11">
        <w:trPr>
          <w:gridAfter w:val="1"/>
          <w:wAfter w:w="518" w:type="dxa"/>
          <w:trHeight w:val="1360" w:hRule="atLeast"/>
        </w:trPr>
        <w:tc>
          <w:tcPr>
            <w:tcW w:w="1620" w:type="dxa"/>
            <w:vMerge w:val="continue"/>
            <w:tcBorders>
              <w:top w:val="nil"/>
              <w:left w:val="single" w:color="auto" w:sz="4" w:space="0"/>
              <w:bottom w:val="single" w:color="auto" w:sz="4" w:space="0"/>
              <w:right w:val="single" w:color="auto" w:sz="4" w:space="0"/>
            </w:tcBorders>
            <w:vAlign w:val="center"/>
          </w:tcPr>
          <w:p w14:paraId="73C003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nil"/>
              <w:left w:val="single" w:color="auto" w:sz="4" w:space="0"/>
              <w:bottom w:val="single" w:color="auto" w:sz="4" w:space="0"/>
              <w:right w:val="single" w:color="auto" w:sz="4" w:space="0"/>
            </w:tcBorders>
            <w:vAlign w:val="center"/>
          </w:tcPr>
          <w:p w14:paraId="16514B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nil"/>
              <w:left w:val="nil"/>
              <w:bottom w:val="single" w:color="auto" w:sz="4" w:space="0"/>
              <w:right w:val="single" w:color="auto" w:sz="4" w:space="0"/>
            </w:tcBorders>
            <w:vAlign w:val="center"/>
          </w:tcPr>
          <w:p w14:paraId="21272E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社会效益指标</w:t>
            </w:r>
          </w:p>
        </w:tc>
        <w:tc>
          <w:tcPr>
            <w:tcW w:w="2390" w:type="dxa"/>
            <w:tcBorders>
              <w:top w:val="nil"/>
              <w:left w:val="nil"/>
              <w:bottom w:val="single" w:color="auto" w:sz="4" w:space="0"/>
              <w:right w:val="single" w:color="auto" w:sz="4" w:space="0"/>
            </w:tcBorders>
            <w:vAlign w:val="center"/>
          </w:tcPr>
          <w:p w14:paraId="3BF5C0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全面优化营商环境，服务企业更好更快发展</w:t>
            </w:r>
          </w:p>
        </w:tc>
        <w:tc>
          <w:tcPr>
            <w:tcW w:w="3350" w:type="dxa"/>
            <w:tcBorders>
              <w:top w:val="nil"/>
              <w:left w:val="nil"/>
              <w:bottom w:val="single" w:color="auto" w:sz="4" w:space="0"/>
              <w:right w:val="single" w:color="auto" w:sz="4" w:space="0"/>
            </w:tcBorders>
            <w:vAlign w:val="center"/>
          </w:tcPr>
          <w:p w14:paraId="37626B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印发2024年度重点体育企业调研走访工作通知，依托市级“服务包”工作机制，重点对本市规模以上企业建立动态监测机制，加强企业走访服务，协调解决问题。</w:t>
            </w:r>
          </w:p>
        </w:tc>
        <w:tc>
          <w:tcPr>
            <w:tcW w:w="1040" w:type="dxa"/>
            <w:tcBorders>
              <w:top w:val="nil"/>
              <w:left w:val="nil"/>
              <w:bottom w:val="single" w:color="auto" w:sz="4" w:space="0"/>
              <w:right w:val="single" w:color="auto" w:sz="4" w:space="0"/>
            </w:tcBorders>
            <w:vAlign w:val="center"/>
          </w:tcPr>
          <w:p w14:paraId="0F436A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2080" w:type="dxa"/>
            <w:tcBorders>
              <w:top w:val="single" w:color="auto" w:sz="4" w:space="0"/>
              <w:left w:val="nil"/>
              <w:bottom w:val="single" w:color="auto" w:sz="4" w:space="0"/>
              <w:right w:val="single" w:color="auto" w:sz="4" w:space="0"/>
            </w:tcBorders>
            <w:noWrap/>
            <w:vAlign w:val="center"/>
          </w:tcPr>
          <w:p w14:paraId="38902A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r>
      <w:tr w14:paraId="74347F77">
        <w:trPr>
          <w:gridAfter w:val="1"/>
          <w:wAfter w:w="518" w:type="dxa"/>
          <w:trHeight w:val="9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587D9C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3B77DAD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6F71A2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社会效益指标</w:t>
            </w:r>
          </w:p>
        </w:tc>
        <w:tc>
          <w:tcPr>
            <w:tcW w:w="2390" w:type="dxa"/>
            <w:tcBorders>
              <w:top w:val="single" w:color="auto" w:sz="4" w:space="0"/>
              <w:left w:val="single" w:color="auto" w:sz="4" w:space="0"/>
              <w:bottom w:val="single" w:color="auto" w:sz="4" w:space="0"/>
              <w:right w:val="single" w:color="auto" w:sz="4" w:space="0"/>
            </w:tcBorders>
            <w:vAlign w:val="center"/>
          </w:tcPr>
          <w:p w14:paraId="40841B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提高全民健身的社会影响力，普及全民健身运动知识，提升全民健身的社会关注度</w:t>
            </w:r>
          </w:p>
        </w:tc>
        <w:tc>
          <w:tcPr>
            <w:tcW w:w="3350" w:type="dxa"/>
            <w:tcBorders>
              <w:top w:val="single" w:color="auto" w:sz="4" w:space="0"/>
              <w:left w:val="single" w:color="auto" w:sz="4" w:space="0"/>
              <w:bottom w:val="single" w:color="auto" w:sz="4" w:space="0"/>
              <w:right w:val="single" w:color="auto" w:sz="4" w:space="0"/>
            </w:tcBorders>
            <w:vAlign w:val="center"/>
          </w:tcPr>
          <w:p w14:paraId="78730E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坚持人民至上，持续加强场地设施和赛事活动供给，全民健身普惠全民。开展丰富多彩的全民健身活动，营造浓厚全民健身氛围，广泛开展科学健身指导，普及全民健身运动知识，持续完善全民健身组织网络，提高全民健身的社会影响力和关注度。</w:t>
            </w:r>
          </w:p>
        </w:tc>
        <w:tc>
          <w:tcPr>
            <w:tcW w:w="1040" w:type="dxa"/>
            <w:tcBorders>
              <w:top w:val="single" w:color="auto" w:sz="4" w:space="0"/>
              <w:left w:val="single" w:color="auto" w:sz="4" w:space="0"/>
              <w:bottom w:val="single" w:color="auto" w:sz="4" w:space="0"/>
              <w:right w:val="single" w:color="auto" w:sz="4" w:space="0"/>
            </w:tcBorders>
            <w:vAlign w:val="center"/>
          </w:tcPr>
          <w:p w14:paraId="5F76CA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2080" w:type="dxa"/>
            <w:tcBorders>
              <w:top w:val="single" w:color="auto" w:sz="4" w:space="0"/>
              <w:left w:val="single" w:color="auto" w:sz="4" w:space="0"/>
              <w:bottom w:val="single" w:color="auto" w:sz="4" w:space="0"/>
              <w:right w:val="single" w:color="auto" w:sz="4" w:space="0"/>
            </w:tcBorders>
            <w:noWrap/>
            <w:vAlign w:val="center"/>
          </w:tcPr>
          <w:p w14:paraId="50001B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r>
      <w:tr w14:paraId="0E798AA2">
        <w:trPr>
          <w:gridAfter w:val="1"/>
          <w:wAfter w:w="518" w:type="dxa"/>
          <w:trHeight w:val="1903"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4B35E2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60B000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7553589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可持续影响指标</w:t>
            </w:r>
          </w:p>
        </w:tc>
        <w:tc>
          <w:tcPr>
            <w:tcW w:w="2390" w:type="dxa"/>
            <w:tcBorders>
              <w:top w:val="single" w:color="auto" w:sz="4" w:space="0"/>
              <w:left w:val="single" w:color="auto" w:sz="4" w:space="0"/>
              <w:bottom w:val="single" w:color="auto" w:sz="4" w:space="0"/>
              <w:right w:val="single" w:color="auto" w:sz="4" w:space="0"/>
            </w:tcBorders>
            <w:vAlign w:val="center"/>
          </w:tcPr>
          <w:p w14:paraId="3573FA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培养青少年后备人才，促进可持续发展</w:t>
            </w:r>
          </w:p>
        </w:tc>
        <w:tc>
          <w:tcPr>
            <w:tcW w:w="3350" w:type="dxa"/>
            <w:tcBorders>
              <w:top w:val="single" w:color="auto" w:sz="4" w:space="0"/>
              <w:left w:val="single" w:color="auto" w:sz="4" w:space="0"/>
              <w:bottom w:val="single" w:color="auto" w:sz="4" w:space="0"/>
              <w:right w:val="single" w:color="auto" w:sz="4" w:space="0"/>
            </w:tcBorders>
            <w:vAlign w:val="center"/>
          </w:tcPr>
          <w:p w14:paraId="4E350C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弘扬中华体育精神和奥林匹克精神；着力构建现代化青训体系，重点推进“633战略”项目布局，打造全周期、多维度的人才培养机制。积极拓展国际交流渠道，深化与国际学校合作，助推优秀青少年运动员职业化、国际化发展。</w:t>
            </w:r>
          </w:p>
        </w:tc>
        <w:tc>
          <w:tcPr>
            <w:tcW w:w="1040" w:type="dxa"/>
            <w:tcBorders>
              <w:top w:val="single" w:color="auto" w:sz="4" w:space="0"/>
              <w:left w:val="single" w:color="auto" w:sz="4" w:space="0"/>
              <w:bottom w:val="single" w:color="auto" w:sz="4" w:space="0"/>
              <w:right w:val="single" w:color="auto" w:sz="4" w:space="0"/>
            </w:tcBorders>
            <w:vAlign w:val="center"/>
          </w:tcPr>
          <w:p w14:paraId="7E00F3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5</w:t>
            </w:r>
          </w:p>
        </w:tc>
        <w:tc>
          <w:tcPr>
            <w:tcW w:w="2080" w:type="dxa"/>
            <w:tcBorders>
              <w:top w:val="single" w:color="auto" w:sz="4" w:space="0"/>
              <w:left w:val="single" w:color="auto" w:sz="4" w:space="0"/>
              <w:bottom w:val="single" w:color="auto" w:sz="4" w:space="0"/>
              <w:right w:val="single" w:color="auto" w:sz="4" w:space="0"/>
            </w:tcBorders>
            <w:noWrap/>
            <w:vAlign w:val="center"/>
          </w:tcPr>
          <w:p w14:paraId="2249C9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r>
      <w:tr w14:paraId="151687CC">
        <w:trPr>
          <w:gridAfter w:val="1"/>
          <w:wAfter w:w="518" w:type="dxa"/>
          <w:trHeight w:val="280" w:hRule="atLeast"/>
        </w:trPr>
        <w:tc>
          <w:tcPr>
            <w:tcW w:w="14620" w:type="dxa"/>
            <w:gridSpan w:val="7"/>
            <w:tcBorders>
              <w:top w:val="single" w:color="auto" w:sz="4" w:space="0"/>
              <w:left w:val="single" w:color="auto" w:sz="4" w:space="0"/>
              <w:bottom w:val="single" w:color="auto" w:sz="4" w:space="0"/>
              <w:right w:val="single" w:color="auto" w:sz="4" w:space="0"/>
            </w:tcBorders>
            <w:vAlign w:val="center"/>
          </w:tcPr>
          <w:p w14:paraId="75ABE3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18"/>
                <w:szCs w:val="18"/>
              </w:rPr>
            </w:pPr>
            <w:r>
              <w:rPr>
                <w:rFonts w:hint="eastAsia" w:ascii="仿宋_GB2312" w:hAnsi="等线" w:eastAsia="仿宋_GB2312" w:cs="宋体"/>
                <w:color w:val="000000"/>
                <w:kern w:val="0"/>
                <w:sz w:val="18"/>
                <w:szCs w:val="18"/>
              </w:rPr>
              <w:t>三、</w:t>
            </w:r>
            <w:r>
              <w:rPr>
                <w:rFonts w:hint="eastAsia" w:ascii="仿宋_GB2312" w:hAnsi="等线" w:eastAsia="仿宋_GB2312" w:cs="宋体"/>
                <w:color w:val="000000"/>
                <w:kern w:val="0"/>
                <w:sz w:val="20"/>
                <w:szCs w:val="20"/>
              </w:rPr>
              <w:t>预算管理情况（20分）</w:t>
            </w:r>
          </w:p>
        </w:tc>
      </w:tr>
      <w:tr w14:paraId="4914E278">
        <w:trPr>
          <w:gridAfter w:val="1"/>
          <w:wAfter w:w="518" w:type="dxa"/>
          <w:trHeight w:val="280" w:hRule="atLeast"/>
        </w:trPr>
        <w:tc>
          <w:tcPr>
            <w:tcW w:w="1620" w:type="dxa"/>
            <w:tcBorders>
              <w:top w:val="nil"/>
              <w:left w:val="single" w:color="auto" w:sz="4" w:space="0"/>
              <w:bottom w:val="single" w:color="auto" w:sz="4" w:space="0"/>
              <w:right w:val="single" w:color="auto" w:sz="4" w:space="0"/>
            </w:tcBorders>
            <w:vAlign w:val="center"/>
          </w:tcPr>
          <w:p w14:paraId="2C0968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一级指标</w:t>
            </w:r>
          </w:p>
        </w:tc>
        <w:tc>
          <w:tcPr>
            <w:tcW w:w="1641" w:type="dxa"/>
            <w:tcBorders>
              <w:top w:val="nil"/>
              <w:left w:val="nil"/>
              <w:bottom w:val="single" w:color="auto" w:sz="4" w:space="0"/>
              <w:right w:val="single" w:color="auto" w:sz="4" w:space="0"/>
            </w:tcBorders>
            <w:vAlign w:val="center"/>
          </w:tcPr>
          <w:p w14:paraId="34F9AD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二级指标</w:t>
            </w:r>
          </w:p>
        </w:tc>
        <w:tc>
          <w:tcPr>
            <w:tcW w:w="2499" w:type="dxa"/>
            <w:tcBorders>
              <w:top w:val="nil"/>
              <w:left w:val="nil"/>
              <w:bottom w:val="single" w:color="auto" w:sz="4" w:space="0"/>
              <w:right w:val="single" w:color="auto" w:sz="4" w:space="0"/>
            </w:tcBorders>
            <w:vAlign w:val="center"/>
          </w:tcPr>
          <w:p w14:paraId="35D49C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三级指标</w:t>
            </w:r>
          </w:p>
        </w:tc>
        <w:tc>
          <w:tcPr>
            <w:tcW w:w="2390" w:type="dxa"/>
            <w:tcBorders>
              <w:top w:val="nil"/>
              <w:left w:val="nil"/>
              <w:bottom w:val="single" w:color="auto" w:sz="4" w:space="0"/>
              <w:right w:val="single" w:color="auto" w:sz="4" w:space="0"/>
            </w:tcBorders>
            <w:vAlign w:val="center"/>
          </w:tcPr>
          <w:p w14:paraId="46B9E9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指标值</w:t>
            </w:r>
          </w:p>
        </w:tc>
        <w:tc>
          <w:tcPr>
            <w:tcW w:w="3350" w:type="dxa"/>
            <w:tcBorders>
              <w:top w:val="nil"/>
              <w:left w:val="nil"/>
              <w:bottom w:val="single" w:color="auto" w:sz="4" w:space="0"/>
              <w:right w:val="single" w:color="auto" w:sz="4" w:space="0"/>
            </w:tcBorders>
            <w:vAlign w:val="center"/>
          </w:tcPr>
          <w:p w14:paraId="3B840B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完成值</w:t>
            </w:r>
          </w:p>
        </w:tc>
        <w:tc>
          <w:tcPr>
            <w:tcW w:w="1040" w:type="dxa"/>
            <w:tcBorders>
              <w:top w:val="nil"/>
              <w:left w:val="nil"/>
              <w:bottom w:val="single" w:color="auto" w:sz="4" w:space="0"/>
              <w:right w:val="single" w:color="auto" w:sz="4" w:space="0"/>
            </w:tcBorders>
            <w:noWrap/>
            <w:vAlign w:val="center"/>
          </w:tcPr>
          <w:p w14:paraId="4DA21E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分值</w:t>
            </w:r>
          </w:p>
        </w:tc>
        <w:tc>
          <w:tcPr>
            <w:tcW w:w="2080" w:type="dxa"/>
            <w:tcBorders>
              <w:top w:val="single" w:color="auto" w:sz="4" w:space="0"/>
              <w:left w:val="nil"/>
              <w:bottom w:val="single" w:color="auto" w:sz="4" w:space="0"/>
              <w:right w:val="single" w:color="auto" w:sz="4" w:space="0"/>
            </w:tcBorders>
            <w:noWrap/>
            <w:vAlign w:val="center"/>
          </w:tcPr>
          <w:p w14:paraId="38AE0E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得分</w:t>
            </w:r>
          </w:p>
        </w:tc>
      </w:tr>
      <w:tr w14:paraId="7B845044">
        <w:trPr>
          <w:gridAfter w:val="1"/>
          <w:wAfter w:w="518" w:type="dxa"/>
          <w:trHeight w:val="321"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14:paraId="4B039A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0205ACE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p>
          <w:p w14:paraId="5B237F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lang w:eastAsia="zh-CN"/>
              </w:rPr>
            </w:pPr>
            <w:r>
              <w:rPr>
                <w:rFonts w:hint="eastAsia" w:ascii="仿宋_GB2312" w:hAnsi="等线" w:eastAsia="仿宋_GB2312" w:cs="宋体"/>
                <w:color w:val="000000"/>
                <w:kern w:val="0"/>
                <w:sz w:val="20"/>
                <w:szCs w:val="20"/>
              </w:rPr>
              <w:t>预算管理情况（20）</w:t>
            </w:r>
          </w:p>
        </w:tc>
        <w:tc>
          <w:tcPr>
            <w:tcW w:w="1641" w:type="dxa"/>
            <w:vMerge w:val="restart"/>
            <w:tcBorders>
              <w:top w:val="single" w:color="auto" w:sz="4" w:space="0"/>
              <w:left w:val="single" w:color="auto" w:sz="4" w:space="0"/>
              <w:bottom w:val="single" w:color="auto" w:sz="4" w:space="0"/>
              <w:right w:val="single" w:color="auto" w:sz="4" w:space="0"/>
            </w:tcBorders>
            <w:vAlign w:val="center"/>
          </w:tcPr>
          <w:p w14:paraId="3E07E2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财务管理（4）</w:t>
            </w:r>
          </w:p>
        </w:tc>
        <w:tc>
          <w:tcPr>
            <w:tcW w:w="2499" w:type="dxa"/>
            <w:tcBorders>
              <w:top w:val="single" w:color="auto" w:sz="4" w:space="0"/>
              <w:left w:val="single" w:color="auto" w:sz="4" w:space="0"/>
              <w:bottom w:val="single" w:color="auto" w:sz="4" w:space="0"/>
              <w:right w:val="single" w:color="auto" w:sz="4" w:space="0"/>
            </w:tcBorders>
            <w:vAlign w:val="center"/>
          </w:tcPr>
          <w:p w14:paraId="41A617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财务管理制度健全性</w:t>
            </w:r>
          </w:p>
        </w:tc>
        <w:tc>
          <w:tcPr>
            <w:tcW w:w="2390" w:type="dxa"/>
            <w:tcBorders>
              <w:top w:val="single" w:color="auto" w:sz="4" w:space="0"/>
              <w:left w:val="single" w:color="auto" w:sz="4" w:space="0"/>
              <w:bottom w:val="single" w:color="auto" w:sz="4" w:space="0"/>
              <w:right w:val="single" w:color="auto" w:sz="4" w:space="0"/>
            </w:tcBorders>
            <w:vAlign w:val="center"/>
          </w:tcPr>
          <w:p w14:paraId="6141A3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财务管理制度健全</w:t>
            </w:r>
          </w:p>
        </w:tc>
        <w:tc>
          <w:tcPr>
            <w:tcW w:w="3350" w:type="dxa"/>
            <w:tcBorders>
              <w:top w:val="single" w:color="auto" w:sz="4" w:space="0"/>
              <w:left w:val="single" w:color="auto" w:sz="4" w:space="0"/>
              <w:bottom w:val="single" w:color="auto" w:sz="4" w:space="0"/>
              <w:right w:val="single" w:color="auto" w:sz="4" w:space="0"/>
            </w:tcBorders>
            <w:vAlign w:val="center"/>
          </w:tcPr>
          <w:p w14:paraId="25FD39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财务管理制度健全</w:t>
            </w:r>
          </w:p>
        </w:tc>
        <w:tc>
          <w:tcPr>
            <w:tcW w:w="1040" w:type="dxa"/>
            <w:tcBorders>
              <w:top w:val="single" w:color="auto" w:sz="4" w:space="0"/>
              <w:left w:val="single" w:color="auto" w:sz="4" w:space="0"/>
              <w:bottom w:val="single" w:color="auto" w:sz="4" w:space="0"/>
              <w:right w:val="single" w:color="auto" w:sz="4" w:space="0"/>
            </w:tcBorders>
            <w:noWrap/>
            <w:vAlign w:val="center"/>
          </w:tcPr>
          <w:p w14:paraId="63C4F9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w:t>
            </w:r>
          </w:p>
        </w:tc>
        <w:tc>
          <w:tcPr>
            <w:tcW w:w="2080" w:type="dxa"/>
            <w:tcBorders>
              <w:top w:val="single" w:color="auto" w:sz="4" w:space="0"/>
              <w:left w:val="single" w:color="auto" w:sz="4" w:space="0"/>
              <w:bottom w:val="single" w:color="auto" w:sz="4" w:space="0"/>
              <w:right w:val="single" w:color="auto" w:sz="4" w:space="0"/>
            </w:tcBorders>
            <w:noWrap/>
            <w:vAlign w:val="center"/>
          </w:tcPr>
          <w:p w14:paraId="684F7E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w:t>
            </w:r>
          </w:p>
        </w:tc>
      </w:tr>
      <w:tr w14:paraId="20BC68C0">
        <w:trPr>
          <w:gridAfter w:val="1"/>
          <w:wAfter w:w="518" w:type="dxa"/>
          <w:trHeight w:val="262"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056CCE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0B92A8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0B32A56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资金使用合规性和安全性</w:t>
            </w:r>
          </w:p>
        </w:tc>
        <w:tc>
          <w:tcPr>
            <w:tcW w:w="2390" w:type="dxa"/>
            <w:tcBorders>
              <w:top w:val="single" w:color="auto" w:sz="4" w:space="0"/>
              <w:left w:val="single" w:color="auto" w:sz="4" w:space="0"/>
              <w:bottom w:val="single" w:color="auto" w:sz="4" w:space="0"/>
              <w:right w:val="single" w:color="auto" w:sz="4" w:space="0"/>
            </w:tcBorders>
            <w:vAlign w:val="center"/>
          </w:tcPr>
          <w:p w14:paraId="1659C21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资金使用合规和安全</w:t>
            </w:r>
          </w:p>
        </w:tc>
        <w:tc>
          <w:tcPr>
            <w:tcW w:w="3350" w:type="dxa"/>
            <w:tcBorders>
              <w:top w:val="single" w:color="auto" w:sz="4" w:space="0"/>
              <w:left w:val="single" w:color="auto" w:sz="4" w:space="0"/>
              <w:bottom w:val="single" w:color="auto" w:sz="4" w:space="0"/>
              <w:right w:val="single" w:color="auto" w:sz="4" w:space="0"/>
            </w:tcBorders>
            <w:vAlign w:val="center"/>
          </w:tcPr>
          <w:p w14:paraId="7C7545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资金使用合规和安全</w:t>
            </w:r>
          </w:p>
        </w:tc>
        <w:tc>
          <w:tcPr>
            <w:tcW w:w="1040" w:type="dxa"/>
            <w:tcBorders>
              <w:top w:val="single" w:color="auto" w:sz="4" w:space="0"/>
              <w:left w:val="single" w:color="auto" w:sz="4" w:space="0"/>
              <w:bottom w:val="single" w:color="auto" w:sz="4" w:space="0"/>
              <w:right w:val="single" w:color="auto" w:sz="4" w:space="0"/>
            </w:tcBorders>
            <w:noWrap/>
            <w:vAlign w:val="center"/>
          </w:tcPr>
          <w:p w14:paraId="0F9E8F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c>
          <w:tcPr>
            <w:tcW w:w="2080" w:type="dxa"/>
            <w:tcBorders>
              <w:top w:val="single" w:color="auto" w:sz="4" w:space="0"/>
              <w:left w:val="single" w:color="auto" w:sz="4" w:space="0"/>
              <w:bottom w:val="single" w:color="auto" w:sz="4" w:space="0"/>
              <w:right w:val="single" w:color="auto" w:sz="4" w:space="0"/>
            </w:tcBorders>
            <w:noWrap/>
            <w:vAlign w:val="center"/>
          </w:tcPr>
          <w:p w14:paraId="79A581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w:t>
            </w:r>
          </w:p>
        </w:tc>
      </w:tr>
      <w:tr w14:paraId="1A89BFE5">
        <w:trPr>
          <w:gridAfter w:val="1"/>
          <w:wAfter w:w="518" w:type="dxa"/>
          <w:trHeight w:val="343"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4E53F6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vMerge w:val="continue"/>
            <w:tcBorders>
              <w:top w:val="single" w:color="auto" w:sz="4" w:space="0"/>
              <w:left w:val="single" w:color="auto" w:sz="4" w:space="0"/>
              <w:bottom w:val="single" w:color="auto" w:sz="4" w:space="0"/>
              <w:right w:val="single" w:color="auto" w:sz="4" w:space="0"/>
            </w:tcBorders>
            <w:vAlign w:val="center"/>
          </w:tcPr>
          <w:p w14:paraId="4DAE96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2499" w:type="dxa"/>
            <w:tcBorders>
              <w:top w:val="single" w:color="auto" w:sz="4" w:space="0"/>
              <w:left w:val="single" w:color="auto" w:sz="4" w:space="0"/>
              <w:bottom w:val="single" w:color="auto" w:sz="4" w:space="0"/>
              <w:right w:val="single" w:color="auto" w:sz="4" w:space="0"/>
            </w:tcBorders>
            <w:vAlign w:val="center"/>
          </w:tcPr>
          <w:p w14:paraId="7EE58C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会计基础信息完善性</w:t>
            </w:r>
          </w:p>
        </w:tc>
        <w:tc>
          <w:tcPr>
            <w:tcW w:w="2390" w:type="dxa"/>
            <w:tcBorders>
              <w:top w:val="single" w:color="auto" w:sz="4" w:space="0"/>
              <w:left w:val="single" w:color="auto" w:sz="4" w:space="0"/>
              <w:bottom w:val="single" w:color="auto" w:sz="4" w:space="0"/>
              <w:right w:val="single" w:color="auto" w:sz="4" w:space="0"/>
            </w:tcBorders>
            <w:vAlign w:val="center"/>
          </w:tcPr>
          <w:p w14:paraId="32EB9B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会计基础信息完善</w:t>
            </w:r>
          </w:p>
        </w:tc>
        <w:tc>
          <w:tcPr>
            <w:tcW w:w="3350" w:type="dxa"/>
            <w:tcBorders>
              <w:top w:val="single" w:color="auto" w:sz="4" w:space="0"/>
              <w:left w:val="single" w:color="auto" w:sz="4" w:space="0"/>
              <w:bottom w:val="single" w:color="auto" w:sz="4" w:space="0"/>
              <w:right w:val="single" w:color="auto" w:sz="4" w:space="0"/>
            </w:tcBorders>
            <w:vAlign w:val="center"/>
          </w:tcPr>
          <w:p w14:paraId="6614B0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会计基础信息完善</w:t>
            </w:r>
          </w:p>
        </w:tc>
        <w:tc>
          <w:tcPr>
            <w:tcW w:w="1040" w:type="dxa"/>
            <w:tcBorders>
              <w:top w:val="single" w:color="auto" w:sz="4" w:space="0"/>
              <w:left w:val="single" w:color="auto" w:sz="4" w:space="0"/>
              <w:bottom w:val="single" w:color="auto" w:sz="4" w:space="0"/>
              <w:right w:val="single" w:color="auto" w:sz="4" w:space="0"/>
            </w:tcBorders>
            <w:noWrap/>
            <w:vAlign w:val="center"/>
          </w:tcPr>
          <w:p w14:paraId="3D1A88E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w:t>
            </w:r>
          </w:p>
        </w:tc>
        <w:tc>
          <w:tcPr>
            <w:tcW w:w="2080" w:type="dxa"/>
            <w:tcBorders>
              <w:top w:val="single" w:color="auto" w:sz="4" w:space="0"/>
              <w:left w:val="single" w:color="auto" w:sz="4" w:space="0"/>
              <w:bottom w:val="single" w:color="auto" w:sz="4" w:space="0"/>
              <w:right w:val="single" w:color="auto" w:sz="4" w:space="0"/>
            </w:tcBorders>
            <w:noWrap/>
            <w:vAlign w:val="center"/>
          </w:tcPr>
          <w:p w14:paraId="7DA38B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w:t>
            </w:r>
          </w:p>
        </w:tc>
      </w:tr>
      <w:tr w14:paraId="7842EAE2">
        <w:trPr>
          <w:gridAfter w:val="1"/>
          <w:wAfter w:w="518" w:type="dxa"/>
          <w:trHeight w:val="344"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300C95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14:paraId="7DFD416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资产管理（4）</w:t>
            </w:r>
          </w:p>
        </w:tc>
        <w:tc>
          <w:tcPr>
            <w:tcW w:w="2499" w:type="dxa"/>
            <w:tcBorders>
              <w:top w:val="single" w:color="auto" w:sz="4" w:space="0"/>
              <w:left w:val="single" w:color="auto" w:sz="4" w:space="0"/>
              <w:bottom w:val="single" w:color="auto" w:sz="4" w:space="0"/>
              <w:right w:val="single" w:color="auto" w:sz="4" w:space="0"/>
            </w:tcBorders>
            <w:vAlign w:val="center"/>
          </w:tcPr>
          <w:p w14:paraId="6ACCBB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资产管理规范性</w:t>
            </w:r>
          </w:p>
        </w:tc>
        <w:tc>
          <w:tcPr>
            <w:tcW w:w="2390" w:type="dxa"/>
            <w:tcBorders>
              <w:top w:val="single" w:color="auto" w:sz="4" w:space="0"/>
              <w:left w:val="single" w:color="auto" w:sz="4" w:space="0"/>
              <w:bottom w:val="single" w:color="auto" w:sz="4" w:space="0"/>
              <w:right w:val="single" w:color="auto" w:sz="4" w:space="0"/>
            </w:tcBorders>
            <w:vAlign w:val="center"/>
          </w:tcPr>
          <w:p w14:paraId="75D1BA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资产管理规范</w:t>
            </w:r>
          </w:p>
        </w:tc>
        <w:tc>
          <w:tcPr>
            <w:tcW w:w="3350" w:type="dxa"/>
            <w:tcBorders>
              <w:top w:val="single" w:color="auto" w:sz="4" w:space="0"/>
              <w:left w:val="single" w:color="auto" w:sz="4" w:space="0"/>
              <w:bottom w:val="single" w:color="auto" w:sz="4" w:space="0"/>
              <w:right w:val="single" w:color="auto" w:sz="4" w:space="0"/>
            </w:tcBorders>
            <w:vAlign w:val="center"/>
          </w:tcPr>
          <w:p w14:paraId="2EAD456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资产管理规范</w:t>
            </w:r>
          </w:p>
        </w:tc>
        <w:tc>
          <w:tcPr>
            <w:tcW w:w="1040" w:type="dxa"/>
            <w:tcBorders>
              <w:top w:val="single" w:color="auto" w:sz="4" w:space="0"/>
              <w:left w:val="single" w:color="auto" w:sz="4" w:space="0"/>
              <w:bottom w:val="single" w:color="auto" w:sz="4" w:space="0"/>
              <w:right w:val="single" w:color="auto" w:sz="4" w:space="0"/>
            </w:tcBorders>
            <w:vAlign w:val="center"/>
          </w:tcPr>
          <w:p w14:paraId="5B270A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2080" w:type="dxa"/>
            <w:tcBorders>
              <w:top w:val="single" w:color="auto" w:sz="4" w:space="0"/>
              <w:left w:val="single" w:color="auto" w:sz="4" w:space="0"/>
              <w:bottom w:val="single" w:color="auto" w:sz="4" w:space="0"/>
              <w:right w:val="single" w:color="auto" w:sz="4" w:space="0"/>
            </w:tcBorders>
            <w:vAlign w:val="center"/>
          </w:tcPr>
          <w:p w14:paraId="1E4040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r>
      <w:tr w14:paraId="1AD2F81F">
        <w:trPr>
          <w:gridAfter w:val="1"/>
          <w:wAfter w:w="518" w:type="dxa"/>
          <w:trHeight w:val="562"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7D8BDB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14:paraId="081792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绩效管理（4）</w:t>
            </w:r>
          </w:p>
        </w:tc>
        <w:tc>
          <w:tcPr>
            <w:tcW w:w="2499" w:type="dxa"/>
            <w:tcBorders>
              <w:top w:val="single" w:color="auto" w:sz="4" w:space="0"/>
              <w:left w:val="single" w:color="auto" w:sz="4" w:space="0"/>
              <w:bottom w:val="single" w:color="auto" w:sz="4" w:space="0"/>
              <w:right w:val="single" w:color="auto" w:sz="4" w:space="0"/>
            </w:tcBorders>
            <w:vAlign w:val="center"/>
          </w:tcPr>
          <w:p w14:paraId="0113D0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绩效管理情况</w:t>
            </w:r>
          </w:p>
        </w:tc>
        <w:tc>
          <w:tcPr>
            <w:tcW w:w="2390" w:type="dxa"/>
            <w:tcBorders>
              <w:top w:val="single" w:color="auto" w:sz="4" w:space="0"/>
              <w:left w:val="single" w:color="auto" w:sz="4" w:space="0"/>
              <w:bottom w:val="single" w:color="auto" w:sz="4" w:space="0"/>
              <w:right w:val="single" w:color="auto" w:sz="4" w:space="0"/>
            </w:tcBorders>
            <w:vAlign w:val="center"/>
          </w:tcPr>
          <w:p w14:paraId="16C2657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绩效汇总和应用及时，绩效管理有效</w:t>
            </w:r>
          </w:p>
        </w:tc>
        <w:tc>
          <w:tcPr>
            <w:tcW w:w="3350" w:type="dxa"/>
            <w:tcBorders>
              <w:top w:val="single" w:color="auto" w:sz="4" w:space="0"/>
              <w:left w:val="single" w:color="auto" w:sz="4" w:space="0"/>
              <w:bottom w:val="single" w:color="auto" w:sz="4" w:space="0"/>
              <w:right w:val="single" w:color="auto" w:sz="4" w:space="0"/>
            </w:tcBorders>
            <w:vAlign w:val="center"/>
          </w:tcPr>
          <w:p w14:paraId="443C0E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绩效汇总和应用及时，绩效管理有效</w:t>
            </w:r>
          </w:p>
        </w:tc>
        <w:tc>
          <w:tcPr>
            <w:tcW w:w="1040" w:type="dxa"/>
            <w:tcBorders>
              <w:top w:val="single" w:color="auto" w:sz="4" w:space="0"/>
              <w:left w:val="single" w:color="auto" w:sz="4" w:space="0"/>
              <w:bottom w:val="single" w:color="auto" w:sz="4" w:space="0"/>
              <w:right w:val="single" w:color="auto" w:sz="4" w:space="0"/>
            </w:tcBorders>
            <w:vAlign w:val="center"/>
          </w:tcPr>
          <w:p w14:paraId="2ADEDB1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2080" w:type="dxa"/>
            <w:tcBorders>
              <w:top w:val="single" w:color="auto" w:sz="4" w:space="0"/>
              <w:left w:val="single" w:color="auto" w:sz="4" w:space="0"/>
              <w:bottom w:val="single" w:color="auto" w:sz="4" w:space="0"/>
              <w:right w:val="single" w:color="auto" w:sz="4" w:space="0"/>
            </w:tcBorders>
            <w:vAlign w:val="center"/>
          </w:tcPr>
          <w:p w14:paraId="0C994C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r>
      <w:tr w14:paraId="2C4AADCD">
        <w:trPr>
          <w:gridAfter w:val="1"/>
          <w:wAfter w:w="518" w:type="dxa"/>
          <w:trHeight w:val="280"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6B8C9A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14:paraId="76F47F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指标　</w:t>
            </w:r>
          </w:p>
        </w:tc>
        <w:tc>
          <w:tcPr>
            <w:tcW w:w="4889" w:type="dxa"/>
            <w:gridSpan w:val="2"/>
            <w:tcBorders>
              <w:top w:val="single" w:color="auto" w:sz="4" w:space="0"/>
              <w:left w:val="single" w:color="auto" w:sz="4" w:space="0"/>
              <w:bottom w:val="single" w:color="auto" w:sz="4" w:space="0"/>
              <w:right w:val="single" w:color="auto" w:sz="4" w:space="0"/>
            </w:tcBorders>
            <w:vAlign w:val="center"/>
          </w:tcPr>
          <w:p w14:paraId="7E4137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2023年</w:t>
            </w:r>
          </w:p>
        </w:tc>
        <w:tc>
          <w:tcPr>
            <w:tcW w:w="3350" w:type="dxa"/>
            <w:tcBorders>
              <w:top w:val="single" w:color="auto" w:sz="4" w:space="0"/>
              <w:left w:val="single" w:color="auto" w:sz="4" w:space="0"/>
              <w:bottom w:val="single" w:color="auto" w:sz="4" w:space="0"/>
              <w:right w:val="single" w:color="auto" w:sz="4" w:space="0"/>
            </w:tcBorders>
            <w:vAlign w:val="center"/>
          </w:tcPr>
          <w:p w14:paraId="0083C3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2024年</w:t>
            </w:r>
          </w:p>
        </w:tc>
        <w:tc>
          <w:tcPr>
            <w:tcW w:w="1040" w:type="dxa"/>
            <w:tcBorders>
              <w:top w:val="single" w:color="auto" w:sz="4" w:space="0"/>
              <w:left w:val="single" w:color="auto" w:sz="4" w:space="0"/>
              <w:bottom w:val="single" w:color="auto" w:sz="4" w:space="0"/>
              <w:right w:val="single" w:color="auto" w:sz="4" w:space="0"/>
            </w:tcBorders>
            <w:vAlign w:val="center"/>
          </w:tcPr>
          <w:p w14:paraId="33914F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分值</w:t>
            </w:r>
          </w:p>
        </w:tc>
        <w:tc>
          <w:tcPr>
            <w:tcW w:w="2080" w:type="dxa"/>
            <w:tcBorders>
              <w:top w:val="single" w:color="auto" w:sz="4" w:space="0"/>
              <w:left w:val="single" w:color="auto" w:sz="4" w:space="0"/>
              <w:bottom w:val="single" w:color="auto" w:sz="4" w:space="0"/>
              <w:right w:val="single" w:color="auto" w:sz="4" w:space="0"/>
            </w:tcBorders>
            <w:vAlign w:val="center"/>
          </w:tcPr>
          <w:p w14:paraId="6C1783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得分</w:t>
            </w:r>
          </w:p>
        </w:tc>
      </w:tr>
      <w:tr w14:paraId="18794B6C">
        <w:trPr>
          <w:gridAfter w:val="1"/>
          <w:wAfter w:w="518" w:type="dxa"/>
          <w:trHeight w:val="309"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6C926BC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14:paraId="4A608D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结转结余率（4）</w:t>
            </w:r>
          </w:p>
        </w:tc>
        <w:tc>
          <w:tcPr>
            <w:tcW w:w="4889" w:type="dxa"/>
            <w:gridSpan w:val="2"/>
            <w:tcBorders>
              <w:top w:val="single" w:color="auto" w:sz="4" w:space="0"/>
              <w:left w:val="single" w:color="auto" w:sz="4" w:space="0"/>
              <w:bottom w:val="single" w:color="auto" w:sz="4" w:space="0"/>
              <w:right w:val="single" w:color="auto" w:sz="4" w:space="0"/>
            </w:tcBorders>
            <w:vAlign w:val="center"/>
          </w:tcPr>
          <w:p w14:paraId="19EC3F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highlight w:val="yellow"/>
              </w:rPr>
            </w:pPr>
            <w:r>
              <w:rPr>
                <w:rFonts w:hint="eastAsia" w:ascii="仿宋_GB2312" w:hAnsi="等线" w:eastAsia="仿宋_GB2312" w:cs="宋体"/>
                <w:color w:val="000000"/>
                <w:kern w:val="0"/>
                <w:sz w:val="20"/>
                <w:szCs w:val="20"/>
                <w:highlight w:val="none"/>
              </w:rPr>
              <w:t>9.22%</w:t>
            </w:r>
          </w:p>
        </w:tc>
        <w:tc>
          <w:tcPr>
            <w:tcW w:w="3350" w:type="dxa"/>
            <w:tcBorders>
              <w:top w:val="single" w:color="auto" w:sz="4" w:space="0"/>
              <w:left w:val="single" w:color="auto" w:sz="4" w:space="0"/>
              <w:bottom w:val="single" w:color="auto" w:sz="4" w:space="0"/>
              <w:right w:val="single" w:color="auto" w:sz="4" w:space="0"/>
            </w:tcBorders>
            <w:vAlign w:val="center"/>
          </w:tcPr>
          <w:p w14:paraId="1A5ECC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highlight w:val="yellow"/>
              </w:rPr>
            </w:pPr>
            <w:r>
              <w:rPr>
                <w:rFonts w:hint="eastAsia" w:ascii="仿宋_GB2312" w:hAnsi="等线" w:eastAsia="仿宋_GB2312" w:cs="宋体"/>
                <w:color w:val="auto"/>
                <w:kern w:val="0"/>
                <w:sz w:val="20"/>
                <w:szCs w:val="20"/>
                <w:highlight w:val="none"/>
              </w:rPr>
              <w:t>7.98%</w:t>
            </w:r>
          </w:p>
        </w:tc>
        <w:tc>
          <w:tcPr>
            <w:tcW w:w="1040" w:type="dxa"/>
            <w:tcBorders>
              <w:top w:val="single" w:color="auto" w:sz="4" w:space="0"/>
              <w:left w:val="single" w:color="auto" w:sz="4" w:space="0"/>
              <w:bottom w:val="single" w:color="auto" w:sz="4" w:space="0"/>
              <w:right w:val="single" w:color="auto" w:sz="4" w:space="0"/>
            </w:tcBorders>
            <w:vAlign w:val="center"/>
          </w:tcPr>
          <w:p w14:paraId="55F838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2080" w:type="dxa"/>
            <w:tcBorders>
              <w:top w:val="single" w:color="auto" w:sz="4" w:space="0"/>
              <w:left w:val="single" w:color="auto" w:sz="4" w:space="0"/>
              <w:bottom w:val="single" w:color="auto" w:sz="4" w:space="0"/>
              <w:right w:val="single" w:color="auto" w:sz="4" w:space="0"/>
            </w:tcBorders>
            <w:vAlign w:val="center"/>
          </w:tcPr>
          <w:p w14:paraId="61B9B9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r>
      <w:tr w14:paraId="7174CAF5">
        <w:trPr>
          <w:trHeight w:val="524"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14:paraId="2E4C19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等线" w:eastAsia="仿宋_GB2312" w:cs="宋体"/>
                <w:color w:val="000000"/>
                <w:kern w:val="0"/>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14:paraId="549FF9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部门预决算</w:t>
            </w:r>
          </w:p>
          <w:p w14:paraId="7D53AC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差异率（4）</w:t>
            </w:r>
          </w:p>
        </w:tc>
        <w:tc>
          <w:tcPr>
            <w:tcW w:w="4889" w:type="dxa"/>
            <w:gridSpan w:val="2"/>
            <w:tcBorders>
              <w:top w:val="single" w:color="auto" w:sz="4" w:space="0"/>
              <w:left w:val="single" w:color="auto" w:sz="4" w:space="0"/>
              <w:bottom w:val="single" w:color="auto" w:sz="4" w:space="0"/>
              <w:right w:val="single" w:color="auto" w:sz="4" w:space="0"/>
            </w:tcBorders>
            <w:vAlign w:val="center"/>
          </w:tcPr>
          <w:p w14:paraId="6F16C6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8.66%</w:t>
            </w:r>
          </w:p>
        </w:tc>
        <w:tc>
          <w:tcPr>
            <w:tcW w:w="3350" w:type="dxa"/>
            <w:tcBorders>
              <w:top w:val="single" w:color="auto" w:sz="4" w:space="0"/>
              <w:left w:val="single" w:color="auto" w:sz="4" w:space="0"/>
              <w:bottom w:val="single" w:color="auto" w:sz="4" w:space="0"/>
              <w:right w:val="single" w:color="auto" w:sz="4" w:space="0"/>
            </w:tcBorders>
            <w:vAlign w:val="center"/>
          </w:tcPr>
          <w:p w14:paraId="36CAB4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11.69%</w:t>
            </w:r>
          </w:p>
        </w:tc>
        <w:tc>
          <w:tcPr>
            <w:tcW w:w="1040" w:type="dxa"/>
            <w:tcBorders>
              <w:top w:val="single" w:color="auto" w:sz="4" w:space="0"/>
              <w:left w:val="single" w:color="auto" w:sz="4" w:space="0"/>
              <w:bottom w:val="single" w:color="auto" w:sz="4" w:space="0"/>
              <w:right w:val="single" w:color="auto" w:sz="4" w:space="0"/>
            </w:tcBorders>
            <w:vAlign w:val="center"/>
          </w:tcPr>
          <w:p w14:paraId="3F77DC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4</w:t>
            </w:r>
          </w:p>
        </w:tc>
        <w:tc>
          <w:tcPr>
            <w:tcW w:w="2080" w:type="dxa"/>
            <w:tcBorders>
              <w:top w:val="single" w:color="auto" w:sz="4" w:space="0"/>
              <w:left w:val="single" w:color="auto" w:sz="4" w:space="0"/>
              <w:bottom w:val="single" w:color="auto" w:sz="4" w:space="0"/>
              <w:right w:val="single" w:color="auto" w:sz="4" w:space="0"/>
            </w:tcBorders>
            <w:vAlign w:val="center"/>
          </w:tcPr>
          <w:p w14:paraId="324CF4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rPr>
            </w:pPr>
            <w:r>
              <w:rPr>
                <w:rFonts w:hint="eastAsia" w:ascii="仿宋_GB2312" w:hAnsi="等线" w:eastAsia="仿宋_GB2312" w:cs="宋体"/>
                <w:color w:val="000000"/>
                <w:kern w:val="0"/>
                <w:sz w:val="20"/>
                <w:szCs w:val="20"/>
              </w:rPr>
              <w:t>2.8</w:t>
            </w:r>
          </w:p>
        </w:tc>
        <w:tc>
          <w:tcPr>
            <w:tcW w:w="518" w:type="dxa"/>
            <w:vAlign w:val="center"/>
          </w:tcPr>
          <w:p w14:paraId="59CFC49C">
            <w:pPr>
              <w:widowControl/>
              <w:spacing w:line="440" w:lineRule="exact"/>
              <w:jc w:val="left"/>
            </w:pPr>
          </w:p>
          <w:p w14:paraId="7DF40E93">
            <w:pPr>
              <w:pStyle w:val="2"/>
            </w:pPr>
          </w:p>
        </w:tc>
      </w:tr>
      <w:tr w14:paraId="273F740D">
        <w:trPr>
          <w:trHeight w:val="458" w:hRule="atLeast"/>
        </w:trPr>
        <w:tc>
          <w:tcPr>
            <w:tcW w:w="11500" w:type="dxa"/>
            <w:gridSpan w:val="5"/>
            <w:tcBorders>
              <w:top w:val="single" w:color="auto" w:sz="4" w:space="0"/>
              <w:left w:val="single" w:color="auto" w:sz="4" w:space="0"/>
              <w:bottom w:val="single" w:color="auto" w:sz="4" w:space="0"/>
              <w:right w:val="single" w:color="auto" w:sz="4" w:space="0"/>
            </w:tcBorders>
            <w:vAlign w:val="center"/>
          </w:tcPr>
          <w:p w14:paraId="380748D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等线" w:eastAsia="仿宋_GB2312" w:cs="宋体"/>
                <w:color w:val="000000"/>
                <w:kern w:val="0"/>
                <w:sz w:val="20"/>
                <w:szCs w:val="20"/>
                <w:lang w:eastAsia="zh-CN"/>
              </w:rPr>
            </w:pPr>
            <w:r>
              <w:rPr>
                <w:rFonts w:hint="eastAsia" w:ascii="仿宋_GB2312" w:hAnsi="等线" w:eastAsia="仿宋_GB2312" w:cs="宋体"/>
                <w:color w:val="000000"/>
                <w:kern w:val="0"/>
                <w:sz w:val="20"/>
                <w:szCs w:val="20"/>
                <w:lang w:eastAsia="zh-CN"/>
              </w:rPr>
              <w:t>合计</w:t>
            </w:r>
          </w:p>
        </w:tc>
        <w:tc>
          <w:tcPr>
            <w:tcW w:w="1040" w:type="dxa"/>
            <w:tcBorders>
              <w:top w:val="single" w:color="auto" w:sz="4" w:space="0"/>
              <w:left w:val="single" w:color="auto" w:sz="4" w:space="0"/>
              <w:bottom w:val="single" w:color="auto" w:sz="4" w:space="0"/>
              <w:right w:val="single" w:color="auto" w:sz="4" w:space="0"/>
            </w:tcBorders>
            <w:vAlign w:val="center"/>
          </w:tcPr>
          <w:p w14:paraId="07AD51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等线" w:eastAsia="仿宋_GB2312" w:cs="宋体"/>
                <w:color w:val="000000"/>
                <w:kern w:val="0"/>
                <w:sz w:val="20"/>
                <w:szCs w:val="20"/>
                <w:lang w:val="en-US" w:eastAsia="zh-CN"/>
              </w:rPr>
            </w:pPr>
            <w:r>
              <w:rPr>
                <w:rFonts w:hint="eastAsia" w:ascii="仿宋_GB2312" w:hAnsi="等线" w:eastAsia="仿宋_GB2312" w:cs="宋体"/>
                <w:color w:val="000000"/>
                <w:kern w:val="0"/>
                <w:sz w:val="20"/>
                <w:szCs w:val="20"/>
                <w:lang w:val="en-US" w:eastAsia="zh-CN"/>
              </w:rPr>
              <w:t>100</w:t>
            </w:r>
          </w:p>
        </w:tc>
        <w:tc>
          <w:tcPr>
            <w:tcW w:w="2080" w:type="dxa"/>
            <w:tcBorders>
              <w:top w:val="single" w:color="auto" w:sz="4" w:space="0"/>
              <w:left w:val="single" w:color="auto" w:sz="4" w:space="0"/>
              <w:bottom w:val="single" w:color="auto" w:sz="4" w:space="0"/>
              <w:right w:val="single" w:color="auto" w:sz="4" w:space="0"/>
            </w:tcBorders>
            <w:vAlign w:val="center"/>
          </w:tcPr>
          <w:p w14:paraId="3F5B70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等线" w:eastAsia="仿宋_GB2312" w:cs="宋体"/>
                <w:color w:val="000000"/>
                <w:kern w:val="0"/>
                <w:sz w:val="20"/>
                <w:szCs w:val="20"/>
                <w:lang w:val="en-US" w:eastAsia="zh-CN"/>
              </w:rPr>
            </w:pPr>
            <w:r>
              <w:rPr>
                <w:rFonts w:hint="eastAsia" w:ascii="仿宋_GB2312" w:hAnsi="等线" w:eastAsia="仿宋_GB2312" w:cs="宋体"/>
                <w:color w:val="000000"/>
                <w:kern w:val="0"/>
                <w:sz w:val="20"/>
                <w:szCs w:val="20"/>
                <w:lang w:val="en-US" w:eastAsia="zh-CN"/>
              </w:rPr>
              <w:t>92.63</w:t>
            </w:r>
          </w:p>
        </w:tc>
        <w:tc>
          <w:tcPr>
            <w:tcW w:w="518" w:type="dxa"/>
            <w:vAlign w:val="center"/>
          </w:tcPr>
          <w:p w14:paraId="5A9D4EAE">
            <w:pPr>
              <w:pStyle w:val="2"/>
            </w:pPr>
          </w:p>
        </w:tc>
      </w:tr>
    </w:tbl>
    <w:p w14:paraId="2C52338E">
      <w:pPr>
        <w:spacing w:line="440" w:lineRule="exact"/>
        <w:rPr>
          <w:rFonts w:ascii="方正小标宋简体" w:eastAsia="方正小标宋简体"/>
          <w:sz w:val="36"/>
          <w:szCs w:val="36"/>
        </w:rPr>
      </w:pPr>
    </w:p>
    <w:sectPr>
      <w:footerReference r:id="rId5"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NanumGothic">
    <w:panose1 w:val="020D0604000000000000"/>
    <w:charset w:val="81"/>
    <w:family w:val="auto"/>
    <w:pitch w:val="default"/>
    <w:sig w:usb0="900002A7" w:usb1="29D7FCFB" w:usb2="00000010" w:usb3="00000000" w:csb0="00080001"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D65AE">
    <w:pPr>
      <w:pStyle w:val="6"/>
      <w:ind w:firstLine="360"/>
      <w:jc w:val="center"/>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161EA">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A161EA">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9BDF5">
    <w:pPr>
      <w:pStyle w:val="6"/>
      <w:ind w:firstLine="360"/>
      <w:jc w:val="center"/>
      <w:rPr>
        <w:sz w:val="21"/>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A73B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69A73B7">
                    <w:pPr>
                      <w:pStyle w:val="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FA1E4A">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4FA1E4A">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12098">
    <w:pPr>
      <w:pStyle w:val="6"/>
      <w:jc w:val="right"/>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AEE7F">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F3AEE7F">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A5C56"/>
    <w:multiLevelType w:val="singleLevel"/>
    <w:tmpl w:val="ACEA5C56"/>
    <w:lvl w:ilvl="0" w:tentative="0">
      <w:start w:val="2"/>
      <w:numFmt w:val="chineseCounting"/>
      <w:suff w:val="nothing"/>
      <w:lvlText w:val="（%1）"/>
      <w:lvlJc w:val="left"/>
      <w:rPr>
        <w:rFonts w:hint="eastAsia"/>
      </w:rPr>
    </w:lvl>
  </w:abstractNum>
  <w:abstractNum w:abstractNumId="1">
    <w:nsid w:val="CBB7C2BA"/>
    <w:multiLevelType w:val="singleLevel"/>
    <w:tmpl w:val="CBB7C2BA"/>
    <w:lvl w:ilvl="0" w:tentative="0">
      <w:start w:val="2"/>
      <w:numFmt w:val="decimal"/>
      <w:suff w:val="nothing"/>
      <w:lvlText w:val="（%1）"/>
      <w:lvlJc w:val="left"/>
    </w:lvl>
  </w:abstractNum>
  <w:abstractNum w:abstractNumId="2">
    <w:nsid w:val="305E9C27"/>
    <w:multiLevelType w:val="singleLevel"/>
    <w:tmpl w:val="305E9C27"/>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77F09F4"/>
    <w:rsid w:val="00074D19"/>
    <w:rsid w:val="000927AE"/>
    <w:rsid w:val="000B361C"/>
    <w:rsid w:val="000C0B50"/>
    <w:rsid w:val="00176486"/>
    <w:rsid w:val="001B55AE"/>
    <w:rsid w:val="001F1A86"/>
    <w:rsid w:val="00230535"/>
    <w:rsid w:val="00242080"/>
    <w:rsid w:val="00313485"/>
    <w:rsid w:val="00337FD1"/>
    <w:rsid w:val="003740A8"/>
    <w:rsid w:val="003C7A6C"/>
    <w:rsid w:val="003F287B"/>
    <w:rsid w:val="00455459"/>
    <w:rsid w:val="004B0D73"/>
    <w:rsid w:val="004D63A8"/>
    <w:rsid w:val="004F4F4C"/>
    <w:rsid w:val="00500504"/>
    <w:rsid w:val="00527DE2"/>
    <w:rsid w:val="005547A3"/>
    <w:rsid w:val="00590689"/>
    <w:rsid w:val="00601ECB"/>
    <w:rsid w:val="00620012"/>
    <w:rsid w:val="0063118E"/>
    <w:rsid w:val="00676731"/>
    <w:rsid w:val="006E0F56"/>
    <w:rsid w:val="006E2E53"/>
    <w:rsid w:val="00722BBF"/>
    <w:rsid w:val="007A780E"/>
    <w:rsid w:val="007B2055"/>
    <w:rsid w:val="00895657"/>
    <w:rsid w:val="00945781"/>
    <w:rsid w:val="0095687C"/>
    <w:rsid w:val="00964E61"/>
    <w:rsid w:val="009710EB"/>
    <w:rsid w:val="00A87171"/>
    <w:rsid w:val="00B05E9B"/>
    <w:rsid w:val="00B332EF"/>
    <w:rsid w:val="00C24EB6"/>
    <w:rsid w:val="00C34D52"/>
    <w:rsid w:val="00C6224E"/>
    <w:rsid w:val="00C65728"/>
    <w:rsid w:val="00C67B29"/>
    <w:rsid w:val="00CF5500"/>
    <w:rsid w:val="00D02B71"/>
    <w:rsid w:val="00D80F8A"/>
    <w:rsid w:val="00DE1BE7"/>
    <w:rsid w:val="00E0007F"/>
    <w:rsid w:val="00E26A5A"/>
    <w:rsid w:val="00E613A1"/>
    <w:rsid w:val="00E639B6"/>
    <w:rsid w:val="00EC1D0C"/>
    <w:rsid w:val="00EF28E0"/>
    <w:rsid w:val="00F33F33"/>
    <w:rsid w:val="00F64753"/>
    <w:rsid w:val="00F739D9"/>
    <w:rsid w:val="00FE6C8A"/>
    <w:rsid w:val="00FF72C6"/>
    <w:rsid w:val="01042CD0"/>
    <w:rsid w:val="01BD7A4F"/>
    <w:rsid w:val="01E054EB"/>
    <w:rsid w:val="01E66FA5"/>
    <w:rsid w:val="01EE6C6F"/>
    <w:rsid w:val="025D4D8E"/>
    <w:rsid w:val="02D36DFE"/>
    <w:rsid w:val="02E579CC"/>
    <w:rsid w:val="03015719"/>
    <w:rsid w:val="03483348"/>
    <w:rsid w:val="03884779"/>
    <w:rsid w:val="03D91E8E"/>
    <w:rsid w:val="040E6340"/>
    <w:rsid w:val="044C6E68"/>
    <w:rsid w:val="045B75D1"/>
    <w:rsid w:val="0466617C"/>
    <w:rsid w:val="048E122E"/>
    <w:rsid w:val="04E470A0"/>
    <w:rsid w:val="04FC4223"/>
    <w:rsid w:val="051931EE"/>
    <w:rsid w:val="051F3A74"/>
    <w:rsid w:val="05DD523E"/>
    <w:rsid w:val="05E80E12"/>
    <w:rsid w:val="06093F5C"/>
    <w:rsid w:val="067B3A34"/>
    <w:rsid w:val="068B6266"/>
    <w:rsid w:val="07290273"/>
    <w:rsid w:val="07846919"/>
    <w:rsid w:val="07FE0B88"/>
    <w:rsid w:val="08404F36"/>
    <w:rsid w:val="08EE4992"/>
    <w:rsid w:val="095962AF"/>
    <w:rsid w:val="095F13EB"/>
    <w:rsid w:val="095F4AC7"/>
    <w:rsid w:val="0A0A1357"/>
    <w:rsid w:val="0A2C751F"/>
    <w:rsid w:val="0AD656DD"/>
    <w:rsid w:val="0AEE6ECB"/>
    <w:rsid w:val="0AF37145"/>
    <w:rsid w:val="0B896BF3"/>
    <w:rsid w:val="0C534088"/>
    <w:rsid w:val="0C79216A"/>
    <w:rsid w:val="0CB952B6"/>
    <w:rsid w:val="0D441024"/>
    <w:rsid w:val="0DC45CC1"/>
    <w:rsid w:val="0E0013EF"/>
    <w:rsid w:val="0E4D215A"/>
    <w:rsid w:val="0F3D3CB9"/>
    <w:rsid w:val="0F5A0FAF"/>
    <w:rsid w:val="0F5F3E9F"/>
    <w:rsid w:val="0F6C6610"/>
    <w:rsid w:val="0FD04DF1"/>
    <w:rsid w:val="10086339"/>
    <w:rsid w:val="10A0102D"/>
    <w:rsid w:val="10D10E21"/>
    <w:rsid w:val="10D34B99"/>
    <w:rsid w:val="117D7C50"/>
    <w:rsid w:val="11AA6125"/>
    <w:rsid w:val="11D0267F"/>
    <w:rsid w:val="12851EC3"/>
    <w:rsid w:val="12883761"/>
    <w:rsid w:val="12993BC0"/>
    <w:rsid w:val="12CD5052"/>
    <w:rsid w:val="12D270D2"/>
    <w:rsid w:val="132D4308"/>
    <w:rsid w:val="13AE5449"/>
    <w:rsid w:val="13E42C19"/>
    <w:rsid w:val="13F53CF5"/>
    <w:rsid w:val="141161D6"/>
    <w:rsid w:val="14223741"/>
    <w:rsid w:val="143D7A3F"/>
    <w:rsid w:val="1447413B"/>
    <w:rsid w:val="146E6986"/>
    <w:rsid w:val="148B12E6"/>
    <w:rsid w:val="14EF2155"/>
    <w:rsid w:val="14F275B8"/>
    <w:rsid w:val="14F524A7"/>
    <w:rsid w:val="153C56CB"/>
    <w:rsid w:val="155E2E9F"/>
    <w:rsid w:val="15910B7E"/>
    <w:rsid w:val="16467BBB"/>
    <w:rsid w:val="16CE195E"/>
    <w:rsid w:val="16DF6C6B"/>
    <w:rsid w:val="17123F41"/>
    <w:rsid w:val="171C6B6E"/>
    <w:rsid w:val="174F0F7F"/>
    <w:rsid w:val="175F53D8"/>
    <w:rsid w:val="17BF0834"/>
    <w:rsid w:val="185F4F64"/>
    <w:rsid w:val="18626802"/>
    <w:rsid w:val="186303F5"/>
    <w:rsid w:val="18CF1977"/>
    <w:rsid w:val="18D07C10"/>
    <w:rsid w:val="192561AE"/>
    <w:rsid w:val="1926097F"/>
    <w:rsid w:val="19287A4C"/>
    <w:rsid w:val="19B66E06"/>
    <w:rsid w:val="1A0758B3"/>
    <w:rsid w:val="1A0A647D"/>
    <w:rsid w:val="1A3010E9"/>
    <w:rsid w:val="1A381F10"/>
    <w:rsid w:val="1A3969E3"/>
    <w:rsid w:val="1A890B80"/>
    <w:rsid w:val="1AC8400A"/>
    <w:rsid w:val="1ACB068F"/>
    <w:rsid w:val="1AD03EF7"/>
    <w:rsid w:val="1AE36CE9"/>
    <w:rsid w:val="1AE654C9"/>
    <w:rsid w:val="1AF5395E"/>
    <w:rsid w:val="1B026D4D"/>
    <w:rsid w:val="1B09565B"/>
    <w:rsid w:val="1B593EEC"/>
    <w:rsid w:val="1B5F602D"/>
    <w:rsid w:val="1B613916"/>
    <w:rsid w:val="1B7E301A"/>
    <w:rsid w:val="1BB750B7"/>
    <w:rsid w:val="1BC815C6"/>
    <w:rsid w:val="1C244116"/>
    <w:rsid w:val="1C2F4C4D"/>
    <w:rsid w:val="1C3404B6"/>
    <w:rsid w:val="1C8431EB"/>
    <w:rsid w:val="1CBF06C7"/>
    <w:rsid w:val="1CDF0421"/>
    <w:rsid w:val="1CE67A02"/>
    <w:rsid w:val="1D9A3137"/>
    <w:rsid w:val="1DA327A4"/>
    <w:rsid w:val="1DA3420F"/>
    <w:rsid w:val="1DC04F3D"/>
    <w:rsid w:val="1F491CFE"/>
    <w:rsid w:val="1FB10F2F"/>
    <w:rsid w:val="1FBA5176"/>
    <w:rsid w:val="1FD44489"/>
    <w:rsid w:val="1FE415CA"/>
    <w:rsid w:val="1FF00B97"/>
    <w:rsid w:val="200A7EAB"/>
    <w:rsid w:val="207E49DB"/>
    <w:rsid w:val="20C4005A"/>
    <w:rsid w:val="20EA7CA2"/>
    <w:rsid w:val="20F46EF1"/>
    <w:rsid w:val="21103286"/>
    <w:rsid w:val="213953F3"/>
    <w:rsid w:val="213D14CE"/>
    <w:rsid w:val="219914E7"/>
    <w:rsid w:val="227F51D8"/>
    <w:rsid w:val="22E83DA8"/>
    <w:rsid w:val="23425BAE"/>
    <w:rsid w:val="235F0836"/>
    <w:rsid w:val="23742375"/>
    <w:rsid w:val="238E0DF3"/>
    <w:rsid w:val="23D83E1C"/>
    <w:rsid w:val="23DE057E"/>
    <w:rsid w:val="241F1A4B"/>
    <w:rsid w:val="24247062"/>
    <w:rsid w:val="24741917"/>
    <w:rsid w:val="24A106B2"/>
    <w:rsid w:val="253A4D8F"/>
    <w:rsid w:val="25E604AB"/>
    <w:rsid w:val="265E685B"/>
    <w:rsid w:val="268D0EEE"/>
    <w:rsid w:val="270E7C35"/>
    <w:rsid w:val="27216F98"/>
    <w:rsid w:val="27354315"/>
    <w:rsid w:val="27547C5E"/>
    <w:rsid w:val="27C44DE4"/>
    <w:rsid w:val="28164F13"/>
    <w:rsid w:val="2818512F"/>
    <w:rsid w:val="287E1436"/>
    <w:rsid w:val="287E19B4"/>
    <w:rsid w:val="290A2CCA"/>
    <w:rsid w:val="2913263A"/>
    <w:rsid w:val="29385A89"/>
    <w:rsid w:val="2959266F"/>
    <w:rsid w:val="2A4B17EC"/>
    <w:rsid w:val="2A5C1303"/>
    <w:rsid w:val="2B1A2B1A"/>
    <w:rsid w:val="2B1C4F36"/>
    <w:rsid w:val="2B230073"/>
    <w:rsid w:val="2BC35E3C"/>
    <w:rsid w:val="2BCD6194"/>
    <w:rsid w:val="2C2440A3"/>
    <w:rsid w:val="2C624BCB"/>
    <w:rsid w:val="2C9C632F"/>
    <w:rsid w:val="2CAB6572"/>
    <w:rsid w:val="2D360531"/>
    <w:rsid w:val="2D732A5F"/>
    <w:rsid w:val="2DCA6ECC"/>
    <w:rsid w:val="2DFD2DFD"/>
    <w:rsid w:val="2E426A62"/>
    <w:rsid w:val="2E8E614B"/>
    <w:rsid w:val="2F860BD0"/>
    <w:rsid w:val="2FC22DE5"/>
    <w:rsid w:val="30400A72"/>
    <w:rsid w:val="30CE028F"/>
    <w:rsid w:val="30D065A7"/>
    <w:rsid w:val="30D55668"/>
    <w:rsid w:val="30F71D86"/>
    <w:rsid w:val="31441D82"/>
    <w:rsid w:val="315B2A15"/>
    <w:rsid w:val="31DB16A7"/>
    <w:rsid w:val="320E382B"/>
    <w:rsid w:val="32244DFC"/>
    <w:rsid w:val="322644C6"/>
    <w:rsid w:val="325167F3"/>
    <w:rsid w:val="325B6344"/>
    <w:rsid w:val="33633703"/>
    <w:rsid w:val="33B13BDF"/>
    <w:rsid w:val="34AC1C3A"/>
    <w:rsid w:val="34F7095C"/>
    <w:rsid w:val="35756028"/>
    <w:rsid w:val="35BE10C4"/>
    <w:rsid w:val="362126F8"/>
    <w:rsid w:val="365B6913"/>
    <w:rsid w:val="365E4655"/>
    <w:rsid w:val="369576CB"/>
    <w:rsid w:val="36981915"/>
    <w:rsid w:val="37173543"/>
    <w:rsid w:val="376B56A8"/>
    <w:rsid w:val="378123A9"/>
    <w:rsid w:val="37A10C9D"/>
    <w:rsid w:val="3815154C"/>
    <w:rsid w:val="38284F1B"/>
    <w:rsid w:val="384974CE"/>
    <w:rsid w:val="38A65E3F"/>
    <w:rsid w:val="38F80D91"/>
    <w:rsid w:val="396E55CE"/>
    <w:rsid w:val="397B72CC"/>
    <w:rsid w:val="3A4F2C33"/>
    <w:rsid w:val="3A8848F5"/>
    <w:rsid w:val="3ABB14ED"/>
    <w:rsid w:val="3AD1189A"/>
    <w:rsid w:val="3B516536"/>
    <w:rsid w:val="3B5878C5"/>
    <w:rsid w:val="3B8763FC"/>
    <w:rsid w:val="3BA23236"/>
    <w:rsid w:val="3BE473AB"/>
    <w:rsid w:val="3BF90B67"/>
    <w:rsid w:val="3C025A83"/>
    <w:rsid w:val="3C2105FF"/>
    <w:rsid w:val="3CBC0706"/>
    <w:rsid w:val="3CEF24AB"/>
    <w:rsid w:val="3D001FC2"/>
    <w:rsid w:val="3D057007"/>
    <w:rsid w:val="3DE2791A"/>
    <w:rsid w:val="3E6F38A3"/>
    <w:rsid w:val="3E9450B8"/>
    <w:rsid w:val="3EDFB2CE"/>
    <w:rsid w:val="3EED7B31"/>
    <w:rsid w:val="3F010273"/>
    <w:rsid w:val="3F744EE9"/>
    <w:rsid w:val="3F7B1DD4"/>
    <w:rsid w:val="3FB85717"/>
    <w:rsid w:val="3FDBA076"/>
    <w:rsid w:val="3FDFB3F0"/>
    <w:rsid w:val="3FDFC9A6"/>
    <w:rsid w:val="3FF76880"/>
    <w:rsid w:val="3FFE6A08"/>
    <w:rsid w:val="4061546E"/>
    <w:rsid w:val="406311E6"/>
    <w:rsid w:val="408D1798"/>
    <w:rsid w:val="40E165AE"/>
    <w:rsid w:val="40E84067"/>
    <w:rsid w:val="41546D80"/>
    <w:rsid w:val="419453CF"/>
    <w:rsid w:val="42D77C69"/>
    <w:rsid w:val="42E126F9"/>
    <w:rsid w:val="42E87780"/>
    <w:rsid w:val="432B58BF"/>
    <w:rsid w:val="43790D20"/>
    <w:rsid w:val="43917E18"/>
    <w:rsid w:val="44782D86"/>
    <w:rsid w:val="44D426B2"/>
    <w:rsid w:val="44EE129A"/>
    <w:rsid w:val="450308A1"/>
    <w:rsid w:val="45615E09"/>
    <w:rsid w:val="45931FC2"/>
    <w:rsid w:val="459731A6"/>
    <w:rsid w:val="45B9250C"/>
    <w:rsid w:val="45C1250B"/>
    <w:rsid w:val="45CF4C28"/>
    <w:rsid w:val="45DB537A"/>
    <w:rsid w:val="45F62BED"/>
    <w:rsid w:val="46195EA3"/>
    <w:rsid w:val="46657E59"/>
    <w:rsid w:val="467F4346"/>
    <w:rsid w:val="469E7B00"/>
    <w:rsid w:val="46B72175"/>
    <w:rsid w:val="46FD7795"/>
    <w:rsid w:val="47084895"/>
    <w:rsid w:val="4749664A"/>
    <w:rsid w:val="47557BFD"/>
    <w:rsid w:val="48362D3C"/>
    <w:rsid w:val="48684EBF"/>
    <w:rsid w:val="48693111"/>
    <w:rsid w:val="487E491C"/>
    <w:rsid w:val="48CF322E"/>
    <w:rsid w:val="48D80297"/>
    <w:rsid w:val="48FC6BB9"/>
    <w:rsid w:val="48FD1AAC"/>
    <w:rsid w:val="49640E4D"/>
    <w:rsid w:val="496B6655"/>
    <w:rsid w:val="498F4DFA"/>
    <w:rsid w:val="49951CE4"/>
    <w:rsid w:val="49E61432"/>
    <w:rsid w:val="4A526BA5"/>
    <w:rsid w:val="4A5B2F2E"/>
    <w:rsid w:val="4A897A9B"/>
    <w:rsid w:val="4A8A3813"/>
    <w:rsid w:val="4AFE12AB"/>
    <w:rsid w:val="4B090BDC"/>
    <w:rsid w:val="4B2D6A25"/>
    <w:rsid w:val="4C8147A2"/>
    <w:rsid w:val="4CDB2104"/>
    <w:rsid w:val="4CE54D31"/>
    <w:rsid w:val="4D0C3B83"/>
    <w:rsid w:val="4D16138E"/>
    <w:rsid w:val="4D170CC0"/>
    <w:rsid w:val="4E28581D"/>
    <w:rsid w:val="4E2A50F1"/>
    <w:rsid w:val="4E3E294A"/>
    <w:rsid w:val="4E726A98"/>
    <w:rsid w:val="4EB62E28"/>
    <w:rsid w:val="4EB81433"/>
    <w:rsid w:val="4ED11A10"/>
    <w:rsid w:val="4F0F42E7"/>
    <w:rsid w:val="4F4C72E9"/>
    <w:rsid w:val="4F5252CE"/>
    <w:rsid w:val="4F8B4EB4"/>
    <w:rsid w:val="4F9071D6"/>
    <w:rsid w:val="4FB42A77"/>
    <w:rsid w:val="50487D45"/>
    <w:rsid w:val="50502E09"/>
    <w:rsid w:val="50966A6E"/>
    <w:rsid w:val="50DE6667"/>
    <w:rsid w:val="510E0CFA"/>
    <w:rsid w:val="51136310"/>
    <w:rsid w:val="51272F3F"/>
    <w:rsid w:val="514F4E6E"/>
    <w:rsid w:val="515F3303"/>
    <w:rsid w:val="51B81CB4"/>
    <w:rsid w:val="523A167B"/>
    <w:rsid w:val="528D3EA0"/>
    <w:rsid w:val="52E1299F"/>
    <w:rsid w:val="53446E3B"/>
    <w:rsid w:val="538452A3"/>
    <w:rsid w:val="53B86CFB"/>
    <w:rsid w:val="53FC12DE"/>
    <w:rsid w:val="541D74A6"/>
    <w:rsid w:val="54387E3C"/>
    <w:rsid w:val="54414F42"/>
    <w:rsid w:val="54505185"/>
    <w:rsid w:val="54616E8E"/>
    <w:rsid w:val="546724CF"/>
    <w:rsid w:val="54A356F8"/>
    <w:rsid w:val="54B509EE"/>
    <w:rsid w:val="54CE6C00"/>
    <w:rsid w:val="54E16725"/>
    <w:rsid w:val="54ED3248"/>
    <w:rsid w:val="550A156F"/>
    <w:rsid w:val="55172147"/>
    <w:rsid w:val="55350B89"/>
    <w:rsid w:val="55C027DF"/>
    <w:rsid w:val="567A32F2"/>
    <w:rsid w:val="56B440F1"/>
    <w:rsid w:val="56F049FE"/>
    <w:rsid w:val="572B4730"/>
    <w:rsid w:val="573963A5"/>
    <w:rsid w:val="574F428D"/>
    <w:rsid w:val="58224F3B"/>
    <w:rsid w:val="583F0C61"/>
    <w:rsid w:val="5919023C"/>
    <w:rsid w:val="593C3F2A"/>
    <w:rsid w:val="59A65848"/>
    <w:rsid w:val="59AD307A"/>
    <w:rsid w:val="59F20A8D"/>
    <w:rsid w:val="5A694E22"/>
    <w:rsid w:val="5AB02E22"/>
    <w:rsid w:val="5B595267"/>
    <w:rsid w:val="5B6065F6"/>
    <w:rsid w:val="5B637E94"/>
    <w:rsid w:val="5B8F6EDB"/>
    <w:rsid w:val="5BA069F2"/>
    <w:rsid w:val="5BFD4AC2"/>
    <w:rsid w:val="5C0056E3"/>
    <w:rsid w:val="5C063094"/>
    <w:rsid w:val="5D487342"/>
    <w:rsid w:val="5D641CA2"/>
    <w:rsid w:val="5D961626"/>
    <w:rsid w:val="5DB669A1"/>
    <w:rsid w:val="5DF70D68"/>
    <w:rsid w:val="5E374831"/>
    <w:rsid w:val="5E532442"/>
    <w:rsid w:val="5E8F76F1"/>
    <w:rsid w:val="5EC7698C"/>
    <w:rsid w:val="5ED94EE3"/>
    <w:rsid w:val="5EF01A3F"/>
    <w:rsid w:val="5F025C16"/>
    <w:rsid w:val="5F2E2567"/>
    <w:rsid w:val="5F4D6EE2"/>
    <w:rsid w:val="5F7C7776"/>
    <w:rsid w:val="5F853CDF"/>
    <w:rsid w:val="5F9A7BFD"/>
    <w:rsid w:val="5FBFB3BD"/>
    <w:rsid w:val="5FC30F01"/>
    <w:rsid w:val="5FD513C3"/>
    <w:rsid w:val="5FFE63DD"/>
    <w:rsid w:val="605D3241"/>
    <w:rsid w:val="605E6E7C"/>
    <w:rsid w:val="6090504C"/>
    <w:rsid w:val="60A61919"/>
    <w:rsid w:val="60E92BEA"/>
    <w:rsid w:val="612C6F7A"/>
    <w:rsid w:val="61573FF7"/>
    <w:rsid w:val="6207215B"/>
    <w:rsid w:val="621C6FEF"/>
    <w:rsid w:val="62682234"/>
    <w:rsid w:val="62864468"/>
    <w:rsid w:val="62D00E2B"/>
    <w:rsid w:val="62DD052C"/>
    <w:rsid w:val="63C4213E"/>
    <w:rsid w:val="63FA510E"/>
    <w:rsid w:val="644A1BF1"/>
    <w:rsid w:val="644A32FB"/>
    <w:rsid w:val="648B4593"/>
    <w:rsid w:val="64A86918"/>
    <w:rsid w:val="64B13CEA"/>
    <w:rsid w:val="64BE08C5"/>
    <w:rsid w:val="64E5191A"/>
    <w:rsid w:val="651D0019"/>
    <w:rsid w:val="65474383"/>
    <w:rsid w:val="6562210C"/>
    <w:rsid w:val="657D382A"/>
    <w:rsid w:val="65F4658B"/>
    <w:rsid w:val="665A00E6"/>
    <w:rsid w:val="67141D95"/>
    <w:rsid w:val="67187AFB"/>
    <w:rsid w:val="67759716"/>
    <w:rsid w:val="679A69EC"/>
    <w:rsid w:val="680E1188"/>
    <w:rsid w:val="68A65864"/>
    <w:rsid w:val="68AD274F"/>
    <w:rsid w:val="68C34FCF"/>
    <w:rsid w:val="68CA3301"/>
    <w:rsid w:val="69286279"/>
    <w:rsid w:val="69981651"/>
    <w:rsid w:val="6A026ACA"/>
    <w:rsid w:val="6A0A4278"/>
    <w:rsid w:val="6A5A4B58"/>
    <w:rsid w:val="6ACB15B2"/>
    <w:rsid w:val="6ACD532A"/>
    <w:rsid w:val="6AF02DC7"/>
    <w:rsid w:val="6B1940CB"/>
    <w:rsid w:val="6B1E16E2"/>
    <w:rsid w:val="6B685053"/>
    <w:rsid w:val="6B765D68"/>
    <w:rsid w:val="6B8D6867"/>
    <w:rsid w:val="6BA75B7B"/>
    <w:rsid w:val="6BBC6D0F"/>
    <w:rsid w:val="6BDF1997"/>
    <w:rsid w:val="6BDF5315"/>
    <w:rsid w:val="6C111246"/>
    <w:rsid w:val="6CBB484A"/>
    <w:rsid w:val="6D6F4477"/>
    <w:rsid w:val="6DAF7920"/>
    <w:rsid w:val="6DF75161"/>
    <w:rsid w:val="6E196665"/>
    <w:rsid w:val="6F094457"/>
    <w:rsid w:val="6F1C418A"/>
    <w:rsid w:val="6F285225"/>
    <w:rsid w:val="6F2D283B"/>
    <w:rsid w:val="6F2E3EBD"/>
    <w:rsid w:val="6F481423"/>
    <w:rsid w:val="6F571902"/>
    <w:rsid w:val="6F7B2C45"/>
    <w:rsid w:val="6F7ED27B"/>
    <w:rsid w:val="6F810885"/>
    <w:rsid w:val="6F997ED1"/>
    <w:rsid w:val="7000585A"/>
    <w:rsid w:val="70425E72"/>
    <w:rsid w:val="70CA394F"/>
    <w:rsid w:val="70F52EE5"/>
    <w:rsid w:val="717F203C"/>
    <w:rsid w:val="71E82A49"/>
    <w:rsid w:val="7329581E"/>
    <w:rsid w:val="73AE456C"/>
    <w:rsid w:val="73B32736"/>
    <w:rsid w:val="73C455D3"/>
    <w:rsid w:val="74114085"/>
    <w:rsid w:val="742D6E39"/>
    <w:rsid w:val="75B17A7C"/>
    <w:rsid w:val="75FA2D4B"/>
    <w:rsid w:val="76004A34"/>
    <w:rsid w:val="76285B0A"/>
    <w:rsid w:val="76581E16"/>
    <w:rsid w:val="76BE75C4"/>
    <w:rsid w:val="76CF2DA1"/>
    <w:rsid w:val="77251384"/>
    <w:rsid w:val="7757C24B"/>
    <w:rsid w:val="779C7740"/>
    <w:rsid w:val="77B1231E"/>
    <w:rsid w:val="77CF9933"/>
    <w:rsid w:val="77DE291C"/>
    <w:rsid w:val="77E872FF"/>
    <w:rsid w:val="78011120"/>
    <w:rsid w:val="78383C17"/>
    <w:rsid w:val="78A72A86"/>
    <w:rsid w:val="799A3236"/>
    <w:rsid w:val="79E24855"/>
    <w:rsid w:val="7A2B7977"/>
    <w:rsid w:val="7A3031E0"/>
    <w:rsid w:val="7A695A32"/>
    <w:rsid w:val="7A870C76"/>
    <w:rsid w:val="7AB7FF50"/>
    <w:rsid w:val="7AE85868"/>
    <w:rsid w:val="7AEAF641"/>
    <w:rsid w:val="7B095901"/>
    <w:rsid w:val="7B4B023D"/>
    <w:rsid w:val="7BAD2729"/>
    <w:rsid w:val="7BD209F2"/>
    <w:rsid w:val="7BF6D9B0"/>
    <w:rsid w:val="7BFEB0DB"/>
    <w:rsid w:val="7C4D3986"/>
    <w:rsid w:val="7C502401"/>
    <w:rsid w:val="7CC16D18"/>
    <w:rsid w:val="7CF63F0E"/>
    <w:rsid w:val="7D11554A"/>
    <w:rsid w:val="7D2F0794"/>
    <w:rsid w:val="7D3A4C38"/>
    <w:rsid w:val="7DB14637"/>
    <w:rsid w:val="7DC03599"/>
    <w:rsid w:val="7DEC5963"/>
    <w:rsid w:val="7DFE1064"/>
    <w:rsid w:val="7DFF4C9C"/>
    <w:rsid w:val="7E941F8F"/>
    <w:rsid w:val="7EB75C7D"/>
    <w:rsid w:val="7EFF0147"/>
    <w:rsid w:val="7F45772D"/>
    <w:rsid w:val="7F7A7751"/>
    <w:rsid w:val="7F7E16AA"/>
    <w:rsid w:val="7F941C2A"/>
    <w:rsid w:val="7F995383"/>
    <w:rsid w:val="7FF5621C"/>
    <w:rsid w:val="7FFF4E81"/>
    <w:rsid w:val="7FFFD0D3"/>
    <w:rsid w:val="8716660E"/>
    <w:rsid w:val="8F2765EF"/>
    <w:rsid w:val="8FDFB626"/>
    <w:rsid w:val="973B6164"/>
    <w:rsid w:val="A3AA735E"/>
    <w:rsid w:val="A75D4892"/>
    <w:rsid w:val="A7B689A0"/>
    <w:rsid w:val="AFFFCE02"/>
    <w:rsid w:val="B7FBDE1D"/>
    <w:rsid w:val="BDF4B06C"/>
    <w:rsid w:val="BFE95083"/>
    <w:rsid w:val="CEFD3F3D"/>
    <w:rsid w:val="D51FB137"/>
    <w:rsid w:val="D6B22E60"/>
    <w:rsid w:val="D7DDF72E"/>
    <w:rsid w:val="DD3B5A1C"/>
    <w:rsid w:val="E6CD0EFB"/>
    <w:rsid w:val="EA3F77F2"/>
    <w:rsid w:val="EEFE5989"/>
    <w:rsid w:val="EF9F6FD9"/>
    <w:rsid w:val="EFCF3EAE"/>
    <w:rsid w:val="F2FEE462"/>
    <w:rsid w:val="F35F6403"/>
    <w:rsid w:val="F4FDEB06"/>
    <w:rsid w:val="F5B764A2"/>
    <w:rsid w:val="F6BFFECA"/>
    <w:rsid w:val="F77F09F4"/>
    <w:rsid w:val="FB3E42D6"/>
    <w:rsid w:val="FBBE4F1C"/>
    <w:rsid w:val="FBBF067C"/>
    <w:rsid w:val="FBFF6E65"/>
    <w:rsid w:val="FDB3F235"/>
    <w:rsid w:val="FEEF6AA0"/>
    <w:rsid w:val="FFB792B8"/>
    <w:rsid w:val="FFD7BFFC"/>
    <w:rsid w:val="FFDB27FE"/>
    <w:rsid w:val="FFFA6B0F"/>
    <w:rsid w:val="FFFFB6E6"/>
    <w:rsid w:val="FFFFE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line="600" w:lineRule="exact"/>
      <w:ind w:firstLine="640"/>
      <w:outlineLvl w:val="0"/>
    </w:pPr>
    <w:rPr>
      <w:rFonts w:ascii="黑体" w:hAnsi="黑体" w:eastAsia="黑体" w:cs="宋体"/>
      <w:color w:val="000000"/>
      <w:kern w:val="0"/>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rPr>
  </w:style>
  <w:style w:type="paragraph" w:styleId="5">
    <w:name w:val="annotation text"/>
    <w:basedOn w:val="1"/>
    <w:link w:val="17"/>
    <w:qFormat/>
    <w:uiPriority w:val="0"/>
    <w:pPr>
      <w:jc w:val="left"/>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Title"/>
    <w:basedOn w:val="1"/>
    <w:link w:val="16"/>
    <w:qFormat/>
    <w:uiPriority w:val="0"/>
    <w:pPr>
      <w:spacing w:before="240" w:after="60"/>
      <w:jc w:val="center"/>
      <w:outlineLvl w:val="0"/>
    </w:pPr>
    <w:rPr>
      <w:rFonts w:ascii="Arial" w:hAnsi="Arial"/>
      <w:b/>
      <w:sz w:val="32"/>
    </w:rPr>
  </w:style>
  <w:style w:type="paragraph" w:styleId="11">
    <w:name w:val="annotation subject"/>
    <w:basedOn w:val="5"/>
    <w:next w:val="5"/>
    <w:link w:val="18"/>
    <w:qFormat/>
    <w:uiPriority w:val="0"/>
    <w:rPr>
      <w:b/>
      <w:bCs/>
    </w:rPr>
  </w:style>
  <w:style w:type="character" w:styleId="14">
    <w:name w:val="annotation reference"/>
    <w:basedOn w:val="13"/>
    <w:qFormat/>
    <w:uiPriority w:val="0"/>
    <w:rPr>
      <w:sz w:val="21"/>
      <w:szCs w:val="21"/>
    </w:rPr>
  </w:style>
  <w:style w:type="paragraph" w:customStyle="1" w:styleId="15">
    <w:name w:val="列出段落1"/>
    <w:basedOn w:val="1"/>
    <w:qFormat/>
    <w:uiPriority w:val="34"/>
    <w:pPr>
      <w:ind w:firstLine="420" w:firstLineChars="200"/>
    </w:pPr>
    <w:rPr>
      <w:rFonts w:ascii="Calibri" w:hAnsi="Calibri" w:cs="黑体"/>
      <w:szCs w:val="22"/>
    </w:rPr>
  </w:style>
  <w:style w:type="character" w:customStyle="1" w:styleId="16">
    <w:name w:val="标题 字符"/>
    <w:basedOn w:val="13"/>
    <w:link w:val="10"/>
    <w:qFormat/>
    <w:uiPriority w:val="0"/>
    <w:rPr>
      <w:rFonts w:ascii="等线 Light" w:hAnsi="等线 Light" w:eastAsia="等线 Light" w:cs="Times New Roman"/>
      <w:spacing w:val="-10"/>
      <w:kern w:val="28"/>
      <w:sz w:val="56"/>
      <w:szCs w:val="56"/>
    </w:rPr>
  </w:style>
  <w:style w:type="character" w:customStyle="1" w:styleId="17">
    <w:name w:val="批注文字 字符"/>
    <w:basedOn w:val="13"/>
    <w:link w:val="5"/>
    <w:qFormat/>
    <w:uiPriority w:val="0"/>
    <w:rPr>
      <w:kern w:val="2"/>
      <w:sz w:val="21"/>
      <w:szCs w:val="24"/>
    </w:rPr>
  </w:style>
  <w:style w:type="character" w:customStyle="1" w:styleId="18">
    <w:name w:val="批注主题 字符"/>
    <w:basedOn w:val="17"/>
    <w:link w:val="11"/>
    <w:qFormat/>
    <w:uiPriority w:val="0"/>
    <w:rPr>
      <w:b/>
      <w:bCs/>
      <w:kern w:val="2"/>
      <w:sz w:val="21"/>
      <w:szCs w:val="24"/>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1">
    <w:name w:val="font21"/>
    <w:basedOn w:val="13"/>
    <w:qFormat/>
    <w:uiPriority w:val="0"/>
    <w:rPr>
      <w:rFonts w:hint="eastAsia" w:ascii="宋体" w:hAnsi="宋体" w:eastAsia="宋体" w:cs="宋体"/>
      <w:color w:val="000000"/>
      <w:sz w:val="18"/>
      <w:szCs w:val="18"/>
      <w:u w:val="none"/>
    </w:rPr>
  </w:style>
  <w:style w:type="character" w:customStyle="1" w:styleId="22">
    <w:name w:val="font31"/>
    <w:basedOn w:val="13"/>
    <w:qFormat/>
    <w:uiPriority w:val="0"/>
    <w:rPr>
      <w:rFonts w:hint="eastAsia" w:ascii="宋体" w:hAnsi="宋体" w:eastAsia="宋体" w:cs="宋体"/>
      <w:color w:val="000000"/>
      <w:sz w:val="20"/>
      <w:szCs w:val="20"/>
      <w:u w:val="none"/>
    </w:rPr>
  </w:style>
  <w:style w:type="character" w:customStyle="1" w:styleId="23">
    <w:name w:val="font51"/>
    <w:basedOn w:val="13"/>
    <w:qFormat/>
    <w:uiPriority w:val="0"/>
    <w:rPr>
      <w:rFonts w:hint="eastAsia" w:ascii="宋体" w:hAnsi="宋体" w:eastAsia="宋体" w:cs="宋体"/>
      <w:b/>
      <w:bCs/>
      <w:color w:val="000000"/>
      <w:sz w:val="18"/>
      <w:szCs w:val="18"/>
      <w:u w:val="none"/>
    </w:rPr>
  </w:style>
  <w:style w:type="character" w:customStyle="1" w:styleId="24">
    <w:name w:val="font71"/>
    <w:basedOn w:val="13"/>
    <w:qFormat/>
    <w:uiPriority w:val="0"/>
    <w:rPr>
      <w:rFonts w:hint="eastAsia" w:ascii="宋体" w:hAnsi="宋体" w:eastAsia="宋体" w:cs="宋体"/>
      <w:color w:val="000000"/>
      <w:sz w:val="18"/>
      <w:szCs w:val="18"/>
      <w:u w:val="none"/>
    </w:rPr>
  </w:style>
  <w:style w:type="character" w:customStyle="1" w:styleId="25">
    <w:name w:val="font61"/>
    <w:basedOn w:val="13"/>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9949</Words>
  <Characters>10846</Characters>
  <Lines>774</Lines>
  <Paragraphs>611</Paragraphs>
  <TotalTime>50</TotalTime>
  <ScaleCrop>false</ScaleCrop>
  <LinksUpToDate>false</LinksUpToDate>
  <CharactersWithSpaces>20184</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2025-05-21T19:04:00Z</dcterms:created>
  <dc:creator>user</dc:creator>
  <cp:lastModifiedBy>微信用户</cp:lastModifiedBy>
  <cp:lastPrinted>2023-03-13T01:31:00Z</cp:lastPrinted>
  <dcterms:modified xsi:type="dcterms:W3CDTF">2025-08-27T09:41:12Z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eyJoZGlkIjoiZjI4YzhlNjUxYjVmMGVlN2ExYzk4M2ZlNGJiYTkzYTgiLCJ1c2VySWQiOiIzMjM4NDUxMjMifQ==</vt:lpwstr>
  </property>
  <property fmtid="{D5CDD505-2E9C-101B-9397-08002B2CF9AE}" pid="4" name="ICV">
    <vt:lpwstr>C8979DE7906773657257A9680FD9DC9C</vt:lpwstr>
  </property>
</Properties>
</file>