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FD0498">
      <w:pPr>
        <w:jc w:val="center"/>
        <w:rPr>
          <w:rFonts w:ascii="仿宋_GB2312" w:eastAsia="仿宋_GB2312"/>
          <w:b/>
          <w:sz w:val="32"/>
          <w:szCs w:val="32"/>
        </w:rPr>
      </w:pPr>
    </w:p>
    <w:p w14:paraId="68AD0CC0">
      <w:pPr>
        <w:jc w:val="center"/>
        <w:rPr>
          <w:rFonts w:ascii="黑体" w:eastAsia="黑体"/>
          <w:sz w:val="72"/>
          <w:szCs w:val="72"/>
        </w:rPr>
      </w:pPr>
    </w:p>
    <w:p w14:paraId="52DC8702">
      <w:pPr>
        <w:jc w:val="center"/>
        <w:rPr>
          <w:rFonts w:ascii="黑体" w:eastAsia="黑体"/>
          <w:sz w:val="72"/>
          <w:szCs w:val="72"/>
        </w:rPr>
      </w:pPr>
    </w:p>
    <w:p w14:paraId="4734C3F0">
      <w:pPr>
        <w:jc w:val="center"/>
        <w:rPr>
          <w:rFonts w:ascii="黑体" w:eastAsia="黑体"/>
          <w:sz w:val="72"/>
          <w:szCs w:val="72"/>
        </w:rPr>
      </w:pPr>
    </w:p>
    <w:p w14:paraId="5A8FE474">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w:t>
      </w:r>
      <w:r>
        <w:rPr>
          <w:rFonts w:hint="eastAsia" w:ascii="黑体" w:eastAsia="黑体"/>
          <w:sz w:val="72"/>
          <w:szCs w:val="72"/>
          <w:lang w:eastAsia="zh-CN"/>
        </w:rPr>
        <w:t>单位</w:t>
      </w:r>
      <w:r>
        <w:rPr>
          <w:rFonts w:hint="eastAsia" w:ascii="黑体" w:eastAsia="黑体"/>
          <w:sz w:val="72"/>
          <w:szCs w:val="72"/>
        </w:rPr>
        <w:t>决算（</w:t>
      </w:r>
      <w:r>
        <w:rPr>
          <w:rFonts w:hint="eastAsia" w:ascii="黑体" w:eastAsia="黑体"/>
          <w:sz w:val="72"/>
          <w:szCs w:val="72"/>
          <w:lang w:val="en-US" w:eastAsia="zh-CN"/>
        </w:rPr>
        <w:t>公开</w:t>
      </w:r>
      <w:r>
        <w:rPr>
          <w:rFonts w:ascii="黑体" w:eastAsia="黑体"/>
          <w:sz w:val="72"/>
          <w:szCs w:val="72"/>
        </w:rPr>
        <w:t>）</w:t>
      </w:r>
    </w:p>
    <w:p w14:paraId="2A416F28">
      <w:pPr>
        <w:jc w:val="center"/>
        <w:rPr>
          <w:rFonts w:ascii="黑体" w:eastAsia="黑体"/>
          <w:sz w:val="52"/>
          <w:szCs w:val="52"/>
        </w:rPr>
      </w:pPr>
    </w:p>
    <w:p w14:paraId="30CBE0CA">
      <w:pPr>
        <w:jc w:val="center"/>
        <w:rPr>
          <w:rFonts w:ascii="黑体" w:eastAsia="黑体"/>
          <w:sz w:val="52"/>
          <w:szCs w:val="52"/>
        </w:rPr>
      </w:pPr>
    </w:p>
    <w:p w14:paraId="7CCDA4EE">
      <w:pPr>
        <w:spacing w:line="500" w:lineRule="exact"/>
        <w:ind w:firstLine="645"/>
        <w:jc w:val="center"/>
        <w:rPr>
          <w:rFonts w:hint="eastAsia" w:ascii="宋体" w:hAnsi="宋体" w:cs="宋体"/>
          <w:b/>
          <w:bCs/>
          <w:kern w:val="0"/>
          <w:sz w:val="44"/>
          <w:szCs w:val="36"/>
        </w:rPr>
      </w:pPr>
    </w:p>
    <w:p w14:paraId="01513DC6">
      <w:pPr>
        <w:rPr>
          <w:rFonts w:hint="eastAsia" w:ascii="宋体" w:hAnsi="宋体" w:cs="宋体"/>
          <w:b/>
          <w:bCs/>
          <w:kern w:val="0"/>
          <w:sz w:val="44"/>
          <w:szCs w:val="36"/>
        </w:rPr>
      </w:pPr>
      <w:r>
        <w:rPr>
          <w:rFonts w:hint="eastAsia" w:ascii="宋体" w:hAnsi="宋体" w:cs="宋体"/>
          <w:b/>
          <w:bCs/>
          <w:kern w:val="0"/>
          <w:sz w:val="44"/>
          <w:szCs w:val="36"/>
        </w:rPr>
        <w:br w:type="page"/>
      </w:r>
    </w:p>
    <w:p w14:paraId="3E1F315D">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00DCFEB9">
      <w:pPr>
        <w:spacing w:line="500" w:lineRule="exact"/>
        <w:ind w:firstLine="645"/>
        <w:jc w:val="center"/>
        <w:rPr>
          <w:rFonts w:hint="eastAsia" w:ascii="宋体" w:hAnsi="宋体" w:cs="宋体"/>
          <w:b/>
          <w:bCs/>
          <w:kern w:val="0"/>
          <w:sz w:val="36"/>
          <w:szCs w:val="36"/>
        </w:rPr>
      </w:pPr>
    </w:p>
    <w:p w14:paraId="37B937F0">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w:t>
      </w:r>
      <w:r>
        <w:rPr>
          <w:rFonts w:hint="eastAsia" w:ascii="宋体" w:hAnsi="宋体" w:cs="宋体"/>
          <w:bCs/>
          <w:spacing w:val="40"/>
          <w:kern w:val="0"/>
          <w:sz w:val="32"/>
          <w:szCs w:val="32"/>
          <w:lang w:eastAsia="zh-CN"/>
        </w:rPr>
        <w:t>单位</w:t>
      </w:r>
      <w:r>
        <w:rPr>
          <w:rFonts w:hint="eastAsia" w:ascii="宋体" w:hAnsi="宋体" w:cs="宋体"/>
          <w:bCs/>
          <w:spacing w:val="40"/>
          <w:kern w:val="0"/>
          <w:sz w:val="32"/>
          <w:szCs w:val="32"/>
        </w:rPr>
        <w:t>决算报表</w:t>
      </w:r>
    </w:p>
    <w:p w14:paraId="74CA7E29">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0C5298CE">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076A772C">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3BD5ED7C">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0472D4A2">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19874C75">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05A44C4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0569737B">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4D9E5320">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200C5256">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567A7893">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4F6E4BD6">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2AABE982">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bCs/>
          <w:spacing w:val="40"/>
          <w:kern w:val="0"/>
          <w:sz w:val="32"/>
          <w:szCs w:val="32"/>
          <w:lang w:eastAsia="zh-CN"/>
        </w:rPr>
        <w:t>单位</w:t>
      </w:r>
      <w:r>
        <w:rPr>
          <w:rFonts w:hint="eastAsia" w:ascii="宋体" w:hAnsi="宋体"/>
          <w:spacing w:val="40"/>
          <w:sz w:val="32"/>
          <w:szCs w:val="32"/>
        </w:rPr>
        <w:t>决算说明</w:t>
      </w:r>
    </w:p>
    <w:p w14:paraId="6BB2164C">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0949F0F4">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w:t>
      </w:r>
      <w:r>
        <w:rPr>
          <w:rFonts w:hint="eastAsia" w:ascii="宋体" w:hAnsi="宋体" w:cs="宋体"/>
          <w:bCs/>
          <w:spacing w:val="40"/>
          <w:kern w:val="0"/>
          <w:sz w:val="32"/>
          <w:szCs w:val="32"/>
          <w:lang w:eastAsia="zh-CN"/>
        </w:rPr>
        <w:t>单位</w:t>
      </w:r>
      <w:r>
        <w:rPr>
          <w:rFonts w:hint="eastAsia" w:ascii="宋体" w:hAnsi="宋体" w:cs="宋体"/>
          <w:spacing w:val="40"/>
          <w:kern w:val="0"/>
          <w:sz w:val="32"/>
          <w:szCs w:val="32"/>
        </w:rPr>
        <w:t>绩效评价情况</w:t>
      </w:r>
    </w:p>
    <w:p w14:paraId="0AACC8D2">
      <w:pPr>
        <w:tabs>
          <w:tab w:val="center" w:pos="6979"/>
        </w:tabs>
        <w:spacing w:before="156" w:beforeLines="50" w:after="156" w:afterLines="50"/>
        <w:jc w:val="center"/>
        <w:rPr>
          <w:rFonts w:ascii="宋体" w:hAnsi="宋体" w:cs="宋体"/>
          <w:b/>
          <w:bCs/>
          <w:spacing w:val="40"/>
          <w:kern w:val="0"/>
          <w:sz w:val="32"/>
          <w:szCs w:val="32"/>
        </w:rPr>
      </w:pPr>
    </w:p>
    <w:p w14:paraId="1D4A2850">
      <w:pPr>
        <w:tabs>
          <w:tab w:val="center" w:pos="6979"/>
        </w:tabs>
        <w:spacing w:before="156" w:beforeLines="50" w:after="156" w:afterLines="50"/>
        <w:jc w:val="center"/>
        <w:rPr>
          <w:rFonts w:ascii="宋体" w:hAnsi="宋体" w:cs="宋体"/>
          <w:b/>
          <w:bCs/>
          <w:spacing w:val="40"/>
          <w:kern w:val="0"/>
          <w:sz w:val="32"/>
          <w:szCs w:val="32"/>
        </w:rPr>
      </w:pPr>
    </w:p>
    <w:p w14:paraId="1D4625D3">
      <w:pPr>
        <w:tabs>
          <w:tab w:val="center" w:pos="6979"/>
        </w:tabs>
        <w:spacing w:before="156" w:beforeLines="50" w:after="156" w:afterLines="50"/>
        <w:jc w:val="center"/>
        <w:rPr>
          <w:rFonts w:ascii="宋体" w:hAnsi="宋体" w:cs="宋体"/>
          <w:b/>
          <w:bCs/>
          <w:spacing w:val="40"/>
          <w:kern w:val="0"/>
          <w:sz w:val="32"/>
          <w:szCs w:val="32"/>
        </w:rPr>
      </w:pPr>
    </w:p>
    <w:p w14:paraId="447B8C96">
      <w:pPr>
        <w:tabs>
          <w:tab w:val="center" w:pos="6979"/>
        </w:tabs>
        <w:spacing w:before="156" w:beforeLines="50" w:after="156" w:afterLines="50"/>
        <w:jc w:val="center"/>
        <w:rPr>
          <w:rFonts w:ascii="宋体" w:hAnsi="宋体" w:cs="宋体"/>
          <w:b/>
          <w:bCs/>
          <w:spacing w:val="40"/>
          <w:kern w:val="0"/>
          <w:sz w:val="32"/>
          <w:szCs w:val="32"/>
        </w:rPr>
      </w:pPr>
    </w:p>
    <w:p w14:paraId="1C78DCBB">
      <w:pPr>
        <w:tabs>
          <w:tab w:val="center" w:pos="6979"/>
        </w:tabs>
        <w:spacing w:before="156" w:beforeLines="50" w:after="156" w:afterLines="50"/>
        <w:jc w:val="center"/>
        <w:rPr>
          <w:rFonts w:ascii="宋体" w:hAnsi="宋体" w:cs="宋体"/>
          <w:b/>
          <w:bCs/>
          <w:spacing w:val="40"/>
          <w:kern w:val="0"/>
          <w:sz w:val="32"/>
          <w:szCs w:val="32"/>
        </w:rPr>
      </w:pPr>
    </w:p>
    <w:p w14:paraId="1B9DC73D">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w:t>
      </w:r>
      <w:r>
        <w:rPr>
          <w:rFonts w:hint="eastAsia" w:ascii="宋体" w:hAnsi="宋体" w:cs="宋体"/>
          <w:b/>
          <w:bCs/>
          <w:spacing w:val="40"/>
          <w:kern w:val="0"/>
          <w:sz w:val="44"/>
          <w:szCs w:val="44"/>
          <w:lang w:eastAsia="zh-CN"/>
        </w:rPr>
        <w:t>单位</w:t>
      </w:r>
      <w:r>
        <w:rPr>
          <w:rFonts w:hint="eastAsia" w:ascii="宋体" w:hAnsi="宋体" w:cs="宋体"/>
          <w:b/>
          <w:bCs/>
          <w:spacing w:val="40"/>
          <w:kern w:val="0"/>
          <w:sz w:val="44"/>
          <w:szCs w:val="44"/>
        </w:rPr>
        <w:t>决算报表</w:t>
      </w:r>
    </w:p>
    <w:p w14:paraId="659585CF">
      <w:pPr>
        <w:pStyle w:val="2"/>
        <w:keepNext/>
        <w:keepLines/>
        <w:pageBreakBefore w:val="0"/>
        <w:widowControl w:val="0"/>
        <w:kinsoku/>
        <w:wordWrap/>
        <w:overflowPunct/>
        <w:topLinePunct w:val="0"/>
        <w:autoSpaceDE/>
        <w:autoSpaceDN/>
        <w:bidi w:val="0"/>
        <w:adjustRightInd/>
        <w:snapToGrid/>
        <w:spacing w:before="0" w:beforeAutospacing="0" w:after="0" w:afterAutospacing="0" w:line="560" w:lineRule="exact"/>
        <w:textAlignment w:val="auto"/>
        <w:rPr>
          <w:rFonts w:hint="eastAsia" w:ascii="仿宋_GB2312" w:eastAsia="仿宋_GB2312"/>
          <w:b w:val="0"/>
          <w:bCs w:val="0"/>
          <w:sz w:val="28"/>
          <w:szCs w:val="28"/>
        </w:r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2D801478">
      <w:pPr>
        <w:rPr>
          <w:rFonts w:hint="eastAsia" w:ascii="仿宋_GB2312" w:eastAsia="仿宋_GB2312"/>
          <w:b w:val="0"/>
          <w:bCs w:val="0"/>
          <w:sz w:val="28"/>
          <w:szCs w:val="28"/>
        </w:rPr>
      </w:pPr>
      <w:r>
        <w:rPr>
          <w:rFonts w:hint="eastAsia" w:ascii="仿宋_GB2312" w:eastAsia="仿宋_GB2312"/>
          <w:b w:val="0"/>
          <w:bCs w:val="0"/>
          <w:sz w:val="28"/>
          <w:szCs w:val="28"/>
        </w:rPr>
        <w:br w:type="page"/>
      </w:r>
    </w:p>
    <w:p w14:paraId="268E448D">
      <w:pPr>
        <w:pStyle w:val="2"/>
        <w:keepNext/>
        <w:keepLines/>
        <w:pageBreakBefore w:val="0"/>
        <w:widowControl w:val="0"/>
        <w:kinsoku/>
        <w:wordWrap/>
        <w:overflowPunct/>
        <w:topLinePunct w:val="0"/>
        <w:autoSpaceDE/>
        <w:autoSpaceDN/>
        <w:bidi w:val="0"/>
        <w:adjustRightInd/>
        <w:snapToGrid/>
        <w:spacing w:before="0" w:beforeAutospacing="0" w:after="0" w:afterAutospacing="0" w:line="560" w:lineRule="exact"/>
        <w:jc w:val="center"/>
        <w:textAlignment w:val="auto"/>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b/>
          <w:spacing w:val="40"/>
          <w:sz w:val="32"/>
          <w:szCs w:val="32"/>
          <w:lang w:eastAsia="zh-CN"/>
        </w:rPr>
        <w:t>单位</w:t>
      </w:r>
      <w:r>
        <w:rPr>
          <w:rFonts w:hint="eastAsia" w:ascii="宋体" w:hAnsi="宋体"/>
          <w:b/>
          <w:spacing w:val="40"/>
          <w:sz w:val="32"/>
          <w:szCs w:val="32"/>
        </w:rPr>
        <w:t>决算说明</w:t>
      </w:r>
    </w:p>
    <w:p w14:paraId="69CF780E">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黑体" w:eastAsia="黑体"/>
          <w:b w:val="0"/>
          <w:bCs/>
          <w:sz w:val="28"/>
          <w:szCs w:val="28"/>
        </w:rPr>
      </w:pPr>
      <w:r>
        <w:rPr>
          <w:rFonts w:hint="eastAsia" w:ascii="黑体" w:eastAsia="黑体"/>
          <w:b w:val="0"/>
          <w:bCs/>
          <w:sz w:val="28"/>
          <w:szCs w:val="28"/>
        </w:rPr>
        <w:t>一、单位基本情况</w:t>
      </w:r>
    </w:p>
    <w:p w14:paraId="10D42F29">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rPr>
      </w:pPr>
      <w:r>
        <w:rPr>
          <w:rFonts w:hint="eastAsia" w:ascii="仿宋_GB2312" w:eastAsia="仿宋_GB2312"/>
          <w:sz w:val="28"/>
          <w:szCs w:val="28"/>
          <w:highlight w:val="none"/>
          <w:lang w:eastAsia="zh-CN"/>
        </w:rPr>
        <w:t>（一）</w:t>
      </w:r>
      <w:r>
        <w:rPr>
          <w:rFonts w:hint="eastAsia" w:ascii="仿宋_GB2312" w:eastAsia="仿宋_GB2312"/>
          <w:sz w:val="28"/>
          <w:szCs w:val="28"/>
          <w:highlight w:val="none"/>
        </w:rPr>
        <w:t>机构设置</w:t>
      </w:r>
    </w:p>
    <w:p w14:paraId="550241AC">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根据中共中央、国务院批准的北京市党政机构改革方案和《北京市人民政府关于机构设置的通知》，设立北京市体育局。北京市体育局是负责本市体育事业管理工作的市政府直属机构，内设14个职能处室，包括办公室、法规宣传处、群众体育处、竞技体育处、青少年体育处、体育产业发展处（北京市体育市场管理办公室）、人事处、规划建设处、科技教育处、财务处、机关党委、工会、机关纪委、离退休干部处。</w:t>
      </w:r>
    </w:p>
    <w:p w14:paraId="4EB32A11">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（二）单位职责</w:t>
      </w:r>
    </w:p>
    <w:p w14:paraId="26DA4757">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1.贯彻执行国家关于体育工作方面的方针、政策和法律、法规、规章，起草本市相关地方性法规草案、政府规章草案，拟订体育事业发展规划和政策并组织实施。</w:t>
      </w:r>
    </w:p>
    <w:p w14:paraId="1FA82716">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2.协调本市区域性体育发展，负责推动多元化体育服务体系建设，推进体育公共服务和体育体制改革。</w:t>
      </w:r>
    </w:p>
    <w:p w14:paraId="7472CCBE">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3.统筹规划本市群众体育发展，负责推行全民健身计划，监督实施国家体育锻炼标准，推动国民体质监测和社会体育指导工作队伍制度建设，指导公共体育设施的建设，负责对公共体育设施的监督管理。</w:t>
      </w:r>
    </w:p>
    <w:p w14:paraId="26D609C0">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4.统筹规划本市竞技体育发展，指导协调体育训练和体育竞赛，指导运动队伍建设，协调运动员社会保障工作。</w:t>
      </w:r>
    </w:p>
    <w:p w14:paraId="683AFC66">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5.统筹规划本市青少年体育发展，指导和推进青少年体育工作。</w:t>
      </w:r>
    </w:p>
    <w:p w14:paraId="64585DB3">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6.会同有关部门拟订本市体育产业发展规划和政策，培育、引导和扶持体育产业，推动产业结构优化升级，规范体育服务管理，推动体育标准化建设。</w:t>
      </w:r>
    </w:p>
    <w:p w14:paraId="0BC24205">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7.指导、管理本市体育外事有关工作，组织开展国际间和与港澳台的体育交流与合作。</w:t>
      </w:r>
    </w:p>
    <w:p w14:paraId="59D0BF5B">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8.组织开展本市体育领域重大科技研究、技术攻关和成果推广。</w:t>
      </w:r>
    </w:p>
    <w:p w14:paraId="531441A1">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9.主办、承办重大体育赛事活动。</w:t>
      </w:r>
    </w:p>
    <w:p w14:paraId="3B33B2BF">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10.负责组织、协调、监督本市体育运动中的反兴奋剂工作。</w:t>
      </w:r>
    </w:p>
    <w:p w14:paraId="5E75B412">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11.负责全市性体育社会团体的资格审查和业务管理工作。</w:t>
      </w:r>
    </w:p>
    <w:p w14:paraId="59C2360A">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12.依法对本市体育行业的安全工作承担管理责任，对以市体育局名义组织的各类活动的安全工作承担主体责任。</w:t>
      </w:r>
    </w:p>
    <w:p w14:paraId="3E51AECA">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13.承办市政府交办的其他事项。</w:t>
      </w:r>
    </w:p>
    <w:p w14:paraId="573AD750">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黑体" w:eastAsia="黑体"/>
          <w:b w:val="0"/>
          <w:bCs/>
          <w:sz w:val="28"/>
          <w:szCs w:val="28"/>
        </w:rPr>
      </w:pPr>
      <w:r>
        <w:rPr>
          <w:rFonts w:hint="eastAsia" w:ascii="黑体" w:eastAsia="黑体"/>
          <w:b w:val="0"/>
          <w:bCs/>
          <w:sz w:val="28"/>
          <w:szCs w:val="28"/>
        </w:rPr>
        <w:t>二、收入支出决算总体情况说明</w:t>
      </w:r>
    </w:p>
    <w:p w14:paraId="253E60F4">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lang w:eastAsia="zh-CN"/>
        </w:rPr>
        <w:t>年度收、支总计</w:t>
      </w:r>
      <w:r>
        <w:rPr>
          <w:rFonts w:hint="eastAsia" w:ascii="仿宋_GB2312" w:eastAsia="仿宋_GB2312"/>
          <w:sz w:val="28"/>
          <w:szCs w:val="28"/>
          <w:highlight w:val="none"/>
          <w:lang w:val="en-US" w:eastAsia="zh-CN"/>
        </w:rPr>
        <w:t>35,031.08</w:t>
      </w:r>
      <w:r>
        <w:rPr>
          <w:rFonts w:hint="eastAsia" w:ascii="仿宋_GB2312" w:eastAsia="仿宋_GB2312"/>
          <w:sz w:val="28"/>
          <w:szCs w:val="28"/>
          <w:highlight w:val="none"/>
          <w:lang w:eastAsia="zh-CN"/>
        </w:rPr>
        <w:t>万元，比上年增加</w:t>
      </w:r>
      <w:r>
        <w:rPr>
          <w:rFonts w:hint="eastAsia" w:ascii="仿宋_GB2312" w:eastAsia="仿宋_GB2312"/>
          <w:sz w:val="28"/>
          <w:szCs w:val="28"/>
          <w:highlight w:val="none"/>
          <w:lang w:val="en-US" w:eastAsia="zh-CN"/>
        </w:rPr>
        <w:t>1,255.53</w:t>
      </w:r>
      <w:r>
        <w:rPr>
          <w:rFonts w:hint="eastAsia" w:ascii="仿宋_GB2312" w:eastAsia="仿宋_GB2312"/>
          <w:sz w:val="28"/>
          <w:szCs w:val="28"/>
          <w:highlight w:val="none"/>
          <w:lang w:eastAsia="zh-CN"/>
        </w:rPr>
        <w:t>万元，增长</w:t>
      </w:r>
      <w:r>
        <w:rPr>
          <w:rFonts w:hint="eastAsia" w:ascii="仿宋_GB2312" w:eastAsia="仿宋_GB2312"/>
          <w:sz w:val="28"/>
          <w:szCs w:val="28"/>
          <w:highlight w:val="none"/>
          <w:lang w:val="en-US" w:eastAsia="zh-CN"/>
        </w:rPr>
        <w:t>3.72</w:t>
      </w:r>
      <w:r>
        <w:rPr>
          <w:rFonts w:hint="eastAsia" w:ascii="仿宋_GB2312" w:eastAsia="仿宋_GB2312"/>
          <w:sz w:val="28"/>
          <w:szCs w:val="28"/>
          <w:highlight w:val="none"/>
          <w:lang w:eastAsia="zh-CN"/>
        </w:rPr>
        <w:t>%。</w:t>
      </w:r>
    </w:p>
    <w:p w14:paraId="53D780CB">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（一）收入决算说明</w:t>
      </w:r>
    </w:p>
    <w:p w14:paraId="3523BE11">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lang w:eastAsia="zh-CN"/>
        </w:rPr>
        <w:t>年度本年收入合计</w:t>
      </w:r>
      <w:r>
        <w:rPr>
          <w:rFonts w:hint="eastAsia" w:ascii="仿宋_GB2312" w:eastAsia="仿宋_GB2312"/>
          <w:sz w:val="28"/>
          <w:szCs w:val="28"/>
          <w:highlight w:val="none"/>
          <w:lang w:val="en-US" w:eastAsia="zh-CN"/>
        </w:rPr>
        <w:t>33,670.61</w:t>
      </w:r>
      <w:r>
        <w:rPr>
          <w:rFonts w:hint="eastAsia" w:ascii="仿宋_GB2312" w:eastAsia="仿宋_GB2312"/>
          <w:sz w:val="28"/>
          <w:szCs w:val="28"/>
          <w:highlight w:val="none"/>
          <w:lang w:eastAsia="zh-CN"/>
        </w:rPr>
        <w:t>万元，比上年增加</w:t>
      </w:r>
      <w:r>
        <w:rPr>
          <w:rFonts w:hint="eastAsia" w:ascii="仿宋_GB2312" w:eastAsia="仿宋_GB2312"/>
          <w:sz w:val="28"/>
          <w:szCs w:val="28"/>
          <w:highlight w:val="none"/>
          <w:lang w:val="en-US" w:eastAsia="zh-CN"/>
        </w:rPr>
        <w:t>541.18</w:t>
      </w:r>
      <w:r>
        <w:rPr>
          <w:rFonts w:hint="eastAsia" w:ascii="仿宋_GB2312" w:eastAsia="仿宋_GB2312"/>
          <w:sz w:val="28"/>
          <w:szCs w:val="28"/>
          <w:highlight w:val="none"/>
          <w:lang w:eastAsia="zh-CN"/>
        </w:rPr>
        <w:t>万元，增长</w:t>
      </w:r>
      <w:r>
        <w:rPr>
          <w:rFonts w:hint="eastAsia" w:ascii="仿宋_GB2312" w:eastAsia="仿宋_GB2312"/>
          <w:sz w:val="28"/>
          <w:szCs w:val="28"/>
          <w:highlight w:val="none"/>
          <w:lang w:val="en-US" w:eastAsia="zh-CN"/>
        </w:rPr>
        <w:t>1.63</w:t>
      </w:r>
      <w:r>
        <w:rPr>
          <w:rFonts w:hint="eastAsia" w:ascii="仿宋_GB2312" w:eastAsia="仿宋_GB2312"/>
          <w:sz w:val="28"/>
          <w:szCs w:val="28"/>
          <w:highlight w:val="none"/>
          <w:lang w:eastAsia="zh-CN"/>
        </w:rPr>
        <w:t>%。</w:t>
      </w:r>
    </w:p>
    <w:p w14:paraId="09CDCD0A">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1.</w:t>
      </w:r>
      <w:r>
        <w:rPr>
          <w:rFonts w:hint="eastAsia" w:ascii="仿宋_GB2312" w:eastAsia="仿宋_GB2312"/>
          <w:sz w:val="28"/>
          <w:szCs w:val="28"/>
          <w:highlight w:val="none"/>
          <w:lang w:eastAsia="zh-CN"/>
        </w:rPr>
        <w:t>财政拨款收入</w:t>
      </w:r>
      <w:r>
        <w:rPr>
          <w:rFonts w:hint="eastAsia" w:ascii="仿宋_GB2312" w:eastAsia="仿宋_GB2312"/>
          <w:sz w:val="28"/>
          <w:szCs w:val="28"/>
          <w:highlight w:val="none"/>
          <w:lang w:val="en-US" w:eastAsia="zh-CN"/>
        </w:rPr>
        <w:t>33,669.71</w:t>
      </w:r>
      <w:r>
        <w:rPr>
          <w:rFonts w:hint="eastAsia" w:ascii="仿宋_GB2312" w:eastAsia="仿宋_GB2312"/>
          <w:sz w:val="28"/>
          <w:szCs w:val="28"/>
          <w:highlight w:val="none"/>
          <w:lang w:eastAsia="zh-CN"/>
        </w:rPr>
        <w:t>万元，占收入合计的</w:t>
      </w:r>
      <w:r>
        <w:rPr>
          <w:rFonts w:hint="eastAsia" w:ascii="仿宋_GB2312" w:eastAsia="仿宋_GB2312"/>
          <w:sz w:val="28"/>
          <w:szCs w:val="28"/>
          <w:highlight w:val="none"/>
          <w:lang w:val="en-US" w:eastAsia="zh-CN"/>
        </w:rPr>
        <w:t>99.99</w:t>
      </w:r>
      <w:r>
        <w:rPr>
          <w:rFonts w:hint="eastAsia" w:ascii="仿宋_GB2312" w:eastAsia="仿宋_GB2312"/>
          <w:sz w:val="28"/>
          <w:szCs w:val="28"/>
          <w:highlight w:val="none"/>
          <w:lang w:eastAsia="zh-CN"/>
        </w:rPr>
        <w:t>%。其中：一般公共预算财政拨款收入</w:t>
      </w:r>
      <w:r>
        <w:rPr>
          <w:rFonts w:hint="eastAsia" w:ascii="仿宋_GB2312" w:eastAsia="仿宋_GB2312"/>
          <w:sz w:val="28"/>
          <w:szCs w:val="28"/>
          <w:highlight w:val="none"/>
          <w:lang w:val="en-US" w:eastAsia="zh-CN"/>
        </w:rPr>
        <w:t>26,857</w:t>
      </w:r>
      <w:r>
        <w:rPr>
          <w:rFonts w:hint="eastAsia" w:ascii="仿宋_GB2312" w:eastAsia="仿宋_GB2312"/>
          <w:sz w:val="28"/>
          <w:szCs w:val="28"/>
          <w:highlight w:val="none"/>
          <w:lang w:eastAsia="zh-CN"/>
        </w:rPr>
        <w:t>万元，占收入合计的79.7</w:t>
      </w:r>
      <w:r>
        <w:rPr>
          <w:rFonts w:hint="eastAsia" w:ascii="仿宋_GB2312" w:eastAsia="仿宋_GB2312"/>
          <w:sz w:val="28"/>
          <w:szCs w:val="28"/>
          <w:highlight w:val="none"/>
          <w:lang w:val="en-US" w:eastAsia="zh-CN"/>
        </w:rPr>
        <w:t>6</w:t>
      </w:r>
      <w:r>
        <w:rPr>
          <w:rFonts w:hint="eastAsia" w:ascii="仿宋_GB2312" w:eastAsia="仿宋_GB2312"/>
          <w:sz w:val="28"/>
          <w:szCs w:val="28"/>
          <w:highlight w:val="none"/>
          <w:lang w:eastAsia="zh-CN"/>
        </w:rPr>
        <w:t>%；政府性基金预算财政拨款收入6,812.71万元，占收入合计的20.2</w:t>
      </w:r>
      <w:r>
        <w:rPr>
          <w:rFonts w:hint="eastAsia" w:ascii="仿宋_GB2312" w:eastAsia="仿宋_GB2312"/>
          <w:sz w:val="28"/>
          <w:szCs w:val="28"/>
          <w:highlight w:val="none"/>
          <w:lang w:val="en-US" w:eastAsia="zh-CN"/>
        </w:rPr>
        <w:t>3</w:t>
      </w:r>
      <w:r>
        <w:rPr>
          <w:rFonts w:hint="eastAsia" w:ascii="仿宋_GB2312" w:eastAsia="仿宋_GB2312"/>
          <w:sz w:val="28"/>
          <w:szCs w:val="28"/>
          <w:highlight w:val="none"/>
          <w:lang w:eastAsia="zh-CN"/>
        </w:rPr>
        <w:t>%；国有资本经营预算财政拨款收入0万元，占收入合计的0%；</w:t>
      </w:r>
    </w:p>
    <w:p w14:paraId="055B0C30">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2.</w:t>
      </w:r>
      <w:r>
        <w:rPr>
          <w:rFonts w:hint="eastAsia" w:ascii="仿宋_GB2312" w:eastAsia="仿宋_GB2312"/>
          <w:sz w:val="28"/>
          <w:szCs w:val="28"/>
          <w:highlight w:val="none"/>
          <w:lang w:eastAsia="zh-CN"/>
        </w:rPr>
        <w:t>上级补助收入0万元，占收入合计的0%；</w:t>
      </w:r>
    </w:p>
    <w:p w14:paraId="41F6ED6E">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3.</w:t>
      </w:r>
      <w:r>
        <w:rPr>
          <w:rFonts w:hint="eastAsia" w:ascii="仿宋_GB2312" w:eastAsia="仿宋_GB2312"/>
          <w:sz w:val="28"/>
          <w:szCs w:val="28"/>
          <w:highlight w:val="none"/>
          <w:lang w:eastAsia="zh-CN"/>
        </w:rPr>
        <w:t>事业收入0万元，占收入合计的0%；</w:t>
      </w:r>
    </w:p>
    <w:p w14:paraId="3B424FE6">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4.经营收入0万元，占收入合计的0%；</w:t>
      </w:r>
    </w:p>
    <w:p w14:paraId="74FE8F26">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5.附属单位上缴收入0万元，占收入合计的0%；</w:t>
      </w:r>
    </w:p>
    <w:p w14:paraId="3009F719">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6.其他收入0.9万元，占收入合计的0</w:t>
      </w:r>
      <w:r>
        <w:rPr>
          <w:rFonts w:hint="eastAsia" w:ascii="仿宋_GB2312" w:eastAsia="仿宋_GB2312"/>
          <w:sz w:val="28"/>
          <w:szCs w:val="28"/>
          <w:highlight w:val="none"/>
          <w:lang w:val="en-US" w:eastAsia="zh-CN"/>
        </w:rPr>
        <w:t>.01</w:t>
      </w:r>
      <w:r>
        <w:rPr>
          <w:rFonts w:hint="eastAsia" w:ascii="仿宋_GB2312" w:eastAsia="仿宋_GB2312"/>
          <w:sz w:val="28"/>
          <w:szCs w:val="28"/>
          <w:highlight w:val="none"/>
          <w:lang w:eastAsia="zh-CN"/>
        </w:rPr>
        <w:t>%。</w:t>
      </w:r>
    </w:p>
    <w:p w14:paraId="4C01915A">
      <w:pPr>
        <w:pStyle w:val="2"/>
        <w:keepNext/>
        <w:keepLines/>
        <w:pageBreakBefore w:val="0"/>
        <w:widowControl w:val="0"/>
        <w:kinsoku/>
        <w:wordWrap/>
        <w:overflowPunct/>
        <w:topLinePunct w:val="0"/>
        <w:autoSpaceDE/>
        <w:autoSpaceDN/>
        <w:bidi w:val="0"/>
        <w:adjustRightInd/>
        <w:snapToGrid/>
        <w:spacing w:line="560" w:lineRule="exact"/>
        <w:ind w:firstLine="0"/>
        <w:jc w:val="center"/>
        <w:textAlignment w:val="auto"/>
      </w:pPr>
      <w:r>
        <w:rPr>
          <w:rFonts w:hint="eastAsia" w:ascii="仿宋_GB2312" w:eastAsia="仿宋_GB2312"/>
          <w:color w:val="000000"/>
          <w:sz w:val="32"/>
          <w:szCs w:val="32"/>
          <w:highlight w:val="none"/>
          <w:lang w:val="en-US" w:eastAsia="zh-CN"/>
        </w:rPr>
        <w:t>图1：收入决算</w:t>
      </w:r>
    </w:p>
    <w:p w14:paraId="1EC6092E">
      <w:pPr>
        <w:pStyle w:val="3"/>
        <w:ind w:firstLine="420"/>
        <w:jc w:val="center"/>
      </w:pPr>
      <w:r>
        <w:drawing>
          <wp:inline distT="0" distB="0" distL="114300" distR="114300">
            <wp:extent cx="4497070" cy="2379980"/>
            <wp:effectExtent l="4445" t="4445" r="13335" b="1587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6CCA2EBC">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（二）支出决算说明</w:t>
      </w:r>
    </w:p>
    <w:p w14:paraId="1E1DFC63">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lang w:eastAsia="zh-CN"/>
        </w:rPr>
        <w:t>年度本年支出合计</w:t>
      </w:r>
      <w:r>
        <w:rPr>
          <w:rFonts w:hint="eastAsia" w:ascii="仿宋_GB2312" w:eastAsia="仿宋_GB2312"/>
          <w:sz w:val="28"/>
          <w:szCs w:val="28"/>
          <w:highlight w:val="none"/>
          <w:lang w:val="en-US" w:eastAsia="zh-CN"/>
        </w:rPr>
        <w:t>32,022.57</w:t>
      </w:r>
      <w:r>
        <w:rPr>
          <w:rFonts w:hint="eastAsia" w:ascii="仿宋_GB2312" w:eastAsia="仿宋_GB2312"/>
          <w:sz w:val="28"/>
          <w:szCs w:val="28"/>
          <w:highlight w:val="none"/>
          <w:lang w:eastAsia="zh-CN"/>
        </w:rPr>
        <w:t>万元，比上年减少</w:t>
      </w:r>
      <w:r>
        <w:rPr>
          <w:rFonts w:hint="eastAsia" w:ascii="仿宋_GB2312" w:eastAsia="仿宋_GB2312"/>
          <w:sz w:val="28"/>
          <w:szCs w:val="28"/>
          <w:highlight w:val="none"/>
          <w:lang w:val="en-US" w:eastAsia="zh-CN"/>
        </w:rPr>
        <w:t>69.12</w:t>
      </w:r>
      <w:r>
        <w:rPr>
          <w:rFonts w:hint="eastAsia" w:ascii="仿宋_GB2312" w:eastAsia="仿宋_GB2312"/>
          <w:sz w:val="28"/>
          <w:szCs w:val="28"/>
          <w:highlight w:val="none"/>
          <w:lang w:eastAsia="zh-CN"/>
        </w:rPr>
        <w:t>万元，下降</w:t>
      </w:r>
      <w:r>
        <w:rPr>
          <w:rFonts w:hint="eastAsia" w:ascii="仿宋_GB2312" w:eastAsia="仿宋_GB2312"/>
          <w:sz w:val="28"/>
          <w:szCs w:val="28"/>
          <w:highlight w:val="none"/>
          <w:lang w:val="en-US" w:eastAsia="zh-CN"/>
        </w:rPr>
        <w:t>0.22</w:t>
      </w:r>
      <w:r>
        <w:rPr>
          <w:rFonts w:hint="eastAsia" w:ascii="仿宋_GB2312" w:eastAsia="仿宋_GB2312"/>
          <w:sz w:val="28"/>
          <w:szCs w:val="28"/>
          <w:highlight w:val="none"/>
          <w:lang w:eastAsia="zh-CN"/>
        </w:rPr>
        <w:t>%，其中：基本支出</w:t>
      </w:r>
      <w:r>
        <w:rPr>
          <w:rFonts w:hint="eastAsia" w:ascii="仿宋_GB2312" w:eastAsia="仿宋_GB2312"/>
          <w:sz w:val="28"/>
          <w:szCs w:val="28"/>
          <w:highlight w:val="none"/>
          <w:lang w:val="en-US" w:eastAsia="zh-CN"/>
        </w:rPr>
        <w:t>10,180.26</w:t>
      </w:r>
      <w:r>
        <w:rPr>
          <w:rFonts w:hint="eastAsia" w:ascii="仿宋_GB2312" w:eastAsia="仿宋_GB2312"/>
          <w:sz w:val="28"/>
          <w:szCs w:val="28"/>
          <w:highlight w:val="none"/>
          <w:lang w:eastAsia="zh-CN"/>
        </w:rPr>
        <w:t>万元，占支出合计的31.</w:t>
      </w:r>
      <w:r>
        <w:rPr>
          <w:rFonts w:hint="eastAsia" w:ascii="仿宋_GB2312" w:eastAsia="仿宋_GB2312"/>
          <w:sz w:val="28"/>
          <w:szCs w:val="28"/>
          <w:highlight w:val="none"/>
          <w:lang w:val="en-US" w:eastAsia="zh-CN"/>
        </w:rPr>
        <w:t>79</w:t>
      </w:r>
      <w:r>
        <w:rPr>
          <w:rFonts w:hint="eastAsia" w:ascii="仿宋_GB2312" w:eastAsia="仿宋_GB2312"/>
          <w:sz w:val="28"/>
          <w:szCs w:val="28"/>
          <w:highlight w:val="none"/>
          <w:lang w:eastAsia="zh-CN"/>
        </w:rPr>
        <w:t>%；项目支出</w:t>
      </w:r>
      <w:r>
        <w:rPr>
          <w:rFonts w:hint="eastAsia" w:ascii="仿宋_GB2312" w:eastAsia="仿宋_GB2312"/>
          <w:sz w:val="28"/>
          <w:szCs w:val="28"/>
          <w:highlight w:val="none"/>
          <w:lang w:val="en-US" w:eastAsia="zh-CN"/>
        </w:rPr>
        <w:t>21,842.31</w:t>
      </w:r>
      <w:r>
        <w:rPr>
          <w:rFonts w:hint="eastAsia" w:ascii="仿宋_GB2312" w:eastAsia="仿宋_GB2312"/>
          <w:sz w:val="28"/>
          <w:szCs w:val="28"/>
          <w:highlight w:val="none"/>
          <w:lang w:eastAsia="zh-CN"/>
        </w:rPr>
        <w:t>万元，占支出合计的68.</w:t>
      </w:r>
      <w:r>
        <w:rPr>
          <w:rFonts w:hint="eastAsia" w:ascii="仿宋_GB2312" w:eastAsia="仿宋_GB2312"/>
          <w:sz w:val="28"/>
          <w:szCs w:val="28"/>
          <w:highlight w:val="none"/>
          <w:lang w:val="en-US" w:eastAsia="zh-CN"/>
        </w:rPr>
        <w:t>21</w:t>
      </w:r>
      <w:r>
        <w:rPr>
          <w:rFonts w:hint="eastAsia" w:ascii="仿宋_GB2312" w:eastAsia="仿宋_GB2312"/>
          <w:sz w:val="28"/>
          <w:szCs w:val="28"/>
          <w:highlight w:val="none"/>
          <w:lang w:eastAsia="zh-CN"/>
        </w:rPr>
        <w:t>%;上缴上级支出0万元，占支出合计的0%；经营支出0万元，占支出合计的0%；对附属单位补助支出0万元，占支出合计的0%。</w:t>
      </w:r>
    </w:p>
    <w:p w14:paraId="1366AB90">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29D16BD1">
      <w:pPr>
        <w:jc w:val="center"/>
        <w:rPr>
          <w:rFonts w:ascii="黑体" w:eastAsia="黑体"/>
          <w:b/>
          <w:sz w:val="28"/>
          <w:szCs w:val="28"/>
        </w:rPr>
      </w:pPr>
      <w:r>
        <w:drawing>
          <wp:inline distT="0" distB="0" distL="114300" distR="114300">
            <wp:extent cx="4338955" cy="2603500"/>
            <wp:effectExtent l="4445" t="4445" r="19050" b="2095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1484499">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黑体" w:eastAsia="黑体"/>
          <w:b w:val="0"/>
          <w:bCs/>
          <w:sz w:val="28"/>
          <w:szCs w:val="28"/>
        </w:rPr>
      </w:pPr>
      <w:r>
        <w:rPr>
          <w:rFonts w:hint="eastAsia" w:ascii="黑体" w:eastAsia="黑体"/>
          <w:b w:val="0"/>
          <w:bCs/>
          <w:sz w:val="28"/>
          <w:szCs w:val="28"/>
        </w:rPr>
        <w:t>三、财政拨款收入支出决算总体情况说明</w:t>
      </w:r>
    </w:p>
    <w:p w14:paraId="5369DF5E">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lang w:eastAsia="zh-CN"/>
        </w:rPr>
        <w:t>年度财政拨款收、支总计</w:t>
      </w:r>
      <w:r>
        <w:rPr>
          <w:rFonts w:hint="eastAsia" w:ascii="仿宋_GB2312" w:eastAsia="仿宋_GB2312"/>
          <w:sz w:val="28"/>
          <w:szCs w:val="28"/>
          <w:highlight w:val="none"/>
          <w:lang w:val="en-US" w:eastAsia="zh-CN"/>
        </w:rPr>
        <w:t>35,010.22</w:t>
      </w:r>
      <w:r>
        <w:rPr>
          <w:rFonts w:hint="eastAsia" w:ascii="仿宋_GB2312" w:eastAsia="仿宋_GB2312"/>
          <w:sz w:val="28"/>
          <w:szCs w:val="28"/>
          <w:highlight w:val="none"/>
          <w:lang w:eastAsia="zh-CN"/>
        </w:rPr>
        <w:t>万元，比上年增加</w:t>
      </w:r>
      <w:r>
        <w:rPr>
          <w:rFonts w:hint="eastAsia" w:ascii="仿宋_GB2312" w:eastAsia="仿宋_GB2312"/>
          <w:sz w:val="28"/>
          <w:szCs w:val="28"/>
          <w:highlight w:val="none"/>
          <w:lang w:val="en-US" w:eastAsia="zh-CN"/>
        </w:rPr>
        <w:t>1,455.38</w:t>
      </w:r>
      <w:r>
        <w:rPr>
          <w:rFonts w:hint="eastAsia" w:ascii="仿宋_GB2312" w:eastAsia="仿宋_GB2312"/>
          <w:sz w:val="28"/>
          <w:szCs w:val="28"/>
          <w:highlight w:val="none"/>
          <w:lang w:eastAsia="zh-CN"/>
        </w:rPr>
        <w:t>万元，增长</w:t>
      </w:r>
      <w:r>
        <w:rPr>
          <w:rFonts w:hint="eastAsia" w:ascii="仿宋_GB2312" w:eastAsia="仿宋_GB2312"/>
          <w:sz w:val="28"/>
          <w:szCs w:val="28"/>
          <w:highlight w:val="none"/>
          <w:lang w:val="en-US" w:eastAsia="zh-CN"/>
        </w:rPr>
        <w:t>4.34</w:t>
      </w:r>
      <w:r>
        <w:rPr>
          <w:rFonts w:hint="eastAsia" w:ascii="仿宋_GB2312" w:eastAsia="仿宋_GB2312"/>
          <w:sz w:val="28"/>
          <w:szCs w:val="28"/>
          <w:highlight w:val="none"/>
          <w:lang w:eastAsia="zh-CN"/>
        </w:rPr>
        <w:t>%。主要原因：</w:t>
      </w:r>
      <w:r>
        <w:rPr>
          <w:rFonts w:hint="eastAsia" w:ascii="仿宋_GB2312" w:eastAsia="仿宋_GB2312"/>
          <w:sz w:val="28"/>
          <w:szCs w:val="28"/>
          <w:highlight w:val="none"/>
          <w:lang w:val="en-US" w:eastAsia="zh-CN"/>
        </w:rPr>
        <w:t>大力开展双奥赛事名城建设，</w:t>
      </w:r>
      <w:r>
        <w:rPr>
          <w:rFonts w:hint="eastAsia" w:ascii="仿宋_GB2312" w:eastAsia="仿宋_GB2312"/>
          <w:sz w:val="28"/>
          <w:szCs w:val="28"/>
          <w:highlight w:val="none"/>
          <w:lang w:eastAsia="zh-CN"/>
        </w:rPr>
        <w:t>增加青少年运动会备战参赛等项目经费。</w:t>
      </w:r>
    </w:p>
    <w:p w14:paraId="5CD19A61">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黑体" w:eastAsia="黑体"/>
          <w:b w:val="0"/>
          <w:bCs/>
          <w:sz w:val="28"/>
          <w:szCs w:val="28"/>
        </w:rPr>
      </w:pPr>
      <w:r>
        <w:rPr>
          <w:rFonts w:hint="eastAsia" w:ascii="黑体" w:eastAsia="黑体"/>
          <w:b w:val="0"/>
          <w:bCs/>
          <w:sz w:val="28"/>
          <w:szCs w:val="28"/>
        </w:rPr>
        <w:t>四、一般公共预算财政拨款支出决算情况说明</w:t>
      </w:r>
    </w:p>
    <w:p w14:paraId="5370AE64">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（一）一般公共预算财政拨款支出决算总体情况</w:t>
      </w:r>
    </w:p>
    <w:p w14:paraId="7B041BB8">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lang w:eastAsia="zh-CN"/>
        </w:rPr>
        <w:t>年度一般公共预算财政拨款支出</w:t>
      </w:r>
      <w:r>
        <w:rPr>
          <w:rFonts w:hint="eastAsia" w:ascii="仿宋_GB2312" w:eastAsia="仿宋_GB2312"/>
          <w:sz w:val="28"/>
          <w:szCs w:val="28"/>
          <w:highlight w:val="none"/>
          <w:lang w:val="en-US" w:eastAsia="zh-CN"/>
        </w:rPr>
        <w:t>25,010.36</w:t>
      </w:r>
      <w:r>
        <w:rPr>
          <w:rFonts w:hint="eastAsia" w:ascii="仿宋_GB2312" w:eastAsia="仿宋_GB2312"/>
          <w:sz w:val="28"/>
          <w:szCs w:val="28"/>
          <w:highlight w:val="none"/>
          <w:lang w:eastAsia="zh-CN"/>
        </w:rPr>
        <w:t>万元，主要用于以下方面：教育支出</w:t>
      </w:r>
      <w:r>
        <w:rPr>
          <w:rFonts w:hint="eastAsia" w:ascii="仿宋_GB2312" w:eastAsia="仿宋_GB2312"/>
          <w:sz w:val="28"/>
          <w:szCs w:val="28"/>
          <w:highlight w:val="none"/>
          <w:lang w:val="en-US" w:eastAsia="zh-CN"/>
        </w:rPr>
        <w:t>32.18</w:t>
      </w:r>
      <w:r>
        <w:rPr>
          <w:rFonts w:hint="eastAsia" w:ascii="仿宋_GB2312" w:eastAsia="仿宋_GB2312"/>
          <w:sz w:val="28"/>
          <w:szCs w:val="28"/>
          <w:highlight w:val="none"/>
          <w:lang w:eastAsia="zh-CN"/>
        </w:rPr>
        <w:t>万元，占本年财政拨款支出</w:t>
      </w:r>
      <w:r>
        <w:rPr>
          <w:rFonts w:hint="eastAsia" w:ascii="仿宋_GB2312" w:eastAsia="仿宋_GB2312"/>
          <w:sz w:val="28"/>
          <w:szCs w:val="28"/>
          <w:highlight w:val="none"/>
          <w:lang w:val="en-US" w:eastAsia="zh-CN"/>
        </w:rPr>
        <w:t>0.10</w:t>
      </w:r>
      <w:r>
        <w:rPr>
          <w:rFonts w:hint="eastAsia" w:ascii="仿宋_GB2312" w:eastAsia="仿宋_GB2312"/>
          <w:sz w:val="28"/>
          <w:szCs w:val="28"/>
          <w:highlight w:val="none"/>
          <w:lang w:eastAsia="zh-CN"/>
        </w:rPr>
        <w:t>%；文化旅游体育与传媒支出</w:t>
      </w:r>
      <w:r>
        <w:rPr>
          <w:rFonts w:hint="eastAsia" w:ascii="仿宋_GB2312" w:eastAsia="仿宋_GB2312"/>
          <w:sz w:val="28"/>
          <w:szCs w:val="28"/>
          <w:highlight w:val="none"/>
          <w:lang w:val="en-US" w:eastAsia="zh-CN"/>
        </w:rPr>
        <w:t>24,978.18</w:t>
      </w:r>
      <w:r>
        <w:rPr>
          <w:rFonts w:hint="eastAsia" w:ascii="仿宋_GB2312" w:eastAsia="仿宋_GB2312"/>
          <w:sz w:val="28"/>
          <w:szCs w:val="28"/>
          <w:highlight w:val="none"/>
          <w:lang w:eastAsia="zh-CN"/>
        </w:rPr>
        <w:t>万元，占本年财政拨款支出</w:t>
      </w:r>
      <w:r>
        <w:rPr>
          <w:rFonts w:hint="eastAsia" w:ascii="仿宋_GB2312" w:eastAsia="仿宋_GB2312"/>
          <w:sz w:val="28"/>
          <w:szCs w:val="28"/>
          <w:highlight w:val="none"/>
          <w:lang w:val="en-US" w:eastAsia="zh-CN"/>
        </w:rPr>
        <w:t>78.03</w:t>
      </w:r>
      <w:r>
        <w:rPr>
          <w:rFonts w:hint="eastAsia" w:ascii="仿宋_GB2312" w:eastAsia="仿宋_GB2312"/>
          <w:sz w:val="28"/>
          <w:szCs w:val="28"/>
          <w:highlight w:val="none"/>
          <w:lang w:eastAsia="zh-CN"/>
        </w:rPr>
        <w:t>%。</w:t>
      </w:r>
    </w:p>
    <w:p w14:paraId="327578E0">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（二）一般公共预算财政拨款支出决算具体情况</w:t>
      </w:r>
    </w:p>
    <w:p w14:paraId="05E2B696">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1</w:t>
      </w:r>
      <w:r>
        <w:rPr>
          <w:rFonts w:hint="eastAsia" w:ascii="仿宋_GB2312" w:eastAsia="仿宋_GB2312"/>
          <w:sz w:val="28"/>
          <w:szCs w:val="28"/>
          <w:highlight w:val="none"/>
          <w:lang w:val="en-US" w:eastAsia="zh-CN"/>
        </w:rPr>
        <w:t>.</w:t>
      </w:r>
      <w:r>
        <w:rPr>
          <w:rFonts w:hint="eastAsia" w:ascii="仿宋_GB2312" w:eastAsia="仿宋_GB2312"/>
          <w:sz w:val="28"/>
          <w:szCs w:val="28"/>
          <w:highlight w:val="none"/>
          <w:lang w:eastAsia="zh-CN"/>
        </w:rPr>
        <w:t>“教育支出”2024年度年初预算50.95万元，2024年度决算32.18万元，完成年初预算的6</w:t>
      </w:r>
      <w:r>
        <w:rPr>
          <w:rFonts w:hint="eastAsia" w:ascii="仿宋_GB2312" w:eastAsia="仿宋_GB2312"/>
          <w:sz w:val="28"/>
          <w:szCs w:val="28"/>
          <w:highlight w:val="none"/>
          <w:lang w:val="en-US" w:eastAsia="zh-CN"/>
        </w:rPr>
        <w:t>3</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16</w:t>
      </w:r>
      <w:r>
        <w:rPr>
          <w:rFonts w:hint="eastAsia" w:ascii="仿宋_GB2312" w:eastAsia="仿宋_GB2312"/>
          <w:sz w:val="28"/>
          <w:szCs w:val="28"/>
          <w:highlight w:val="none"/>
          <w:lang w:eastAsia="zh-CN"/>
        </w:rPr>
        <w:t>%。其中：</w:t>
      </w:r>
    </w:p>
    <w:p w14:paraId="0547B326">
      <w:pPr>
        <w:keepNext w:val="0"/>
        <w:keepLines w:val="0"/>
        <w:pageBreakBefore w:val="0"/>
        <w:widowControl w:val="0"/>
        <w:tabs>
          <w:tab w:val="center" w:pos="6979"/>
        </w:tabs>
        <w:kinsoku/>
        <w:wordWrap/>
        <w:overflowPunct/>
        <w:topLinePunct w:val="0"/>
        <w:autoSpaceDE/>
        <w:autoSpaceDN/>
        <w:bidi w:val="0"/>
        <w:adjustRightInd/>
        <w:snapToGrid/>
        <w:spacing w:line="580" w:lineRule="exact"/>
        <w:ind w:left="0"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“进修及培训”2024年度年初预算</w:t>
      </w:r>
      <w:r>
        <w:rPr>
          <w:rFonts w:hint="eastAsia" w:ascii="仿宋_GB2312" w:eastAsia="仿宋_GB2312"/>
          <w:sz w:val="28"/>
          <w:szCs w:val="28"/>
          <w:highlight w:val="none"/>
          <w:lang w:eastAsia="zh-CN"/>
        </w:rPr>
        <w:t>50.95</w:t>
      </w:r>
      <w:r>
        <w:rPr>
          <w:rFonts w:hint="eastAsia" w:ascii="仿宋_GB2312" w:eastAsia="仿宋_GB2312"/>
          <w:sz w:val="28"/>
          <w:szCs w:val="28"/>
          <w:highlight w:val="none"/>
          <w:lang w:val="en-US" w:eastAsia="zh-CN"/>
        </w:rPr>
        <w:t>万元，2024年度决算</w:t>
      </w:r>
      <w:r>
        <w:rPr>
          <w:rFonts w:hint="eastAsia" w:ascii="仿宋_GB2312" w:eastAsia="仿宋_GB2312"/>
          <w:sz w:val="28"/>
          <w:szCs w:val="28"/>
          <w:highlight w:val="none"/>
          <w:lang w:eastAsia="zh-CN"/>
        </w:rPr>
        <w:t>32.18</w:t>
      </w:r>
      <w:r>
        <w:rPr>
          <w:rFonts w:hint="eastAsia" w:ascii="仿宋_GB2312" w:eastAsia="仿宋_GB2312"/>
          <w:sz w:val="28"/>
          <w:szCs w:val="28"/>
          <w:highlight w:val="none"/>
          <w:lang w:val="en-US" w:eastAsia="zh-CN"/>
        </w:rPr>
        <w:t>万元，完成年初预算的</w:t>
      </w:r>
      <w:r>
        <w:rPr>
          <w:rFonts w:hint="eastAsia" w:ascii="仿宋_GB2312" w:eastAsia="仿宋_GB2312"/>
          <w:sz w:val="28"/>
          <w:szCs w:val="28"/>
          <w:highlight w:val="none"/>
          <w:lang w:eastAsia="zh-CN"/>
        </w:rPr>
        <w:t>6</w:t>
      </w:r>
      <w:r>
        <w:rPr>
          <w:rFonts w:hint="eastAsia" w:ascii="仿宋_GB2312" w:eastAsia="仿宋_GB2312"/>
          <w:sz w:val="28"/>
          <w:szCs w:val="28"/>
          <w:highlight w:val="none"/>
          <w:lang w:val="en-US" w:eastAsia="zh-CN"/>
        </w:rPr>
        <w:t>3</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16%。主要原因：厉行勤俭节约，压减培训费支出。</w:t>
      </w:r>
    </w:p>
    <w:p w14:paraId="040E9D4B">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2</w:t>
      </w:r>
      <w:r>
        <w:rPr>
          <w:rFonts w:hint="eastAsia" w:ascii="仿宋_GB2312" w:eastAsia="仿宋_GB2312"/>
          <w:sz w:val="28"/>
          <w:szCs w:val="28"/>
          <w:highlight w:val="none"/>
          <w:lang w:val="en-US" w:eastAsia="zh-CN"/>
        </w:rPr>
        <w:t>.</w:t>
      </w:r>
      <w:r>
        <w:rPr>
          <w:rFonts w:hint="eastAsia" w:ascii="仿宋_GB2312" w:eastAsia="仿宋_GB2312"/>
          <w:sz w:val="28"/>
          <w:szCs w:val="28"/>
          <w:highlight w:val="none"/>
          <w:lang w:eastAsia="zh-CN"/>
        </w:rPr>
        <w:t>“文化旅游体育与传媒支出”2024年度年初预算15</w:t>
      </w:r>
      <w:r>
        <w:rPr>
          <w:rFonts w:hint="eastAsia" w:ascii="仿宋_GB2312" w:eastAsia="仿宋_GB2312"/>
          <w:sz w:val="28"/>
          <w:szCs w:val="28"/>
          <w:highlight w:val="none"/>
          <w:lang w:val="en-US" w:eastAsia="zh-CN"/>
        </w:rPr>
        <w:t>,</w:t>
      </w:r>
      <w:r>
        <w:rPr>
          <w:rFonts w:hint="eastAsia" w:ascii="仿宋_GB2312" w:eastAsia="仿宋_GB2312"/>
          <w:sz w:val="28"/>
          <w:szCs w:val="28"/>
          <w:highlight w:val="none"/>
          <w:lang w:eastAsia="zh-CN"/>
        </w:rPr>
        <w:t>697.4</w:t>
      </w:r>
      <w:r>
        <w:rPr>
          <w:rFonts w:hint="eastAsia" w:ascii="仿宋_GB2312" w:eastAsia="仿宋_GB2312"/>
          <w:sz w:val="28"/>
          <w:szCs w:val="28"/>
          <w:highlight w:val="none"/>
          <w:lang w:val="en-US" w:eastAsia="zh-CN"/>
        </w:rPr>
        <w:t>2</w:t>
      </w:r>
      <w:r>
        <w:rPr>
          <w:rFonts w:hint="eastAsia" w:ascii="仿宋_GB2312" w:eastAsia="仿宋_GB2312"/>
          <w:sz w:val="28"/>
          <w:szCs w:val="28"/>
          <w:highlight w:val="none"/>
          <w:lang w:eastAsia="zh-CN"/>
        </w:rPr>
        <w:t>万元，2024年度决算24</w:t>
      </w:r>
      <w:r>
        <w:rPr>
          <w:rFonts w:hint="eastAsia" w:ascii="仿宋_GB2312" w:eastAsia="仿宋_GB2312"/>
          <w:sz w:val="28"/>
          <w:szCs w:val="28"/>
          <w:highlight w:val="none"/>
          <w:lang w:val="en-US" w:eastAsia="zh-CN"/>
        </w:rPr>
        <w:t>,</w:t>
      </w:r>
      <w:r>
        <w:rPr>
          <w:rFonts w:hint="eastAsia" w:ascii="仿宋_GB2312" w:eastAsia="仿宋_GB2312"/>
          <w:sz w:val="28"/>
          <w:szCs w:val="28"/>
          <w:highlight w:val="none"/>
          <w:lang w:eastAsia="zh-CN"/>
        </w:rPr>
        <w:t>978.1</w:t>
      </w:r>
      <w:r>
        <w:rPr>
          <w:rFonts w:hint="eastAsia" w:ascii="仿宋_GB2312" w:eastAsia="仿宋_GB2312"/>
          <w:sz w:val="28"/>
          <w:szCs w:val="28"/>
          <w:highlight w:val="none"/>
          <w:lang w:val="en-US" w:eastAsia="zh-CN"/>
        </w:rPr>
        <w:t>8</w:t>
      </w:r>
      <w:r>
        <w:rPr>
          <w:rFonts w:hint="eastAsia" w:ascii="仿宋_GB2312" w:eastAsia="仿宋_GB2312"/>
          <w:sz w:val="28"/>
          <w:szCs w:val="28"/>
          <w:highlight w:val="none"/>
          <w:lang w:eastAsia="zh-CN"/>
        </w:rPr>
        <w:t>万元，完成年初预算的159.12%。其中：</w:t>
      </w:r>
    </w:p>
    <w:p w14:paraId="2DE592F2">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“体育”2024年度年初预算15</w:t>
      </w:r>
      <w:r>
        <w:rPr>
          <w:rFonts w:hint="eastAsia" w:ascii="仿宋_GB2312" w:eastAsia="仿宋_GB2312"/>
          <w:sz w:val="28"/>
          <w:szCs w:val="28"/>
          <w:highlight w:val="none"/>
          <w:lang w:val="en-US" w:eastAsia="zh-CN"/>
        </w:rPr>
        <w:t>,</w:t>
      </w:r>
      <w:r>
        <w:rPr>
          <w:rFonts w:hint="eastAsia" w:ascii="仿宋_GB2312" w:eastAsia="仿宋_GB2312"/>
          <w:sz w:val="28"/>
          <w:szCs w:val="28"/>
          <w:highlight w:val="none"/>
          <w:lang w:eastAsia="zh-CN"/>
        </w:rPr>
        <w:t>697.4</w:t>
      </w:r>
      <w:r>
        <w:rPr>
          <w:rFonts w:hint="eastAsia" w:ascii="仿宋_GB2312" w:eastAsia="仿宋_GB2312"/>
          <w:sz w:val="28"/>
          <w:szCs w:val="28"/>
          <w:highlight w:val="none"/>
          <w:lang w:val="en-US" w:eastAsia="zh-CN"/>
        </w:rPr>
        <w:t>2</w:t>
      </w:r>
      <w:r>
        <w:rPr>
          <w:rFonts w:hint="eastAsia" w:ascii="仿宋_GB2312" w:eastAsia="仿宋_GB2312"/>
          <w:sz w:val="28"/>
          <w:szCs w:val="28"/>
          <w:highlight w:val="none"/>
          <w:lang w:eastAsia="zh-CN"/>
        </w:rPr>
        <w:t>万元，2024年度决算24</w:t>
      </w:r>
      <w:r>
        <w:rPr>
          <w:rFonts w:hint="eastAsia" w:ascii="仿宋_GB2312" w:eastAsia="仿宋_GB2312"/>
          <w:sz w:val="28"/>
          <w:szCs w:val="28"/>
          <w:highlight w:val="none"/>
          <w:lang w:val="en-US" w:eastAsia="zh-CN"/>
        </w:rPr>
        <w:t>,</w:t>
      </w:r>
      <w:r>
        <w:rPr>
          <w:rFonts w:hint="eastAsia" w:ascii="仿宋_GB2312" w:eastAsia="仿宋_GB2312"/>
          <w:sz w:val="28"/>
          <w:szCs w:val="28"/>
          <w:highlight w:val="none"/>
          <w:lang w:eastAsia="zh-CN"/>
        </w:rPr>
        <w:t>978.1</w:t>
      </w:r>
      <w:r>
        <w:rPr>
          <w:rFonts w:hint="eastAsia" w:ascii="仿宋_GB2312" w:eastAsia="仿宋_GB2312"/>
          <w:sz w:val="28"/>
          <w:szCs w:val="28"/>
          <w:highlight w:val="none"/>
          <w:lang w:val="en-US" w:eastAsia="zh-CN"/>
        </w:rPr>
        <w:t>8</w:t>
      </w:r>
      <w:r>
        <w:rPr>
          <w:rFonts w:hint="eastAsia" w:ascii="仿宋_GB2312" w:eastAsia="仿宋_GB2312"/>
          <w:sz w:val="28"/>
          <w:szCs w:val="28"/>
          <w:highlight w:val="none"/>
          <w:lang w:eastAsia="zh-CN"/>
        </w:rPr>
        <w:t>万元，完成年初预算的159.12%。主要原因：大力开展双奥赛事名城建设，增加青少年运动会备战参赛等项目经费。</w:t>
      </w:r>
      <w:bookmarkStart w:id="0" w:name="_GoBack"/>
      <w:bookmarkEnd w:id="0"/>
    </w:p>
    <w:p w14:paraId="24A4F2FC">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黑体" w:eastAsia="黑体"/>
          <w:b w:val="0"/>
          <w:bCs/>
          <w:sz w:val="28"/>
          <w:szCs w:val="28"/>
        </w:rPr>
      </w:pPr>
      <w:r>
        <w:rPr>
          <w:rFonts w:hint="eastAsia" w:ascii="黑体" w:eastAsia="黑体"/>
          <w:b w:val="0"/>
          <w:bCs/>
          <w:sz w:val="28"/>
          <w:szCs w:val="28"/>
        </w:rPr>
        <w:t>五、政府性基金预算财政拨款支出决算情况说明</w:t>
      </w:r>
    </w:p>
    <w:p w14:paraId="4D988A05">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（一）政府性基金预算财政拨款支出决算总体情况</w:t>
      </w:r>
    </w:p>
    <w:p w14:paraId="6B5B12B8">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2024年度政府性基金预算财政拨款支出6,999.71万元，主要用于以下方面：其他支出6,999.71万元，占本年财政拨款支出21.87%。</w:t>
      </w:r>
    </w:p>
    <w:p w14:paraId="5359C28C">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（二）政府性基金预算财政拨款支出决算具体情况</w:t>
      </w:r>
    </w:p>
    <w:p w14:paraId="3594B32C">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“其他支出”2024年度年初预算6,766.45万元，2024年度决算6,999.71万元，完成年初预算的103.45%。其中：</w:t>
      </w:r>
    </w:p>
    <w:p w14:paraId="175DF21F">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“彩票公益金安排的支出”2024年度年初预算6,766.45万元，2024年度决算6,999.71万元，完成年初预算的103.45%。与年初预算数基本持平。</w:t>
      </w:r>
    </w:p>
    <w:p w14:paraId="626AE6DE">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黑体" w:eastAsia="黑体"/>
          <w:b w:val="0"/>
          <w:bCs/>
          <w:sz w:val="28"/>
          <w:szCs w:val="28"/>
        </w:rPr>
      </w:pPr>
      <w:r>
        <w:rPr>
          <w:rFonts w:hint="eastAsia" w:ascii="黑体" w:eastAsia="黑体"/>
          <w:b w:val="0"/>
          <w:bCs/>
          <w:sz w:val="28"/>
          <w:szCs w:val="28"/>
        </w:rPr>
        <w:t>六、国有资本经营预算财政拨款收支情况</w:t>
      </w:r>
    </w:p>
    <w:p w14:paraId="0592F133">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本单位无此项经费。</w:t>
      </w:r>
    </w:p>
    <w:p w14:paraId="64F68A13">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黑体" w:eastAsia="黑体"/>
          <w:b w:val="0"/>
          <w:bCs/>
          <w:sz w:val="28"/>
          <w:szCs w:val="28"/>
        </w:rPr>
      </w:pPr>
      <w:r>
        <w:rPr>
          <w:rFonts w:hint="eastAsia" w:ascii="黑体" w:eastAsia="黑体"/>
          <w:b w:val="0"/>
          <w:bCs/>
          <w:sz w:val="28"/>
          <w:szCs w:val="28"/>
        </w:rPr>
        <w:t>七、财政拨款基本支出决算情况说明</w:t>
      </w:r>
    </w:p>
    <w:p w14:paraId="460BB9C8">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lang w:eastAsia="zh-CN"/>
        </w:rPr>
        <w:t>年度使用一般公共预算财政拨款安排基本支出</w:t>
      </w:r>
      <w:r>
        <w:rPr>
          <w:rFonts w:hint="eastAsia" w:ascii="仿宋_GB2312" w:eastAsia="仿宋_GB2312"/>
          <w:sz w:val="28"/>
          <w:szCs w:val="28"/>
          <w:highlight w:val="none"/>
          <w:lang w:val="en-US" w:eastAsia="zh-CN"/>
        </w:rPr>
        <w:t>10,179.36</w:t>
      </w:r>
      <w:r>
        <w:rPr>
          <w:rFonts w:hint="eastAsia" w:ascii="仿宋_GB2312" w:eastAsia="仿宋_GB2312"/>
          <w:sz w:val="28"/>
          <w:szCs w:val="28"/>
          <w:highlight w:val="none"/>
          <w:lang w:eastAsia="zh-CN"/>
        </w:rPr>
        <w:t>万元，使用政府性基金财政拨款安排基本支出0万元，（1）工资福利支出包括基本工资、津贴补贴、奖金、伙食补助费、绩效工资、其他社会保障缴费、其他工资福利等支出；（2）商品和服务支出包括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等支出；（3）对个人和家庭补助支出包括离休费、退休费、抚恤金、生活补助、救济费、医疗费补助、助学金、奖励金、其他对个人和家庭的补助等支出。（4）其他资本性支出包括办公设备购置、专用设备购置等。</w:t>
      </w:r>
    </w:p>
    <w:p w14:paraId="403E70F6">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14:paraId="36684E8E">
      <w:pPr>
        <w:rPr>
          <w:rFonts w:hint="eastAsia" w:ascii="宋体" w:hAnsi="宋体" w:cs="宋体"/>
          <w:b/>
          <w:bCs/>
          <w:spacing w:val="40"/>
          <w:kern w:val="0"/>
          <w:sz w:val="32"/>
          <w:szCs w:val="32"/>
        </w:rPr>
      </w:pPr>
      <w:r>
        <w:rPr>
          <w:rFonts w:hint="eastAsia" w:ascii="宋体" w:hAnsi="宋体" w:cs="宋体"/>
          <w:b/>
          <w:bCs/>
          <w:spacing w:val="40"/>
          <w:kern w:val="0"/>
          <w:sz w:val="32"/>
          <w:szCs w:val="32"/>
        </w:rPr>
        <w:br w:type="page"/>
      </w:r>
    </w:p>
    <w:p w14:paraId="0442D33C">
      <w:pPr>
        <w:keepNext w:val="0"/>
        <w:keepLines w:val="0"/>
        <w:pageBreakBefore w:val="0"/>
        <w:widowControl w:val="0"/>
        <w:tabs>
          <w:tab w:val="center" w:pos="6979"/>
        </w:tabs>
        <w:kinsoku/>
        <w:wordWrap/>
        <w:overflowPunct/>
        <w:topLinePunct w:val="0"/>
        <w:autoSpaceDE/>
        <w:autoSpaceDN/>
        <w:bidi w:val="0"/>
        <w:adjustRightInd/>
        <w:snapToGrid/>
        <w:spacing w:line="560" w:lineRule="exact"/>
        <w:jc w:val="center"/>
        <w:textAlignment w:val="auto"/>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2CD6084E">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黑体" w:eastAsia="黑体"/>
          <w:b w:val="0"/>
          <w:bCs/>
          <w:sz w:val="28"/>
          <w:szCs w:val="28"/>
        </w:rPr>
      </w:pPr>
      <w:r>
        <w:rPr>
          <w:rFonts w:hint="eastAsia" w:ascii="黑体" w:eastAsia="黑体"/>
          <w:b w:val="0"/>
          <w:bCs/>
          <w:sz w:val="28"/>
          <w:szCs w:val="28"/>
        </w:rPr>
        <w:t>一、“三公”经费财政拨款决算情况</w:t>
      </w:r>
    </w:p>
    <w:p w14:paraId="0ADCAD89">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2024年度“三公”经费财政拨款决算数43.03万元，比2024年度“三公”经费财政拨款年初预算110.</w:t>
      </w:r>
      <w:r>
        <w:rPr>
          <w:rFonts w:hint="eastAsia" w:ascii="仿宋_GB2312" w:eastAsia="仿宋_GB2312"/>
          <w:sz w:val="28"/>
          <w:szCs w:val="28"/>
          <w:highlight w:val="none"/>
          <w:lang w:val="en-US" w:eastAsia="zh-CN"/>
        </w:rPr>
        <w:t>9</w:t>
      </w:r>
      <w:r>
        <w:rPr>
          <w:rFonts w:hint="eastAsia" w:ascii="仿宋_GB2312" w:eastAsia="仿宋_GB2312"/>
          <w:sz w:val="28"/>
          <w:szCs w:val="28"/>
          <w:highlight w:val="none"/>
          <w:lang w:eastAsia="zh-CN"/>
        </w:rPr>
        <w:t>3万元减少</w:t>
      </w:r>
      <w:r>
        <w:rPr>
          <w:rFonts w:hint="eastAsia" w:ascii="仿宋_GB2312" w:eastAsia="仿宋_GB2312"/>
          <w:sz w:val="28"/>
          <w:szCs w:val="28"/>
          <w:highlight w:val="none"/>
          <w:lang w:val="en-US" w:eastAsia="zh-CN"/>
        </w:rPr>
        <w:t>67.90</w:t>
      </w:r>
      <w:r>
        <w:rPr>
          <w:rFonts w:hint="eastAsia" w:ascii="仿宋_GB2312" w:eastAsia="仿宋_GB2312"/>
          <w:sz w:val="28"/>
          <w:szCs w:val="28"/>
          <w:highlight w:val="none"/>
          <w:lang w:eastAsia="zh-CN"/>
        </w:rPr>
        <w:t>万元。其中：</w:t>
      </w:r>
    </w:p>
    <w:p w14:paraId="5D785D88">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1.因公出国（境）费用。202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lang w:eastAsia="zh-CN"/>
        </w:rPr>
        <w:t>年度决算数35.69万元，比202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lang w:eastAsia="zh-CN"/>
        </w:rPr>
        <w:t>年度年初预算数90万元减少54.31万元。主要原因：落实政府过紧日子要求，减少因公出国（境）支出；202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lang w:eastAsia="zh-CN"/>
        </w:rPr>
        <w:t>年度因公出国（境）费用主要用于出席2029年世界游泳锦标赛申办陈述会和签约仪式、巴黎奥运会等；202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lang w:eastAsia="zh-CN"/>
        </w:rPr>
        <w:t>年度组织因公出国（境）团组5个、10人次。</w:t>
      </w:r>
    </w:p>
    <w:p w14:paraId="49309A23">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2.公务接待费。202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lang w:eastAsia="zh-CN"/>
        </w:rPr>
        <w:t>年度决算数0万元，比202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lang w:eastAsia="zh-CN"/>
        </w:rPr>
        <w:t>年度年初预算数4.</w:t>
      </w:r>
      <w:r>
        <w:rPr>
          <w:rFonts w:hint="eastAsia" w:ascii="仿宋_GB2312" w:eastAsia="仿宋_GB2312"/>
          <w:sz w:val="28"/>
          <w:szCs w:val="28"/>
          <w:highlight w:val="none"/>
          <w:lang w:val="en-US" w:eastAsia="zh-CN"/>
        </w:rPr>
        <w:t>73</w:t>
      </w:r>
      <w:r>
        <w:rPr>
          <w:rFonts w:hint="eastAsia" w:ascii="仿宋_GB2312" w:eastAsia="仿宋_GB2312"/>
          <w:sz w:val="28"/>
          <w:szCs w:val="28"/>
          <w:highlight w:val="none"/>
          <w:lang w:eastAsia="zh-CN"/>
        </w:rPr>
        <w:t>万元减少</w:t>
      </w:r>
      <w:r>
        <w:rPr>
          <w:rFonts w:hint="eastAsia" w:ascii="仿宋_GB2312" w:eastAsia="仿宋_GB2312"/>
          <w:sz w:val="28"/>
          <w:szCs w:val="28"/>
          <w:highlight w:val="none"/>
          <w:lang w:val="en-US" w:eastAsia="zh-CN"/>
        </w:rPr>
        <w:t>4.73</w:t>
      </w:r>
      <w:r>
        <w:rPr>
          <w:rFonts w:hint="eastAsia" w:ascii="仿宋_GB2312" w:eastAsia="仿宋_GB2312"/>
          <w:sz w:val="28"/>
          <w:szCs w:val="28"/>
          <w:highlight w:val="none"/>
          <w:lang w:eastAsia="zh-CN"/>
        </w:rPr>
        <w:t>万元。主要原因：厉行勤俭节约，压减公务接待费支出。公务接待0批次，公务接待0人次。</w:t>
      </w:r>
    </w:p>
    <w:p w14:paraId="28C7C017">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3.公务用车购置及运行维护费。202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lang w:eastAsia="zh-CN"/>
        </w:rPr>
        <w:t>年度决算数7.34万元，比202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lang w:eastAsia="zh-CN"/>
        </w:rPr>
        <w:t>年度年初预算数16.2万元减少8.86万元。其中，本单位无公务用车购置费支出。公务用车运行维护费202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lang w:eastAsia="zh-CN"/>
        </w:rPr>
        <w:t>年度决算数</w:t>
      </w:r>
      <w:r>
        <w:rPr>
          <w:rFonts w:hint="eastAsia" w:ascii="仿宋_GB2312" w:eastAsia="仿宋_GB2312"/>
          <w:sz w:val="28"/>
          <w:szCs w:val="28"/>
          <w:highlight w:val="none"/>
          <w:lang w:val="en-US" w:eastAsia="zh-CN"/>
        </w:rPr>
        <w:t>7.34</w:t>
      </w:r>
      <w:r>
        <w:rPr>
          <w:rFonts w:hint="eastAsia" w:ascii="仿宋_GB2312" w:eastAsia="仿宋_GB2312"/>
          <w:sz w:val="28"/>
          <w:szCs w:val="28"/>
          <w:highlight w:val="none"/>
          <w:lang w:eastAsia="zh-CN"/>
        </w:rPr>
        <w:t>万元，主要原因：厉行勤俭节约，压减公务用车运行维护支出。202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lang w:eastAsia="zh-CN"/>
        </w:rPr>
        <w:t>年度公务用车保有量6辆。</w:t>
      </w:r>
    </w:p>
    <w:p w14:paraId="556973B2">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黑体" w:eastAsia="黑体"/>
          <w:b w:val="0"/>
          <w:bCs/>
          <w:sz w:val="28"/>
          <w:szCs w:val="28"/>
        </w:rPr>
      </w:pPr>
      <w:r>
        <w:rPr>
          <w:rFonts w:hint="eastAsia" w:ascii="黑体" w:eastAsia="黑体"/>
          <w:b w:val="0"/>
          <w:bCs/>
          <w:sz w:val="28"/>
          <w:szCs w:val="28"/>
        </w:rPr>
        <w:t>二、机关运行经费支出情况</w:t>
      </w:r>
    </w:p>
    <w:p w14:paraId="18804BB2">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lang w:eastAsia="zh-CN"/>
        </w:rPr>
        <w:t>年度机关运行经费支出合计</w:t>
      </w:r>
      <w:r>
        <w:rPr>
          <w:rFonts w:hint="eastAsia" w:ascii="仿宋_GB2312" w:eastAsia="仿宋_GB2312"/>
          <w:sz w:val="28"/>
          <w:szCs w:val="28"/>
          <w:highlight w:val="none"/>
          <w:lang w:val="en-US" w:eastAsia="zh-CN"/>
        </w:rPr>
        <w:t>365.57</w:t>
      </w:r>
      <w:r>
        <w:rPr>
          <w:rFonts w:hint="eastAsia" w:ascii="仿宋_GB2312" w:eastAsia="仿宋_GB2312"/>
          <w:sz w:val="28"/>
          <w:szCs w:val="28"/>
          <w:highlight w:val="none"/>
          <w:lang w:eastAsia="zh-CN"/>
        </w:rPr>
        <w:t>万元，比上年减少118</w:t>
      </w:r>
      <w:r>
        <w:rPr>
          <w:rFonts w:hint="eastAsia" w:ascii="仿宋_GB2312" w:eastAsia="仿宋_GB2312"/>
          <w:sz w:val="28"/>
          <w:szCs w:val="28"/>
          <w:highlight w:val="none"/>
          <w:lang w:val="en-US" w:eastAsia="zh-CN"/>
        </w:rPr>
        <w:t>.</w:t>
      </w:r>
      <w:r>
        <w:rPr>
          <w:rFonts w:hint="eastAsia" w:ascii="仿宋_GB2312" w:eastAsia="仿宋_GB2312"/>
          <w:sz w:val="28"/>
          <w:szCs w:val="28"/>
          <w:highlight w:val="none"/>
          <w:lang w:eastAsia="zh-CN"/>
        </w:rPr>
        <w:t>57万元，减少原因：2024年在职人数较上年减少；落实勤俭节约，压减经费支出。</w:t>
      </w:r>
    </w:p>
    <w:p w14:paraId="56820DF1">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黑体" w:eastAsia="黑体"/>
          <w:b w:val="0"/>
          <w:bCs/>
          <w:sz w:val="28"/>
          <w:szCs w:val="28"/>
        </w:rPr>
      </w:pPr>
      <w:r>
        <w:rPr>
          <w:rFonts w:hint="eastAsia" w:ascii="黑体" w:eastAsia="黑体"/>
          <w:b w:val="0"/>
          <w:bCs/>
          <w:sz w:val="28"/>
          <w:szCs w:val="28"/>
        </w:rPr>
        <w:t>三、政府采购支出情况</w:t>
      </w:r>
    </w:p>
    <w:p w14:paraId="668A7A3B">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lang w:eastAsia="zh-CN"/>
        </w:rPr>
        <w:t>年度政府采购支出总额</w:t>
      </w:r>
      <w:r>
        <w:rPr>
          <w:rFonts w:hint="eastAsia" w:ascii="仿宋_GB2312" w:eastAsia="仿宋_GB2312"/>
          <w:sz w:val="28"/>
          <w:szCs w:val="28"/>
          <w:highlight w:val="none"/>
          <w:lang w:val="en-US" w:eastAsia="zh-CN"/>
        </w:rPr>
        <w:t>8,623.59</w:t>
      </w:r>
      <w:r>
        <w:rPr>
          <w:rFonts w:hint="eastAsia" w:ascii="仿宋_GB2312" w:eastAsia="仿宋_GB2312"/>
          <w:sz w:val="28"/>
          <w:szCs w:val="28"/>
          <w:highlight w:val="none"/>
          <w:lang w:eastAsia="zh-CN"/>
        </w:rPr>
        <w:t>万元，其中：政府采购货物支出153.5</w:t>
      </w:r>
      <w:r>
        <w:rPr>
          <w:rFonts w:hint="eastAsia" w:ascii="仿宋_GB2312" w:eastAsia="仿宋_GB2312"/>
          <w:sz w:val="28"/>
          <w:szCs w:val="28"/>
          <w:highlight w:val="none"/>
          <w:lang w:val="en-US" w:eastAsia="zh-CN"/>
        </w:rPr>
        <w:t>0</w:t>
      </w:r>
      <w:r>
        <w:rPr>
          <w:rFonts w:hint="eastAsia" w:ascii="仿宋_GB2312" w:eastAsia="仿宋_GB2312"/>
          <w:sz w:val="28"/>
          <w:szCs w:val="28"/>
          <w:highlight w:val="none"/>
          <w:lang w:eastAsia="zh-CN"/>
        </w:rPr>
        <w:t>万元，政府采购工程支出0万元，政府采购服务支出8</w:t>
      </w:r>
      <w:r>
        <w:rPr>
          <w:rFonts w:hint="eastAsia" w:ascii="仿宋_GB2312" w:eastAsia="仿宋_GB2312"/>
          <w:sz w:val="28"/>
          <w:szCs w:val="28"/>
          <w:highlight w:val="none"/>
          <w:lang w:val="en-US" w:eastAsia="zh-CN"/>
        </w:rPr>
        <w:t>,</w:t>
      </w:r>
      <w:r>
        <w:rPr>
          <w:rFonts w:hint="eastAsia" w:ascii="仿宋_GB2312" w:eastAsia="仿宋_GB2312"/>
          <w:sz w:val="28"/>
          <w:szCs w:val="28"/>
          <w:highlight w:val="none"/>
          <w:lang w:eastAsia="zh-CN"/>
        </w:rPr>
        <w:t>470.09万元。授予中小企业合同金额2</w:t>
      </w:r>
      <w:r>
        <w:rPr>
          <w:rFonts w:hint="eastAsia" w:ascii="仿宋_GB2312" w:eastAsia="仿宋_GB2312"/>
          <w:sz w:val="28"/>
          <w:szCs w:val="28"/>
          <w:highlight w:val="none"/>
          <w:lang w:val="en-US" w:eastAsia="zh-CN"/>
        </w:rPr>
        <w:t>,</w:t>
      </w:r>
      <w:r>
        <w:rPr>
          <w:rFonts w:hint="eastAsia" w:ascii="仿宋_GB2312" w:eastAsia="仿宋_GB2312"/>
          <w:sz w:val="28"/>
          <w:szCs w:val="28"/>
          <w:highlight w:val="none"/>
          <w:lang w:eastAsia="zh-CN"/>
        </w:rPr>
        <w:t>009.08万元，占政府采购支出总额的23.3</w:t>
      </w:r>
      <w:r>
        <w:rPr>
          <w:rFonts w:hint="eastAsia" w:ascii="仿宋_GB2312" w:eastAsia="仿宋_GB2312"/>
          <w:sz w:val="28"/>
          <w:szCs w:val="28"/>
          <w:highlight w:val="none"/>
          <w:lang w:val="en-US" w:eastAsia="zh-CN"/>
        </w:rPr>
        <w:t>0</w:t>
      </w:r>
      <w:r>
        <w:rPr>
          <w:rFonts w:hint="eastAsia" w:ascii="仿宋_GB2312" w:eastAsia="仿宋_GB2312"/>
          <w:sz w:val="28"/>
          <w:szCs w:val="28"/>
          <w:highlight w:val="none"/>
          <w:lang w:eastAsia="zh-CN"/>
        </w:rPr>
        <w:t>%，其中：授予小微企业合同金额1</w:t>
      </w:r>
      <w:r>
        <w:rPr>
          <w:rFonts w:hint="eastAsia" w:ascii="仿宋_GB2312" w:eastAsia="仿宋_GB2312"/>
          <w:sz w:val="28"/>
          <w:szCs w:val="28"/>
          <w:highlight w:val="none"/>
          <w:lang w:val="en-US" w:eastAsia="zh-CN"/>
        </w:rPr>
        <w:t>,</w:t>
      </w:r>
      <w:r>
        <w:rPr>
          <w:rFonts w:hint="eastAsia" w:ascii="仿宋_GB2312" w:eastAsia="仿宋_GB2312"/>
          <w:sz w:val="28"/>
          <w:szCs w:val="28"/>
          <w:highlight w:val="none"/>
          <w:lang w:eastAsia="zh-CN"/>
        </w:rPr>
        <w:t>934.08万元，占政府采购支出总额的22.43%。</w:t>
      </w:r>
    </w:p>
    <w:p w14:paraId="51EFF965">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黑体" w:eastAsia="黑体"/>
          <w:b w:val="0"/>
          <w:bCs/>
          <w:sz w:val="28"/>
          <w:szCs w:val="28"/>
        </w:rPr>
      </w:pPr>
      <w:r>
        <w:rPr>
          <w:rFonts w:hint="eastAsia" w:ascii="黑体" w:eastAsia="黑体"/>
          <w:b w:val="0"/>
          <w:bCs/>
          <w:sz w:val="28"/>
          <w:szCs w:val="28"/>
        </w:rPr>
        <w:t>四、国有资产占用情况</w:t>
      </w:r>
    </w:p>
    <w:p w14:paraId="5FC42597">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截至</w:t>
      </w:r>
      <w:r>
        <w:rPr>
          <w:rFonts w:hint="eastAsia" w:ascii="仿宋_GB2312" w:eastAsia="仿宋_GB2312"/>
          <w:sz w:val="28"/>
          <w:szCs w:val="28"/>
          <w:highlight w:val="none"/>
          <w:lang w:val="en-US" w:eastAsia="zh-CN"/>
        </w:rPr>
        <w:t>12月31日，北京市体育局本级行政</w:t>
      </w:r>
      <w:r>
        <w:rPr>
          <w:rFonts w:hint="eastAsia" w:ascii="仿宋_GB2312" w:eastAsia="仿宋_GB2312"/>
          <w:sz w:val="28"/>
          <w:szCs w:val="28"/>
          <w:highlight w:val="none"/>
          <w:lang w:eastAsia="zh-CN"/>
        </w:rPr>
        <w:t>共有车辆</w:t>
      </w:r>
      <w:r>
        <w:rPr>
          <w:rFonts w:hint="eastAsia" w:ascii="仿宋_GB2312" w:eastAsia="仿宋_GB2312"/>
          <w:sz w:val="28"/>
          <w:szCs w:val="28"/>
          <w:highlight w:val="none"/>
          <w:lang w:val="en-US" w:eastAsia="zh-CN"/>
        </w:rPr>
        <w:t>6</w:t>
      </w:r>
      <w:r>
        <w:rPr>
          <w:rFonts w:hint="eastAsia" w:ascii="仿宋_GB2312" w:eastAsia="仿宋_GB2312"/>
          <w:sz w:val="28"/>
          <w:szCs w:val="28"/>
          <w:highlight w:val="none"/>
          <w:lang w:eastAsia="zh-CN"/>
        </w:rPr>
        <w:t>台；单位价值100万元（含）以上的设备</w:t>
      </w:r>
      <w:r>
        <w:rPr>
          <w:rFonts w:hint="eastAsia" w:ascii="仿宋_GB2312" w:eastAsia="仿宋_GB2312"/>
          <w:sz w:val="28"/>
          <w:szCs w:val="28"/>
          <w:highlight w:val="none"/>
          <w:lang w:val="en-US" w:eastAsia="zh-CN"/>
        </w:rPr>
        <w:t>1</w:t>
      </w:r>
      <w:r>
        <w:rPr>
          <w:rFonts w:hint="eastAsia" w:ascii="仿宋_GB2312" w:eastAsia="仿宋_GB2312"/>
          <w:sz w:val="28"/>
          <w:szCs w:val="28"/>
          <w:highlight w:val="none"/>
          <w:lang w:eastAsia="zh-CN"/>
        </w:rPr>
        <w:t>台（套）。</w:t>
      </w:r>
    </w:p>
    <w:p w14:paraId="18EE0137">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黑体" w:eastAsia="黑体"/>
          <w:b w:val="0"/>
          <w:bCs/>
          <w:sz w:val="28"/>
          <w:szCs w:val="28"/>
        </w:rPr>
      </w:pPr>
      <w:r>
        <w:rPr>
          <w:rFonts w:hint="eastAsia" w:ascii="黑体" w:eastAsia="黑体"/>
          <w:b w:val="0"/>
          <w:bCs/>
          <w:sz w:val="28"/>
          <w:szCs w:val="28"/>
        </w:rPr>
        <w:t>五、政府购买服务支出说明</w:t>
      </w:r>
    </w:p>
    <w:p w14:paraId="35B3434F">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lang w:eastAsia="zh-CN"/>
        </w:rPr>
        <w:t>年度政府购买服务决算10</w:t>
      </w:r>
      <w:r>
        <w:rPr>
          <w:rFonts w:hint="eastAsia" w:ascii="仿宋_GB2312" w:eastAsia="仿宋_GB2312"/>
          <w:sz w:val="28"/>
          <w:szCs w:val="28"/>
          <w:highlight w:val="none"/>
          <w:lang w:val="en-US" w:eastAsia="zh-CN"/>
        </w:rPr>
        <w:t>,</w:t>
      </w:r>
      <w:r>
        <w:rPr>
          <w:rFonts w:hint="eastAsia" w:ascii="仿宋_GB2312" w:eastAsia="仿宋_GB2312"/>
          <w:sz w:val="28"/>
          <w:szCs w:val="28"/>
          <w:highlight w:val="none"/>
          <w:lang w:eastAsia="zh-CN"/>
        </w:rPr>
        <w:t>509.5</w:t>
      </w:r>
      <w:r>
        <w:rPr>
          <w:rFonts w:hint="eastAsia" w:ascii="仿宋_GB2312" w:eastAsia="仿宋_GB2312"/>
          <w:sz w:val="28"/>
          <w:szCs w:val="28"/>
          <w:highlight w:val="none"/>
          <w:lang w:val="en-US" w:eastAsia="zh-CN"/>
        </w:rPr>
        <w:t>0</w:t>
      </w:r>
      <w:r>
        <w:rPr>
          <w:rFonts w:hint="eastAsia" w:ascii="仿宋_GB2312" w:eastAsia="仿宋_GB2312"/>
          <w:sz w:val="28"/>
          <w:szCs w:val="28"/>
          <w:highlight w:val="none"/>
          <w:lang w:eastAsia="zh-CN"/>
        </w:rPr>
        <w:t>万元。</w:t>
      </w:r>
    </w:p>
    <w:p w14:paraId="1A5979E2">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黑体" w:eastAsia="黑体"/>
          <w:b w:val="0"/>
          <w:bCs/>
          <w:sz w:val="28"/>
          <w:szCs w:val="28"/>
        </w:rPr>
      </w:pPr>
      <w:r>
        <w:rPr>
          <w:rFonts w:hint="eastAsia" w:ascii="黑体" w:eastAsia="黑体"/>
          <w:b w:val="0"/>
          <w:bCs/>
          <w:sz w:val="28"/>
          <w:szCs w:val="28"/>
        </w:rPr>
        <w:t>六、专业名词解释</w:t>
      </w:r>
    </w:p>
    <w:p w14:paraId="11CC9824">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1.基本支出：指为保障机构正常运转、完成日常工作任务而发生的人员支出和公用支出。</w:t>
      </w:r>
    </w:p>
    <w:p w14:paraId="47BC3494">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2.项目支出：指在基本支出之外为完成特定行政任务或事业发展目标所发生的支出。</w:t>
      </w:r>
    </w:p>
    <w:p w14:paraId="659A230B">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3.“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1F3BBF81">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4.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62DE3CB">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5.政府采购：指各级国家机关、事业单位和团体组织，使用财政性资金采购依法制定的集中目录以内的或者采购限额标准以上的货物、工程和服务的行为，是规范财政支出管理和强化预算约束的有效措施。</w:t>
      </w:r>
    </w:p>
    <w:p w14:paraId="4C4890D2">
      <w:pPr>
        <w:keepNext w:val="0"/>
        <w:keepLines w:val="0"/>
        <w:pageBreakBefore w:val="0"/>
        <w:widowControl w:val="0"/>
        <w:tabs>
          <w:tab w:val="center" w:pos="6979"/>
        </w:tabs>
        <w:kinsoku/>
        <w:wordWrap/>
        <w:overflowPunct/>
        <w:topLinePunct w:val="0"/>
        <w:autoSpaceDE/>
        <w:autoSpaceDN/>
        <w:bidi w:val="0"/>
        <w:adjustRightInd/>
        <w:snapToGrid/>
        <w:spacing w:line="560" w:lineRule="exact"/>
        <w:ind w:firstLine="560" w:firstLineChars="200"/>
        <w:textAlignment w:val="auto"/>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6.政府购买服务：是指各级国家机关将属于自身职责范围且适合通过市场化方式提供的服务事项，按照政府采购方式和程序，交由符合条件的服务供应商承担，并根据服务数量和质量等因素向其支付费用的行为。</w:t>
      </w:r>
    </w:p>
    <w:p w14:paraId="425DEDDE">
      <w:pPr>
        <w:keepNext w:val="0"/>
        <w:keepLines w:val="0"/>
        <w:pageBreakBefore w:val="0"/>
        <w:widowControl w:val="0"/>
        <w:tabs>
          <w:tab w:val="center" w:pos="6979"/>
        </w:tabs>
        <w:kinsoku/>
        <w:wordWrap/>
        <w:overflowPunct/>
        <w:topLinePunct w:val="0"/>
        <w:autoSpaceDE/>
        <w:autoSpaceDN/>
        <w:bidi w:val="0"/>
        <w:adjustRightInd/>
        <w:snapToGrid/>
        <w:spacing w:line="560" w:lineRule="exact"/>
        <w:ind w:left="0"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7.教育支出（类）进修及培训（款）培训支出（项）：反映各部门安排的用于培训的支出。教育部门的师资培训，党校、行政学院等专业干部教育机构的支出，以及退役士兵、转业士官的培训支出，不在本科目反映。</w:t>
      </w:r>
    </w:p>
    <w:p w14:paraId="060FF491">
      <w:pPr>
        <w:keepNext w:val="0"/>
        <w:keepLines w:val="0"/>
        <w:pageBreakBefore w:val="0"/>
        <w:widowControl w:val="0"/>
        <w:tabs>
          <w:tab w:val="center" w:pos="6979"/>
        </w:tabs>
        <w:kinsoku/>
        <w:wordWrap/>
        <w:overflowPunct/>
        <w:topLinePunct w:val="0"/>
        <w:autoSpaceDE/>
        <w:autoSpaceDN/>
        <w:bidi w:val="0"/>
        <w:adjustRightInd/>
        <w:snapToGrid/>
        <w:spacing w:line="560" w:lineRule="exact"/>
        <w:ind w:left="0"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8.文化旅游体育与传媒支出（类）体育（款）行政运行（项）：反映行政单位（包括实行公务员管理的事业单位）的基本支出。</w:t>
      </w:r>
    </w:p>
    <w:p w14:paraId="2BB40977">
      <w:pPr>
        <w:keepNext w:val="0"/>
        <w:keepLines w:val="0"/>
        <w:pageBreakBefore w:val="0"/>
        <w:widowControl w:val="0"/>
        <w:tabs>
          <w:tab w:val="center" w:pos="6979"/>
        </w:tabs>
        <w:kinsoku/>
        <w:wordWrap/>
        <w:overflowPunct/>
        <w:topLinePunct w:val="0"/>
        <w:autoSpaceDE/>
        <w:autoSpaceDN/>
        <w:bidi w:val="0"/>
        <w:adjustRightInd/>
        <w:snapToGrid/>
        <w:spacing w:line="560" w:lineRule="exact"/>
        <w:ind w:left="0"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9.文化旅游体育与传媒支出（类）体育（款）体育竞赛（项）：反映综合性运动会及单项体育比赛支出。</w:t>
      </w:r>
    </w:p>
    <w:p w14:paraId="48ED24AD">
      <w:pPr>
        <w:keepNext w:val="0"/>
        <w:keepLines w:val="0"/>
        <w:pageBreakBefore w:val="0"/>
        <w:widowControl w:val="0"/>
        <w:tabs>
          <w:tab w:val="center" w:pos="6979"/>
        </w:tabs>
        <w:kinsoku/>
        <w:wordWrap/>
        <w:overflowPunct/>
        <w:topLinePunct w:val="0"/>
        <w:autoSpaceDE/>
        <w:autoSpaceDN/>
        <w:bidi w:val="0"/>
        <w:adjustRightInd/>
        <w:snapToGrid/>
        <w:spacing w:line="560" w:lineRule="exact"/>
        <w:ind w:left="0"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10.文化旅游体育与传媒支出（类）体育（款）体育训练（项）：反映各级体育运动队训练补助及器材购置等方面的支出。</w:t>
      </w:r>
    </w:p>
    <w:p w14:paraId="32E2C91B">
      <w:pPr>
        <w:keepNext w:val="0"/>
        <w:keepLines w:val="0"/>
        <w:pageBreakBefore w:val="0"/>
        <w:widowControl w:val="0"/>
        <w:tabs>
          <w:tab w:val="center" w:pos="6979"/>
        </w:tabs>
        <w:kinsoku/>
        <w:wordWrap/>
        <w:overflowPunct/>
        <w:topLinePunct w:val="0"/>
        <w:autoSpaceDE/>
        <w:autoSpaceDN/>
        <w:bidi w:val="0"/>
        <w:adjustRightInd/>
        <w:snapToGrid/>
        <w:spacing w:line="560" w:lineRule="exact"/>
        <w:ind w:left="0"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11.文化旅游体育与传媒支出（类）体育（款）体育场馆（项）：反映体育场馆建设及维护等方面的支出。</w:t>
      </w:r>
    </w:p>
    <w:p w14:paraId="711C9162">
      <w:pPr>
        <w:keepNext w:val="0"/>
        <w:keepLines w:val="0"/>
        <w:pageBreakBefore w:val="0"/>
        <w:widowControl w:val="0"/>
        <w:tabs>
          <w:tab w:val="center" w:pos="6979"/>
        </w:tabs>
        <w:kinsoku/>
        <w:wordWrap/>
        <w:overflowPunct/>
        <w:topLinePunct w:val="0"/>
        <w:autoSpaceDE/>
        <w:autoSpaceDN/>
        <w:bidi w:val="0"/>
        <w:adjustRightInd/>
        <w:snapToGrid/>
        <w:spacing w:line="560" w:lineRule="exact"/>
        <w:ind w:left="0"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12.文化旅游体育与传媒支出（类）体育（款）群众体育（项）：反映业余体校和全民健身等群众体育活动方面的支出。</w:t>
      </w:r>
    </w:p>
    <w:p w14:paraId="46C2E5F9">
      <w:pPr>
        <w:keepNext w:val="0"/>
        <w:keepLines w:val="0"/>
        <w:pageBreakBefore w:val="0"/>
        <w:widowControl w:val="0"/>
        <w:tabs>
          <w:tab w:val="center" w:pos="6979"/>
        </w:tabs>
        <w:kinsoku/>
        <w:wordWrap/>
        <w:overflowPunct/>
        <w:topLinePunct w:val="0"/>
        <w:autoSpaceDE/>
        <w:autoSpaceDN/>
        <w:bidi w:val="0"/>
        <w:adjustRightInd/>
        <w:snapToGrid/>
        <w:spacing w:line="560" w:lineRule="exact"/>
        <w:ind w:left="0"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13.文化旅游体育与传媒支出（类）体育（款）体育交流与合作（项）：反映用于体育交流与合作等方面的支出。</w:t>
      </w:r>
    </w:p>
    <w:p w14:paraId="7A0CFF7C">
      <w:pPr>
        <w:keepNext w:val="0"/>
        <w:keepLines w:val="0"/>
        <w:pageBreakBefore w:val="0"/>
        <w:widowControl w:val="0"/>
        <w:tabs>
          <w:tab w:val="center" w:pos="6979"/>
        </w:tabs>
        <w:kinsoku/>
        <w:wordWrap/>
        <w:overflowPunct/>
        <w:topLinePunct w:val="0"/>
        <w:autoSpaceDE/>
        <w:autoSpaceDN/>
        <w:bidi w:val="0"/>
        <w:adjustRightInd/>
        <w:snapToGrid/>
        <w:spacing w:line="560" w:lineRule="exact"/>
        <w:ind w:left="0"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14.文化旅游体育与传媒支出（类）体育（款）其他体育支出（项）：反映其他用于体育方面的支出。</w:t>
      </w:r>
    </w:p>
    <w:p w14:paraId="0208C03B">
      <w:pPr>
        <w:keepNext w:val="0"/>
        <w:keepLines w:val="0"/>
        <w:pageBreakBefore w:val="0"/>
        <w:widowControl w:val="0"/>
        <w:tabs>
          <w:tab w:val="center" w:pos="6979"/>
        </w:tabs>
        <w:kinsoku/>
        <w:wordWrap/>
        <w:overflowPunct/>
        <w:topLinePunct w:val="0"/>
        <w:autoSpaceDE/>
        <w:autoSpaceDN/>
        <w:bidi w:val="0"/>
        <w:adjustRightInd/>
        <w:snapToGrid/>
        <w:spacing w:line="560" w:lineRule="exact"/>
        <w:ind w:left="0" w:firstLine="560" w:firstLineChars="200"/>
        <w:textAlignment w:val="auto"/>
        <w:rPr>
          <w:rFonts w:hint="eastAsia" w:ascii="黑体" w:eastAsia="黑体"/>
          <w:sz w:val="32"/>
          <w:szCs w:val="32"/>
        </w:rPr>
      </w:pPr>
      <w:r>
        <w:rPr>
          <w:rFonts w:hint="eastAsia" w:ascii="仿宋_GB2312" w:eastAsia="仿宋_GB2312"/>
          <w:sz w:val="28"/>
          <w:szCs w:val="28"/>
          <w:highlight w:val="none"/>
          <w:lang w:val="en-US" w:eastAsia="zh-CN"/>
        </w:rPr>
        <w:t>15.其他支出（类）彩票公益金安排的支出（款）用于体育事业的彩票公益金支出（项）：反映用于体育事业的彩票公益金支出。</w:t>
      </w:r>
    </w:p>
    <w:p w14:paraId="500BEC03">
      <w:pPr>
        <w:rPr>
          <w:rFonts w:hint="eastAsia" w:ascii="黑体" w:eastAsia="黑体"/>
          <w:sz w:val="32"/>
          <w:szCs w:val="32"/>
        </w:rPr>
      </w:pPr>
      <w:r>
        <w:rPr>
          <w:rFonts w:hint="eastAsia" w:ascii="黑体" w:eastAsia="黑体"/>
          <w:sz w:val="32"/>
          <w:szCs w:val="32"/>
        </w:rPr>
        <w:br w:type="page"/>
      </w:r>
    </w:p>
    <w:p w14:paraId="6616D1FC">
      <w:pPr>
        <w:ind w:firstLine="640" w:firstLineChars="200"/>
        <w:jc w:val="center"/>
        <w:rPr>
          <w:rFonts w:hint="eastAsia" w:ascii="黑体" w:eastAsia="黑体"/>
          <w:sz w:val="32"/>
          <w:szCs w:val="32"/>
        </w:rPr>
      </w:pPr>
    </w:p>
    <w:p w14:paraId="19AF3386">
      <w:pPr>
        <w:ind w:firstLine="640" w:firstLineChars="200"/>
        <w:jc w:val="center"/>
        <w:rPr>
          <w:rFonts w:hint="eastAsia" w:ascii="黑体" w:eastAsia="黑体"/>
          <w:sz w:val="32"/>
          <w:szCs w:val="32"/>
        </w:rPr>
      </w:pPr>
    </w:p>
    <w:p w14:paraId="71A9214B">
      <w:pPr>
        <w:ind w:firstLine="640" w:firstLineChars="200"/>
        <w:jc w:val="center"/>
        <w:rPr>
          <w:rFonts w:hint="eastAsia" w:ascii="黑体" w:eastAsia="黑体"/>
          <w:sz w:val="32"/>
          <w:szCs w:val="32"/>
        </w:rPr>
      </w:pPr>
    </w:p>
    <w:p w14:paraId="3A6E1491">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w:t>
      </w:r>
      <w:r>
        <w:rPr>
          <w:rFonts w:hint="eastAsia" w:ascii="黑体" w:eastAsia="黑体"/>
          <w:sz w:val="32"/>
          <w:szCs w:val="32"/>
          <w:lang w:eastAsia="zh-CN"/>
        </w:rPr>
        <w:t>单位</w:t>
      </w:r>
      <w:r>
        <w:rPr>
          <w:rFonts w:hint="eastAsia" w:ascii="黑体" w:eastAsia="黑体"/>
          <w:sz w:val="32"/>
          <w:szCs w:val="32"/>
        </w:rPr>
        <w:t>绩效评价情况</w:t>
      </w:r>
    </w:p>
    <w:p w14:paraId="0A83067E">
      <w:pPr>
        <w:ind w:firstLine="560" w:firstLineChars="200"/>
        <w:rPr>
          <w:rFonts w:hint="eastAsia" w:ascii="黑体" w:eastAsia="黑体"/>
          <w:sz w:val="28"/>
          <w:szCs w:val="28"/>
          <w:highlight w:val="yellow"/>
        </w:rPr>
      </w:pPr>
    </w:p>
    <w:p w14:paraId="56DE717F">
      <w:pPr>
        <w:keepNext w:val="0"/>
        <w:keepLines w:val="0"/>
        <w:pageBreakBefore w:val="0"/>
        <w:widowControl w:val="0"/>
        <w:tabs>
          <w:tab w:val="center" w:pos="6979"/>
        </w:tabs>
        <w:kinsoku/>
        <w:wordWrap/>
        <w:overflowPunct/>
        <w:topLinePunct w:val="0"/>
        <w:autoSpaceDE/>
        <w:autoSpaceDN/>
        <w:bidi w:val="0"/>
        <w:adjustRightInd/>
        <w:snapToGrid/>
        <w:spacing w:line="560" w:lineRule="exact"/>
        <w:ind w:left="0" w:firstLine="560" w:firstLineChars="200"/>
        <w:textAlignment w:val="auto"/>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项目支出绩效自评表（详见附件）</w:t>
      </w:r>
    </w:p>
    <w:sectPr>
      <w:footerReference r:id="rId3" w:type="default"/>
      <w:footerReference r:id="rId4"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方正黑体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微软雅黑">
    <w:altName w:val="方正黑体_GBK"/>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F0E2E">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49095E6D">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6B98F">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6FA2F7F6">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9CED105"/>
    <w:rsid w:val="09FFF009"/>
    <w:rsid w:val="0BA148CA"/>
    <w:rsid w:val="0C1165C4"/>
    <w:rsid w:val="0D6D544B"/>
    <w:rsid w:val="0DD136FE"/>
    <w:rsid w:val="0EEFDF57"/>
    <w:rsid w:val="0F8E2C57"/>
    <w:rsid w:val="1059665E"/>
    <w:rsid w:val="10AC13BA"/>
    <w:rsid w:val="145A6C1B"/>
    <w:rsid w:val="14B73493"/>
    <w:rsid w:val="167A2FF9"/>
    <w:rsid w:val="18581C69"/>
    <w:rsid w:val="1AEC0734"/>
    <w:rsid w:val="1DEF20B0"/>
    <w:rsid w:val="1FF58451"/>
    <w:rsid w:val="214243FA"/>
    <w:rsid w:val="21AD613C"/>
    <w:rsid w:val="22467189"/>
    <w:rsid w:val="257A14F5"/>
    <w:rsid w:val="27196C26"/>
    <w:rsid w:val="29EF086F"/>
    <w:rsid w:val="2EFFE297"/>
    <w:rsid w:val="301437CA"/>
    <w:rsid w:val="349D1F0A"/>
    <w:rsid w:val="34DD0473"/>
    <w:rsid w:val="3C684897"/>
    <w:rsid w:val="3FFF4A08"/>
    <w:rsid w:val="433E495C"/>
    <w:rsid w:val="489F2FD7"/>
    <w:rsid w:val="4AC27CB3"/>
    <w:rsid w:val="4BF72BEF"/>
    <w:rsid w:val="4FA90297"/>
    <w:rsid w:val="4FC41A43"/>
    <w:rsid w:val="51DB3C59"/>
    <w:rsid w:val="550C0952"/>
    <w:rsid w:val="55762E42"/>
    <w:rsid w:val="57A7B272"/>
    <w:rsid w:val="58470068"/>
    <w:rsid w:val="58747CAC"/>
    <w:rsid w:val="5A1720F9"/>
    <w:rsid w:val="5B9C37C2"/>
    <w:rsid w:val="5BA7C654"/>
    <w:rsid w:val="5F9F456E"/>
    <w:rsid w:val="60A54109"/>
    <w:rsid w:val="61D01CDF"/>
    <w:rsid w:val="64C0607C"/>
    <w:rsid w:val="65756C86"/>
    <w:rsid w:val="657F6716"/>
    <w:rsid w:val="674D385B"/>
    <w:rsid w:val="676F09E1"/>
    <w:rsid w:val="6E676D90"/>
    <w:rsid w:val="71793A80"/>
    <w:rsid w:val="7357290B"/>
    <w:rsid w:val="77F377FB"/>
    <w:rsid w:val="798524E4"/>
    <w:rsid w:val="7A7F1C49"/>
    <w:rsid w:val="7B5B7AE6"/>
    <w:rsid w:val="7B7B6628"/>
    <w:rsid w:val="7BA7071E"/>
    <w:rsid w:val="7BDF6DA8"/>
    <w:rsid w:val="7C7EDC1A"/>
    <w:rsid w:val="7CCED98D"/>
    <w:rsid w:val="7D08410F"/>
    <w:rsid w:val="7DB96DED"/>
    <w:rsid w:val="7DD3AD81"/>
    <w:rsid w:val="7F7FE70F"/>
    <w:rsid w:val="7FFF772F"/>
    <w:rsid w:val="857DC5B4"/>
    <w:rsid w:val="93F35949"/>
    <w:rsid w:val="95F35EF6"/>
    <w:rsid w:val="9BFFD860"/>
    <w:rsid w:val="AC5F73DE"/>
    <w:rsid w:val="B5DDD2C8"/>
    <w:rsid w:val="B9DFABD9"/>
    <w:rsid w:val="BC0D83FC"/>
    <w:rsid w:val="BF3BDEFB"/>
    <w:rsid w:val="C75F6086"/>
    <w:rsid w:val="C7F7ED2D"/>
    <w:rsid w:val="CFAF854E"/>
    <w:rsid w:val="D3DFEDD7"/>
    <w:rsid w:val="D8D7928E"/>
    <w:rsid w:val="D8FE3136"/>
    <w:rsid w:val="DB6F4278"/>
    <w:rsid w:val="DDDE60B7"/>
    <w:rsid w:val="DE9F6A22"/>
    <w:rsid w:val="DF4FCE6A"/>
    <w:rsid w:val="E4FED278"/>
    <w:rsid w:val="EDAA365C"/>
    <w:rsid w:val="EDADFC12"/>
    <w:rsid w:val="F2FD229B"/>
    <w:rsid w:val="F6FB2958"/>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[工作簿1]Sheet1!$A$2</c:f>
              <c:strCache>
                <c:ptCount val="1"/>
                <c:pt idx="0">
                  <c:v>收入决算</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99.99</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0</a:t>
                    </a:r>
                    <a:r>
                      <a:rPr lang="en-US" altLang="zh-CN"/>
                      <a:t>.01</a:t>
                    </a:r>
                    <a:r>
                      <a:t>%</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[工作簿1]Sheet1!$B$1:$C$1</c:f>
              <c:strCache>
                <c:ptCount val="2"/>
                <c:pt idx="0">
                  <c:v>财政拨款收入</c:v>
                </c:pt>
                <c:pt idx="1">
                  <c:v>其他收入</c:v>
                </c:pt>
              </c:strCache>
            </c:strRef>
          </c:cat>
          <c:val>
            <c:numRef>
              <c:f>[工作簿1]Sheet1!$B$2:$C$2</c:f>
              <c:numCache>
                <c:formatCode>#,##0.00</c:formatCode>
                <c:ptCount val="2"/>
                <c:pt idx="0">
                  <c:v>33669.71</c:v>
                </c:pt>
                <c:pt idx="1" c:formatCode="General">
                  <c:v>0.9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c37b2a59-6c83-49cc-8618-6ce963fc65de}"/>
      </c:ext>
    </c:extLst>
  </c:chart>
  <c:spPr>
    <a:no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Sheet0!$A$2:$A$3</c:f>
              <c:strCache>
                <c:ptCount val="2"/>
                <c:pt idx="0">
                  <c:v>基本支出</c:v>
                </c:pt>
                <c:pt idx="1">
                  <c:v>项目支出</c:v>
                </c:pt>
              </c:strCache>
            </c:strRef>
          </c:cat>
          <c:val>
            <c:numRef>
              <c:f>Sheet0!$B$2:$B$3</c:f>
              <c:numCache>
                <c:formatCode>General</c:formatCode>
                <c:ptCount val="2"/>
                <c:pt idx="0">
                  <c:v>10180.25</c:v>
                </c:pt>
                <c:pt idx="1">
                  <c:v>21842.31</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c793f0a5-7744-4b0e-9fa6-c69fb221ab45}"/>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3432</Words>
  <Characters>5781</Characters>
  <Lines>44</Lines>
  <Paragraphs>12</Paragraphs>
  <TotalTime>20</TotalTime>
  <ScaleCrop>false</ScaleCrop>
  <LinksUpToDate>false</LinksUpToDate>
  <CharactersWithSpaces>5802</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2017-07-13T23:16:00Z</dcterms:created>
  <dc:creator>常程</dc:creator>
  <cp:lastModifiedBy>微信用户</cp:lastModifiedBy>
  <cp:lastPrinted>2020-08-09T19:39:00Z</cp:lastPrinted>
  <dcterms:modified xsi:type="dcterms:W3CDTF">2025-09-08T15:18:33Z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435078ACFECC4A5A8A519EF4C3681114_13</vt:lpwstr>
  </property>
  <property fmtid="{D5CDD505-2E9C-101B-9397-08002B2CF9AE}" pid="4" name="KSOTemplateDocerSaveRecord">
    <vt:lpwstr>eyJoZGlkIjoiMzFhMDlmODM4NDM3ZTUzZTJhOWRjZWIxNmVkMjQxNTMiLCJ1c2VySWQiOiIxMTQwMjc4MDE0In0=</vt:lpwstr>
  </property>
</Properties>
</file>