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2D071">
      <w:pPr>
        <w:jc w:val="center"/>
        <w:rPr>
          <w:rFonts w:ascii="仿宋_GB2312" w:eastAsia="仿宋_GB2312"/>
          <w:b/>
          <w:sz w:val="32"/>
          <w:szCs w:val="32"/>
        </w:rPr>
      </w:pPr>
    </w:p>
    <w:p w14:paraId="1E8F18BB">
      <w:pPr>
        <w:jc w:val="center"/>
        <w:rPr>
          <w:rFonts w:ascii="黑体" w:eastAsia="黑体"/>
          <w:sz w:val="72"/>
          <w:szCs w:val="72"/>
        </w:rPr>
      </w:pPr>
    </w:p>
    <w:p w14:paraId="0C5C449F">
      <w:pPr>
        <w:jc w:val="center"/>
        <w:rPr>
          <w:rFonts w:ascii="黑体" w:eastAsia="黑体"/>
          <w:sz w:val="72"/>
          <w:szCs w:val="72"/>
        </w:rPr>
      </w:pPr>
    </w:p>
    <w:p w14:paraId="27A91CB0">
      <w:pPr>
        <w:jc w:val="center"/>
        <w:rPr>
          <w:rFonts w:ascii="黑体" w:eastAsia="黑体"/>
          <w:sz w:val="72"/>
          <w:szCs w:val="72"/>
        </w:rPr>
      </w:pPr>
    </w:p>
    <w:p w14:paraId="67158D16">
      <w:pPr>
        <w:jc w:val="center"/>
        <w:rPr>
          <w:rFonts w:ascii="黑体" w:eastAsia="黑体"/>
          <w:sz w:val="72"/>
          <w:szCs w:val="72"/>
        </w:rPr>
      </w:pPr>
      <w:r>
        <w:rPr>
          <w:rFonts w:hint="eastAsia" w:ascii="黑体" w:eastAsia="黑体"/>
          <w:sz w:val="72"/>
          <w:szCs w:val="72"/>
        </w:rPr>
        <w:t>2024年度单位决算（公开</w:t>
      </w:r>
      <w:r>
        <w:rPr>
          <w:rFonts w:ascii="黑体" w:eastAsia="黑体"/>
          <w:sz w:val="72"/>
          <w:szCs w:val="72"/>
        </w:rPr>
        <w:t>）</w:t>
      </w:r>
    </w:p>
    <w:p w14:paraId="5430045E">
      <w:pPr>
        <w:pStyle w:val="2"/>
      </w:pPr>
      <w:bookmarkStart w:id="3" w:name="_GoBack"/>
      <w:bookmarkEnd w:id="3"/>
    </w:p>
    <w:p w14:paraId="517FEFE6">
      <w:pPr>
        <w:jc w:val="center"/>
        <w:rPr>
          <w:rFonts w:ascii="黑体" w:eastAsia="黑体"/>
          <w:sz w:val="52"/>
          <w:szCs w:val="52"/>
        </w:rPr>
      </w:pPr>
    </w:p>
    <w:p w14:paraId="4099DF5D">
      <w:pPr>
        <w:jc w:val="center"/>
        <w:rPr>
          <w:rFonts w:ascii="黑体" w:eastAsia="黑体"/>
          <w:sz w:val="52"/>
          <w:szCs w:val="52"/>
        </w:rPr>
      </w:pPr>
    </w:p>
    <w:p w14:paraId="0D7AB76C">
      <w:pPr>
        <w:pStyle w:val="2"/>
      </w:pPr>
    </w:p>
    <w:p w14:paraId="7A796E5A"/>
    <w:p w14:paraId="05A86E8F">
      <w:pPr>
        <w:spacing w:line="500" w:lineRule="exact"/>
        <w:ind w:firstLine="645"/>
        <w:jc w:val="center"/>
        <w:rPr>
          <w:rFonts w:ascii="宋体" w:hAnsi="宋体" w:cs="宋体"/>
          <w:b/>
          <w:bCs/>
          <w:kern w:val="0"/>
          <w:sz w:val="44"/>
          <w:szCs w:val="36"/>
        </w:rPr>
      </w:pPr>
    </w:p>
    <w:p w14:paraId="6413FCA6">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0AADF4C8">
      <w:pPr>
        <w:spacing w:line="500" w:lineRule="exact"/>
        <w:ind w:firstLine="645"/>
        <w:jc w:val="center"/>
        <w:rPr>
          <w:rFonts w:ascii="宋体" w:hAnsi="宋体" w:cs="宋体"/>
          <w:b/>
          <w:bCs/>
          <w:kern w:val="0"/>
          <w:sz w:val="36"/>
          <w:szCs w:val="36"/>
        </w:rPr>
      </w:pPr>
    </w:p>
    <w:p w14:paraId="40D1D9D8">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2024年度单位决算报表</w:t>
      </w:r>
    </w:p>
    <w:p w14:paraId="2353BA03">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739C438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2A8A645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24CD458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121E642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2D3AB3F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64C6E79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5F32E3C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65ED2E5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265A726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13E73C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4C71384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14:paraId="35B90721">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2024年度单位决算说明</w:t>
      </w:r>
    </w:p>
    <w:p w14:paraId="0768613B">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1E7E58AF">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2024年度单位绩效评价情况</w:t>
      </w:r>
    </w:p>
    <w:p w14:paraId="43F2E2A0">
      <w:pPr>
        <w:tabs>
          <w:tab w:val="center" w:pos="6979"/>
        </w:tabs>
        <w:spacing w:beforeLines="50" w:afterLines="50"/>
        <w:jc w:val="center"/>
        <w:rPr>
          <w:rFonts w:ascii="宋体" w:hAnsi="宋体" w:cs="宋体"/>
          <w:b/>
          <w:bCs/>
          <w:spacing w:val="40"/>
          <w:kern w:val="0"/>
          <w:sz w:val="32"/>
          <w:szCs w:val="32"/>
        </w:rPr>
      </w:pPr>
    </w:p>
    <w:p w14:paraId="4E533D9E">
      <w:pPr>
        <w:tabs>
          <w:tab w:val="center" w:pos="6979"/>
        </w:tabs>
        <w:spacing w:beforeLines="50" w:afterLines="50"/>
        <w:jc w:val="center"/>
        <w:rPr>
          <w:rFonts w:ascii="宋体" w:hAnsi="宋体" w:cs="宋体"/>
          <w:b/>
          <w:bCs/>
          <w:spacing w:val="40"/>
          <w:kern w:val="0"/>
          <w:sz w:val="32"/>
          <w:szCs w:val="32"/>
        </w:rPr>
      </w:pPr>
    </w:p>
    <w:p w14:paraId="6C830E82">
      <w:pPr>
        <w:tabs>
          <w:tab w:val="center" w:pos="6979"/>
        </w:tabs>
        <w:spacing w:beforeLines="50" w:afterLines="50"/>
        <w:jc w:val="center"/>
        <w:rPr>
          <w:rFonts w:ascii="宋体" w:hAnsi="宋体" w:cs="宋体"/>
          <w:b/>
          <w:bCs/>
          <w:spacing w:val="40"/>
          <w:kern w:val="0"/>
          <w:sz w:val="32"/>
          <w:szCs w:val="32"/>
        </w:rPr>
      </w:pPr>
    </w:p>
    <w:p w14:paraId="4EBC375F">
      <w:pPr>
        <w:tabs>
          <w:tab w:val="center" w:pos="6979"/>
        </w:tabs>
        <w:spacing w:beforeLines="50" w:afterLines="50"/>
        <w:jc w:val="center"/>
        <w:rPr>
          <w:rFonts w:ascii="宋体" w:hAnsi="宋体" w:cs="宋体"/>
          <w:b/>
          <w:bCs/>
          <w:spacing w:val="40"/>
          <w:kern w:val="0"/>
          <w:sz w:val="32"/>
          <w:szCs w:val="32"/>
        </w:rPr>
      </w:pPr>
    </w:p>
    <w:p w14:paraId="7F7F9AE1">
      <w:pPr>
        <w:tabs>
          <w:tab w:val="center" w:pos="6979"/>
        </w:tabs>
        <w:spacing w:beforeLines="50" w:afterLines="50"/>
        <w:jc w:val="center"/>
        <w:rPr>
          <w:rFonts w:ascii="宋体" w:hAnsi="宋体" w:cs="宋体"/>
          <w:b/>
          <w:bCs/>
          <w:spacing w:val="40"/>
          <w:kern w:val="0"/>
          <w:sz w:val="32"/>
          <w:szCs w:val="32"/>
        </w:rPr>
      </w:pPr>
    </w:p>
    <w:p w14:paraId="671F9E62">
      <w:pPr>
        <w:tabs>
          <w:tab w:val="center" w:pos="6979"/>
        </w:tabs>
        <w:spacing w:beforeLines="50"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2024年度单位决算报表</w:t>
      </w:r>
    </w:p>
    <w:p w14:paraId="1D4093DA">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b w:val="0"/>
          <w:bCs w:val="0"/>
          <w:sz w:val="28"/>
          <w:szCs w:val="28"/>
        </w:rPr>
        <w:t>报表详见附件。</w:t>
      </w:r>
    </w:p>
    <w:p w14:paraId="08750566">
      <w:pPr>
        <w:tabs>
          <w:tab w:val="center" w:pos="6979"/>
        </w:tabs>
        <w:spacing w:beforeLines="50"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2024年度单位决算说明</w:t>
      </w:r>
    </w:p>
    <w:p w14:paraId="48234440">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2A2232C7">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p>
    <w:p w14:paraId="0134DAC4">
      <w:pPr>
        <w:widowControl/>
        <w:spacing w:line="560" w:lineRule="exact"/>
        <w:ind w:firstLine="560" w:firstLineChars="200"/>
        <w:jc w:val="left"/>
        <w:rPr>
          <w:rFonts w:ascii="仿宋_GB2312" w:eastAsia="仿宋_GB2312"/>
          <w:sz w:val="28"/>
          <w:szCs w:val="28"/>
        </w:rPr>
      </w:pPr>
      <w:r>
        <w:rPr>
          <w:rFonts w:hint="eastAsia" w:ascii="仿宋_GB2312" w:eastAsia="仿宋_GB2312"/>
          <w:sz w:val="28"/>
          <w:szCs w:val="28"/>
        </w:rPr>
        <w:t>根据《中共北京市委机构编制委员会关于市体育局所属事业单位改革有关事项的批复》，设立北京市什刹海体育运动学校（北京市第100中学、北京市武术运动管理中心）,为公益一类事业单位。单位内设机构为二室十四科一中心一工会八个运动队，分别为党委办公室、办公室、人事科、财务科、训练科、青少科、文教科、伙食科、卫生科、保卫科、行政科、场管科、公寓科、法宣科、纪检科、科研科、武术培训竞赛管理中心、工会、武术队、羽毛球队、拳击队、散打队、跆拳道队、击剑队、空手道队、高尔夫队。</w:t>
      </w:r>
    </w:p>
    <w:p w14:paraId="0FBE42F4">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（二）机构职责</w:t>
      </w:r>
    </w:p>
    <w:p w14:paraId="70E04865">
      <w:pPr>
        <w:spacing w:line="560" w:lineRule="exact"/>
        <w:ind w:firstLine="560" w:firstLineChars="200"/>
        <w:rPr>
          <w:rFonts w:ascii="仿宋_GB2312" w:eastAsia="仿宋_GB2312"/>
          <w:sz w:val="28"/>
          <w:szCs w:val="28"/>
        </w:rPr>
      </w:pPr>
      <w:r>
        <w:rPr>
          <w:rFonts w:hint="eastAsia" w:ascii="仿宋_GB2312" w:eastAsia="仿宋_GB2312"/>
          <w:sz w:val="28"/>
          <w:szCs w:val="28"/>
        </w:rPr>
        <w:t>承担武术等运动项目市级运动队建设、管理、比赛以及后备人才培养等工作；组织在校运动员完成初中义务教育和中专学历教育；负责本单位运动队反兴奋剂工作；承担训练所需后勤保障和相关服务；开展相关体育竞赛、技术培训、训练交流，提供相关领域体育公益服务；承担武术项目业务管理相关工作。</w:t>
      </w:r>
    </w:p>
    <w:p w14:paraId="26AA5F1B">
      <w:pPr>
        <w:tabs>
          <w:tab w:val="center" w:pos="6979"/>
        </w:tabs>
        <w:spacing w:line="580" w:lineRule="exact"/>
        <w:rPr>
          <w:rFonts w:ascii="黑体" w:eastAsia="黑体"/>
          <w:b/>
          <w:sz w:val="28"/>
          <w:szCs w:val="28"/>
        </w:rPr>
      </w:pPr>
      <w:r>
        <w:rPr>
          <w:rFonts w:hint="eastAsia" w:ascii="黑体" w:eastAsia="黑体"/>
          <w:b/>
          <w:sz w:val="28"/>
          <w:szCs w:val="28"/>
        </w:rPr>
        <w:t>二、收入支出决算总体情况说明</w:t>
      </w:r>
    </w:p>
    <w:p w14:paraId="2AD0FA5E">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15830.23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减少1348.81万元，下降7.85%。</w:t>
      </w:r>
    </w:p>
    <w:p w14:paraId="2F844851">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54F6C047">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15739.04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减少176.55万元，下降1.11%。</w:t>
      </w:r>
    </w:p>
    <w:p w14:paraId="60B363EA">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w:t>
      </w:r>
      <w:r>
        <w:rPr>
          <w:rFonts w:ascii="仿宋_GB2312" w:eastAsia="仿宋_GB2312"/>
          <w:sz w:val="28"/>
          <w:szCs w:val="28"/>
        </w:rPr>
        <w:t>15674.8</w:t>
      </w:r>
      <w:r>
        <w:rPr>
          <w:rFonts w:hint="eastAsia" w:ascii="仿宋_GB2312" w:eastAsia="仿宋_GB2312"/>
          <w:sz w:val="28"/>
          <w:szCs w:val="28"/>
        </w:rPr>
        <w:t>5万元，占收入合计的99.59%。其中：一般公共预算财政拨款收入</w:t>
      </w:r>
      <w:r>
        <w:rPr>
          <w:rFonts w:ascii="仿宋_GB2312" w:eastAsia="仿宋_GB2312"/>
          <w:sz w:val="28"/>
          <w:szCs w:val="28"/>
        </w:rPr>
        <w:t>12915.09</w:t>
      </w:r>
      <w:r>
        <w:rPr>
          <w:rFonts w:hint="eastAsia" w:ascii="仿宋_GB2312" w:eastAsia="仿宋_GB2312"/>
          <w:sz w:val="28"/>
          <w:szCs w:val="28"/>
        </w:rPr>
        <w:t>万元，占收入合计的82.06%；政府性基金预算财政拨款收入</w:t>
      </w:r>
      <w:r>
        <w:rPr>
          <w:rFonts w:ascii="仿宋_GB2312" w:eastAsia="仿宋_GB2312"/>
          <w:sz w:val="28"/>
          <w:szCs w:val="28"/>
        </w:rPr>
        <w:t>2759.76</w:t>
      </w:r>
      <w:r>
        <w:rPr>
          <w:rFonts w:hint="eastAsia" w:ascii="仿宋_GB2312" w:eastAsia="仿宋_GB2312"/>
          <w:sz w:val="28"/>
          <w:szCs w:val="28"/>
        </w:rPr>
        <w:t>万元，占收入合计的17.53%；国有资本经营预算财政拨款收入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14:paraId="424A489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14:paraId="5D586FA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19.5</w:t>
      </w:r>
      <w:r>
        <w:rPr>
          <w:rFonts w:hint="eastAsia" w:ascii="仿宋_GB2312" w:eastAsia="仿宋_GB2312"/>
          <w:sz w:val="28"/>
          <w:szCs w:val="28"/>
        </w:rPr>
        <w:t>0万元，占收入合计的0.12%；</w:t>
      </w:r>
    </w:p>
    <w:p w14:paraId="515C0D8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14:paraId="2E38011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14:paraId="78764E7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44.69</w:t>
      </w:r>
      <w:r>
        <w:rPr>
          <w:rFonts w:hint="eastAsia" w:ascii="仿宋_GB2312" w:eastAsia="仿宋_GB2312"/>
          <w:sz w:val="28"/>
          <w:szCs w:val="28"/>
        </w:rPr>
        <w:t>万元，占收入合计的0.29%。</w:t>
      </w:r>
    </w:p>
    <w:p w14:paraId="338156B7">
      <w:pPr>
        <w:pStyle w:val="2"/>
        <w:jc w:val="center"/>
      </w:pPr>
      <w:r>
        <w:rPr>
          <w:rFonts w:hint="eastAsia" w:ascii="仿宋_GB2312" w:eastAsia="仿宋_GB2312"/>
          <w:color w:val="000000"/>
          <w:sz w:val="32"/>
        </w:rPr>
        <w:t>图1：收入决算</w:t>
      </w:r>
    </w:p>
    <w:p w14:paraId="1E0995BA"/>
    <w:p w14:paraId="2153989C"/>
    <w:p w14:paraId="6251BE34">
      <w:pPr>
        <w:pStyle w:val="3"/>
        <w:ind w:firstLine="640"/>
        <w:jc w:val="center"/>
      </w:pPr>
      <w:r>
        <w:rPr>
          <w:rFonts w:hint="eastAsia" w:ascii="仿宋_GB2312" w:eastAsia="仿宋_GB2312"/>
          <w:color w:val="000000"/>
          <w:sz w:val="32"/>
          <w:szCs w:val="32"/>
        </w:rPr>
        <w:drawing>
          <wp:inline distT="0" distB="0" distL="114300" distR="114300">
            <wp:extent cx="3229610" cy="1889760"/>
            <wp:effectExtent l="0" t="0" r="889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229610" cy="1889760"/>
                    </a:xfrm>
                    <a:prstGeom prst="rect">
                      <a:avLst/>
                    </a:prstGeom>
                  </pic:spPr>
                </pic:pic>
              </a:graphicData>
            </a:graphic>
          </wp:inline>
        </w:drawing>
      </w:r>
    </w:p>
    <w:p w14:paraId="2724E83A">
      <w:pPr>
        <w:tabs>
          <w:tab w:val="center" w:pos="6979"/>
        </w:tabs>
        <w:spacing w:line="580" w:lineRule="exact"/>
        <w:ind w:firstLine="570"/>
        <w:rPr>
          <w:rFonts w:ascii="仿宋_GB2312" w:eastAsia="仿宋_GB2312"/>
          <w:sz w:val="28"/>
          <w:szCs w:val="28"/>
        </w:rPr>
      </w:pPr>
    </w:p>
    <w:p w14:paraId="67EB6B0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0659A003">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15817.95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减少692.39万元，下降4.19%，其中：基本支出</w:t>
      </w:r>
      <w:r>
        <w:rPr>
          <w:rFonts w:ascii="仿宋_GB2312" w:eastAsia="仿宋_GB2312"/>
          <w:sz w:val="28"/>
          <w:szCs w:val="28"/>
        </w:rPr>
        <w:t>12397.35</w:t>
      </w:r>
      <w:r>
        <w:rPr>
          <w:rFonts w:hint="eastAsia" w:ascii="仿宋_GB2312" w:eastAsia="仿宋_GB2312"/>
          <w:sz w:val="28"/>
          <w:szCs w:val="28"/>
        </w:rPr>
        <w:t>万元，占支出合计的78.38%；项目支出</w:t>
      </w:r>
      <w:r>
        <w:rPr>
          <w:rFonts w:ascii="仿宋_GB2312" w:eastAsia="仿宋_GB2312"/>
          <w:sz w:val="28"/>
          <w:szCs w:val="28"/>
        </w:rPr>
        <w:t>3420.6</w:t>
      </w:r>
      <w:r>
        <w:rPr>
          <w:rFonts w:hint="eastAsia" w:ascii="仿宋_GB2312" w:eastAsia="仿宋_GB2312"/>
          <w:sz w:val="28"/>
          <w:szCs w:val="28"/>
        </w:rPr>
        <w:t>0万元，占支出合计的21.62%;上缴上级支出</w:t>
      </w:r>
      <w:r>
        <w:rPr>
          <w:rFonts w:ascii="仿宋_GB2312" w:eastAsia="仿宋_GB2312"/>
          <w:sz w:val="28"/>
          <w:szCs w:val="28"/>
        </w:rPr>
        <w:t>0</w:t>
      </w:r>
      <w:r>
        <w:rPr>
          <w:rFonts w:hint="eastAsia" w:ascii="仿宋_GB2312" w:eastAsia="仿宋_GB2312"/>
          <w:sz w:val="28"/>
          <w:szCs w:val="28"/>
        </w:rPr>
        <w:t>万元，占支出合计的0%；经营支出</w:t>
      </w:r>
      <w:r>
        <w:rPr>
          <w:rFonts w:ascii="仿宋_GB2312" w:eastAsia="仿宋_GB2312"/>
          <w:sz w:val="28"/>
          <w:szCs w:val="28"/>
        </w:rPr>
        <w:t>0</w:t>
      </w:r>
      <w:r>
        <w:rPr>
          <w:rFonts w:hint="eastAsia" w:ascii="仿宋_GB2312" w:eastAsia="仿宋_GB2312"/>
          <w:sz w:val="28"/>
          <w:szCs w:val="28"/>
        </w:rPr>
        <w:t>万元，占支出合计的0%；对附属单位补助支出</w:t>
      </w:r>
      <w:r>
        <w:rPr>
          <w:rFonts w:ascii="仿宋_GB2312" w:eastAsia="仿宋_GB2312"/>
          <w:sz w:val="28"/>
          <w:szCs w:val="28"/>
        </w:rPr>
        <w:t>0</w:t>
      </w:r>
      <w:r>
        <w:rPr>
          <w:rFonts w:hint="eastAsia" w:ascii="仿宋_GB2312" w:eastAsia="仿宋_GB2312"/>
          <w:sz w:val="28"/>
          <w:szCs w:val="28"/>
        </w:rPr>
        <w:t>万元，占支出合计的0%。</w:t>
      </w:r>
    </w:p>
    <w:p w14:paraId="76857437">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077BEE2E">
      <w:pPr>
        <w:jc w:val="center"/>
        <w:rPr>
          <w:rFonts w:ascii="仿宋_GB2312" w:eastAsia="仿宋_GB2312"/>
          <w:color w:val="000000"/>
          <w:sz w:val="32"/>
        </w:rPr>
      </w:pPr>
      <w:r>
        <w:rPr>
          <w:rFonts w:ascii="仿宋_GB2312" w:eastAsia="仿宋_GB2312"/>
          <w:color w:val="000000"/>
          <w:sz w:val="32"/>
        </w:rPr>
        <w:drawing>
          <wp:inline distT="0" distB="0" distL="114300" distR="114300">
            <wp:extent cx="3151505" cy="1950720"/>
            <wp:effectExtent l="0" t="0" r="1079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151505" cy="1950720"/>
                    </a:xfrm>
                    <a:prstGeom prst="rect">
                      <a:avLst/>
                    </a:prstGeom>
                  </pic:spPr>
                </pic:pic>
              </a:graphicData>
            </a:graphic>
          </wp:inline>
        </w:drawing>
      </w:r>
    </w:p>
    <w:p w14:paraId="171B4AFA">
      <w:pPr>
        <w:tabs>
          <w:tab w:val="center" w:pos="6979"/>
        </w:tabs>
        <w:spacing w:line="580" w:lineRule="exact"/>
        <w:ind w:firstLine="560" w:firstLineChars="200"/>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32C1CE10">
      <w:pPr>
        <w:spacing w:line="580" w:lineRule="exact"/>
        <w:ind w:firstLine="570"/>
        <w:rPr>
          <w:rFonts w:ascii="仿宋_GB2312" w:eastAsia="仿宋_GB2312" w:cs="仿宋_GB2312"/>
          <w:sz w:val="28"/>
          <w:szCs w:val="28"/>
          <w:highlight w:val="none"/>
        </w:rPr>
      </w:pPr>
      <w:r>
        <w:rPr>
          <w:rFonts w:hint="eastAsia" w:ascii="仿宋_GB2312" w:eastAsia="仿宋_GB2312" w:cs="仿宋_GB2312"/>
          <w:sz w:val="28"/>
          <w:szCs w:val="28"/>
        </w:rPr>
        <w:t>2024年度财政拨款收、支总计</w:t>
      </w:r>
      <w:r>
        <w:rPr>
          <w:rFonts w:hint="eastAsia" w:ascii="仿宋_GB2312" w:eastAsia="仿宋_GB2312"/>
          <w:sz w:val="28"/>
          <w:szCs w:val="28"/>
        </w:rPr>
        <w:t>15674.84</w:t>
      </w:r>
      <w:r>
        <w:rPr>
          <w:rFonts w:hint="eastAsia" w:ascii="仿宋_GB2312" w:eastAsia="仿宋_GB2312" w:cs="仿宋_GB2312"/>
          <w:sz w:val="28"/>
          <w:szCs w:val="28"/>
        </w:rPr>
        <w:t>万元，比上年减少1318.70万元，下降7.76%。主要原因：</w:t>
      </w:r>
      <w:r>
        <w:rPr>
          <w:rFonts w:hint="eastAsia" w:ascii="仿宋_GB2312" w:eastAsia="仿宋_GB2312" w:cs="仿宋_GB2312"/>
          <w:sz w:val="28"/>
          <w:szCs w:val="28"/>
          <w:highlight w:val="none"/>
          <w:lang w:eastAsia="zh-CN"/>
        </w:rPr>
        <w:t>在职</w:t>
      </w:r>
      <w:r>
        <w:rPr>
          <w:rFonts w:hint="eastAsia" w:ascii="仿宋_GB2312" w:eastAsia="仿宋_GB2312" w:cs="仿宋_GB2312"/>
          <w:sz w:val="28"/>
          <w:szCs w:val="28"/>
          <w:highlight w:val="none"/>
        </w:rPr>
        <w:t>人员</w:t>
      </w:r>
      <w:r>
        <w:rPr>
          <w:rFonts w:hint="eastAsia" w:ascii="仿宋_GB2312" w:eastAsia="仿宋_GB2312" w:cs="仿宋_GB2312"/>
          <w:sz w:val="28"/>
          <w:szCs w:val="28"/>
          <w:highlight w:val="none"/>
          <w:lang w:eastAsia="zh-CN"/>
        </w:rPr>
        <w:t>较上年度</w:t>
      </w:r>
      <w:r>
        <w:rPr>
          <w:rFonts w:hint="eastAsia" w:ascii="仿宋_GB2312" w:eastAsia="仿宋_GB2312" w:cs="仿宋_GB2312"/>
          <w:sz w:val="28"/>
          <w:szCs w:val="28"/>
          <w:highlight w:val="none"/>
        </w:rPr>
        <w:t>减少</w:t>
      </w:r>
      <w:r>
        <w:rPr>
          <w:rFonts w:hint="eastAsia" w:ascii="仿宋_GB2312" w:eastAsia="仿宋_GB2312" w:cs="仿宋_GB2312"/>
          <w:sz w:val="28"/>
          <w:szCs w:val="28"/>
          <w:highlight w:val="none"/>
          <w:lang w:eastAsia="zh-CN"/>
        </w:rPr>
        <w:t>；根据实际需求减少</w:t>
      </w:r>
      <w:r>
        <w:rPr>
          <w:rFonts w:hint="eastAsia" w:ascii="仿宋_GB2312" w:eastAsia="仿宋_GB2312" w:cs="仿宋_GB2312"/>
          <w:sz w:val="28"/>
          <w:szCs w:val="28"/>
          <w:highlight w:val="none"/>
        </w:rPr>
        <w:t>专项训练器材采购</w:t>
      </w:r>
      <w:r>
        <w:rPr>
          <w:rFonts w:hint="eastAsia" w:ascii="仿宋_GB2312" w:eastAsia="仿宋_GB2312" w:cs="仿宋_GB2312"/>
          <w:sz w:val="28"/>
          <w:szCs w:val="28"/>
          <w:highlight w:val="none"/>
          <w:lang w:eastAsia="zh-CN"/>
        </w:rPr>
        <w:t>量</w:t>
      </w:r>
      <w:r>
        <w:rPr>
          <w:rFonts w:hint="eastAsia" w:ascii="仿宋_GB2312" w:eastAsia="仿宋_GB2312" w:cs="仿宋_GB2312"/>
          <w:sz w:val="28"/>
          <w:szCs w:val="28"/>
          <w:highlight w:val="none"/>
        </w:rPr>
        <w:t>。</w:t>
      </w:r>
    </w:p>
    <w:p w14:paraId="2A161A1A">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1FE4E836">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cs="仿宋_GB2312"/>
          <w:sz w:val="28"/>
          <w:szCs w:val="28"/>
        </w:rPr>
        <w:t>（一）一般公共预算财政拨款支出决算总体情况</w:t>
      </w:r>
    </w:p>
    <w:p w14:paraId="6A026986">
      <w:pPr>
        <w:spacing w:line="58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2024年度一般公共预算财政拨款支出</w:t>
      </w:r>
      <w:r>
        <w:rPr>
          <w:rFonts w:hint="eastAsia" w:ascii="仿宋_GB2312" w:eastAsia="仿宋_GB2312"/>
          <w:sz w:val="28"/>
          <w:szCs w:val="28"/>
        </w:rPr>
        <w:t>12908.10</w:t>
      </w:r>
      <w:r>
        <w:rPr>
          <w:rFonts w:hint="eastAsia" w:ascii="仿宋_GB2312" w:eastAsia="仿宋_GB2312" w:cs="仿宋_GB2312"/>
          <w:sz w:val="28"/>
          <w:szCs w:val="28"/>
        </w:rPr>
        <w:t>万元，主要用于以下方面：文化旅游体育与传媒支出12908.10万元，占本年财政拨款支出82.39%。</w:t>
      </w:r>
    </w:p>
    <w:p w14:paraId="18157AE0">
      <w:pPr>
        <w:spacing w:line="580" w:lineRule="exact"/>
        <w:ind w:firstLine="560" w:firstLineChars="200"/>
        <w:rPr>
          <w:rFonts w:ascii="仿宋_GB2312" w:eastAsia="仿宋_GB2312"/>
          <w:sz w:val="28"/>
          <w:szCs w:val="28"/>
        </w:rPr>
      </w:pPr>
      <w:r>
        <w:rPr>
          <w:rFonts w:hint="eastAsia" w:ascii="仿宋_GB2312" w:eastAsia="仿宋_GB2312" w:cs="仿宋_GB2312"/>
          <w:sz w:val="28"/>
          <w:szCs w:val="28"/>
        </w:rPr>
        <w:t>（二）一般公共预算财政拨款支出决算具体情况</w:t>
      </w:r>
    </w:p>
    <w:p w14:paraId="154433EB">
      <w:pPr>
        <w:spacing w:line="58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“文化旅游体育与传媒支出”</w:t>
      </w:r>
      <w:r>
        <w:rPr>
          <w:rFonts w:hint="eastAsia" w:ascii="仿宋_GB2312" w:eastAsia="仿宋_GB2312"/>
          <w:sz w:val="28"/>
          <w:szCs w:val="28"/>
        </w:rPr>
        <w:t>2024年度年初预算12890.97万元，2024年度决算</w:t>
      </w:r>
      <w:r>
        <w:rPr>
          <w:rFonts w:hint="eastAsia" w:ascii="仿宋_GB2312" w:eastAsia="仿宋_GB2312" w:cs="仿宋_GB2312"/>
          <w:sz w:val="28"/>
          <w:szCs w:val="28"/>
        </w:rPr>
        <w:t>12908.10</w:t>
      </w:r>
      <w:r>
        <w:rPr>
          <w:rFonts w:hint="eastAsia" w:ascii="仿宋_GB2312" w:eastAsia="仿宋_GB2312"/>
          <w:sz w:val="28"/>
          <w:szCs w:val="28"/>
        </w:rPr>
        <w:t>万元，完成年初预算的100.13%。</w:t>
      </w:r>
      <w:r>
        <w:rPr>
          <w:rFonts w:hint="eastAsia" w:ascii="仿宋_GB2312" w:eastAsia="仿宋_GB2312" w:cs="仿宋_GB2312"/>
          <w:sz w:val="28"/>
          <w:szCs w:val="28"/>
        </w:rPr>
        <w:t>其中：</w:t>
      </w:r>
    </w:p>
    <w:p w14:paraId="10A2BDAF">
      <w:pPr>
        <w:spacing w:line="580" w:lineRule="exact"/>
        <w:ind w:firstLine="560" w:firstLineChars="200"/>
        <w:rPr>
          <w:rFonts w:ascii="仿宋_GB2312" w:eastAsia="仿宋_GB2312" w:cs="仿宋_GB2312"/>
          <w:sz w:val="28"/>
          <w:szCs w:val="28"/>
          <w:highlight w:val="yellow"/>
        </w:rPr>
      </w:pPr>
      <w:r>
        <w:rPr>
          <w:rFonts w:hint="eastAsia" w:ascii="仿宋_GB2312" w:eastAsia="仿宋_GB2312" w:cs="仿宋_GB2312"/>
          <w:sz w:val="28"/>
          <w:szCs w:val="28"/>
        </w:rPr>
        <w:t>“体育”</w:t>
      </w:r>
      <w:bookmarkStart w:id="0" w:name="OLE_LINK7"/>
      <w:r>
        <w:rPr>
          <w:rFonts w:hint="eastAsia" w:ascii="仿宋_GB2312" w:eastAsia="仿宋_GB2312"/>
          <w:sz w:val="28"/>
          <w:szCs w:val="28"/>
        </w:rPr>
        <w:t>2024年度年初预算12890.97万元，2024年度决算12908.10万元，完成年初预算的100.13%。</w:t>
      </w:r>
      <w:bookmarkEnd w:id="0"/>
      <w:r>
        <w:rPr>
          <w:rFonts w:hint="eastAsia" w:ascii="仿宋_GB2312" w:eastAsia="仿宋_GB2312" w:cs="仿宋_GB2312"/>
          <w:sz w:val="28"/>
          <w:szCs w:val="28"/>
        </w:rPr>
        <w:t>与年初预算数基本持平。</w:t>
      </w:r>
    </w:p>
    <w:p w14:paraId="7DF1B4DC">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524D8218">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cs="仿宋_GB2312"/>
          <w:sz w:val="28"/>
          <w:szCs w:val="28"/>
        </w:rPr>
        <w:t>（一）政府性基金预算财政拨款支出决算总体情况</w:t>
      </w:r>
    </w:p>
    <w:p w14:paraId="104291A3">
      <w:pPr>
        <w:spacing w:line="58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2024年度政府性基金预算财政拨款支出</w:t>
      </w:r>
      <w:r>
        <w:rPr>
          <w:rFonts w:hint="eastAsia" w:ascii="仿宋_GB2312" w:eastAsia="仿宋_GB2312"/>
          <w:sz w:val="28"/>
          <w:szCs w:val="28"/>
        </w:rPr>
        <w:t>2759.53</w:t>
      </w:r>
      <w:r>
        <w:rPr>
          <w:rFonts w:hint="eastAsia" w:ascii="仿宋_GB2312" w:eastAsia="仿宋_GB2312" w:cs="仿宋_GB2312"/>
          <w:sz w:val="28"/>
          <w:szCs w:val="28"/>
        </w:rPr>
        <w:t>万元，主要用于以下方面：其他支出2759.53万元，占本年财政拨款支出17.61%。</w:t>
      </w:r>
    </w:p>
    <w:p w14:paraId="06992E6D">
      <w:pPr>
        <w:spacing w:line="580" w:lineRule="exact"/>
        <w:ind w:firstLine="560" w:firstLineChars="200"/>
        <w:rPr>
          <w:rFonts w:ascii="仿宋_GB2312" w:eastAsia="仿宋_GB2312"/>
          <w:sz w:val="28"/>
          <w:szCs w:val="28"/>
        </w:rPr>
      </w:pPr>
      <w:r>
        <w:rPr>
          <w:rFonts w:hint="eastAsia" w:ascii="仿宋_GB2312" w:eastAsia="仿宋_GB2312" w:cs="仿宋_GB2312"/>
          <w:sz w:val="28"/>
          <w:szCs w:val="28"/>
        </w:rPr>
        <w:t>（二）政府性基金预算财政拨款支出决算具体情况</w:t>
      </w:r>
    </w:p>
    <w:p w14:paraId="7C6CF187">
      <w:pPr>
        <w:widowControl/>
        <w:jc w:val="left"/>
        <w:rPr>
          <w:rFonts w:ascii="仿宋_GB2312" w:eastAsia="仿宋_GB2312" w:cs="仿宋_GB2312"/>
          <w:sz w:val="28"/>
          <w:szCs w:val="28"/>
        </w:rPr>
      </w:pPr>
      <w:r>
        <w:rPr>
          <w:rFonts w:hint="eastAsia" w:ascii="仿宋_GB2312" w:eastAsia="仿宋_GB2312" w:cs="仿宋_GB2312"/>
          <w:sz w:val="28"/>
          <w:szCs w:val="28"/>
        </w:rPr>
        <w:t xml:space="preserve">    “其他支出”2024年度年初预算2759.76万元，2024年度决算2759.53万元，完成年初预算的99.99%。其中：</w:t>
      </w:r>
    </w:p>
    <w:p w14:paraId="776E177A">
      <w:pPr>
        <w:widowControl/>
        <w:ind w:firstLine="560" w:firstLineChars="200"/>
        <w:jc w:val="left"/>
      </w:pPr>
      <w:r>
        <w:rPr>
          <w:rFonts w:hint="eastAsia" w:ascii="仿宋_GB2312" w:eastAsia="仿宋_GB2312" w:cs="仿宋_GB2312"/>
          <w:sz w:val="28"/>
          <w:szCs w:val="28"/>
        </w:rPr>
        <w:t>“彩票公益金安排的支出”</w:t>
      </w:r>
      <w:r>
        <w:rPr>
          <w:rFonts w:hint="eastAsia" w:ascii="仿宋_GB2312" w:eastAsia="仿宋_GB2312"/>
          <w:sz w:val="28"/>
          <w:szCs w:val="28"/>
        </w:rPr>
        <w:t>2024年度年初预算2759.76万元，2024年度决算2759.53万元，完成年初预算的99.99%。</w:t>
      </w:r>
      <w:r>
        <w:rPr>
          <w:rFonts w:hint="eastAsia" w:ascii="仿宋_GB2312" w:eastAsia="仿宋_GB2312" w:cs="仿宋_GB2312"/>
          <w:sz w:val="28"/>
          <w:szCs w:val="28"/>
        </w:rPr>
        <w:t>与年初预算数基本持平。</w:t>
      </w:r>
    </w:p>
    <w:p w14:paraId="5D3DC75A">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3A350D8F">
      <w:pPr>
        <w:ind w:firstLine="537" w:firstLineChars="192"/>
        <w:rPr>
          <w:rFonts w:ascii="仿宋_GB2312" w:eastAsia="仿宋_GB2312"/>
          <w:sz w:val="28"/>
          <w:szCs w:val="28"/>
        </w:rPr>
      </w:pPr>
      <w:r>
        <w:rPr>
          <w:rFonts w:hint="eastAsia" w:ascii="仿宋_GB2312" w:eastAsia="仿宋_GB2312"/>
          <w:sz w:val="28"/>
          <w:szCs w:val="28"/>
        </w:rPr>
        <w:t>本单位无此项经费。</w:t>
      </w:r>
    </w:p>
    <w:p w14:paraId="2A2D3D59">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7DF2C291">
      <w:pPr>
        <w:spacing w:line="580" w:lineRule="exact"/>
        <w:ind w:firstLine="548" w:firstLineChars="196"/>
        <w:rPr>
          <w:rFonts w:ascii="仿宋_GB2312" w:eastAsia="仿宋_GB2312" w:cs="仿宋_GB2312"/>
          <w:sz w:val="28"/>
          <w:szCs w:val="28"/>
        </w:rPr>
      </w:pPr>
      <w:r>
        <w:rPr>
          <w:rFonts w:hint="eastAsia" w:ascii="仿宋_GB2312" w:eastAsia="仿宋_GB2312" w:cs="仿宋_GB2312"/>
          <w:sz w:val="28"/>
          <w:szCs w:val="28"/>
        </w:rPr>
        <w:t>2024年度使用一般公共预算财政拨款安排基本支出</w:t>
      </w:r>
      <w:r>
        <w:rPr>
          <w:rFonts w:hint="eastAsia" w:ascii="仿宋_GB2312" w:eastAsia="仿宋_GB2312"/>
          <w:sz w:val="28"/>
          <w:szCs w:val="28"/>
        </w:rPr>
        <w:t>12335.24</w:t>
      </w:r>
      <w:r>
        <w:rPr>
          <w:rFonts w:hint="eastAsia" w:ascii="仿宋_GB2312" w:eastAsia="仿宋_GB2312" w:cs="仿宋_GB2312"/>
          <w:sz w:val="28"/>
          <w:szCs w:val="28"/>
        </w:rPr>
        <w:t>万元，使用政府性基金财政拨款安排基本支出</w:t>
      </w:r>
      <w:r>
        <w:rPr>
          <w:rFonts w:hint="eastAsia" w:ascii="仿宋_GB2312" w:eastAsia="仿宋_GB2312"/>
          <w:sz w:val="28"/>
          <w:szCs w:val="28"/>
        </w:rPr>
        <w:t>0</w:t>
      </w:r>
      <w:r>
        <w:rPr>
          <w:rFonts w:hint="eastAsia" w:ascii="仿宋_GB2312" w:eastAsia="仿宋_GB2312" w:cs="仿宋_GB2312"/>
          <w:sz w:val="28"/>
          <w:szCs w:val="28"/>
        </w:rPr>
        <w:t>万元，（1）工资福利支出包括基本工资、津贴补贴、奖金、伙食补助费、绩效工资、其他社会保障缴费、其他工资福利等支出；（2）商品和服务支出包括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等支出；（3）对个人和家庭补助支出包括离休费、退休费、抚恤金、生活补助、救济费、医疗费补助、助学金、奖励金、其他对个人和家庭的补助等支出。（4）其他资本性支出包括办公设备购置、专用设备购置等。</w:t>
      </w:r>
    </w:p>
    <w:p w14:paraId="0E6F77FB">
      <w:pPr>
        <w:pStyle w:val="2"/>
      </w:pPr>
    </w:p>
    <w:p w14:paraId="540BA06C">
      <w:pPr>
        <w:autoSpaceDE w:val="0"/>
        <w:autoSpaceDN w:val="0"/>
        <w:adjustRightInd w:val="0"/>
        <w:spacing w:line="580" w:lineRule="exact"/>
        <w:jc w:val="center"/>
        <w:rPr>
          <w:rFonts w:ascii="宋体" w:hAnsi="宋体" w:cs="宋体"/>
          <w:b/>
          <w:bCs/>
          <w:spacing w:val="40"/>
          <w:kern w:val="0"/>
          <w:sz w:val="32"/>
          <w:szCs w:val="32"/>
        </w:rPr>
      </w:pPr>
    </w:p>
    <w:p w14:paraId="6F6DA61B">
      <w:pPr>
        <w:autoSpaceDE w:val="0"/>
        <w:autoSpaceDN w:val="0"/>
        <w:adjustRightInd w:val="0"/>
        <w:spacing w:line="580" w:lineRule="exact"/>
        <w:jc w:val="center"/>
        <w:rPr>
          <w:rFonts w:ascii="宋体" w:hAnsi="宋体" w:cs="宋体"/>
          <w:b/>
          <w:bCs/>
          <w:spacing w:val="40"/>
          <w:kern w:val="0"/>
          <w:sz w:val="32"/>
          <w:szCs w:val="32"/>
        </w:rPr>
      </w:pPr>
    </w:p>
    <w:p w14:paraId="14D816CA">
      <w:pPr>
        <w:autoSpaceDE w:val="0"/>
        <w:autoSpaceDN w:val="0"/>
        <w:adjustRightInd w:val="0"/>
        <w:spacing w:line="580" w:lineRule="exact"/>
        <w:jc w:val="center"/>
        <w:rPr>
          <w:rFonts w:ascii="宋体" w:hAnsi="宋体" w:cs="宋体"/>
          <w:b/>
          <w:bCs/>
          <w:spacing w:val="40"/>
          <w:kern w:val="0"/>
          <w:sz w:val="32"/>
          <w:szCs w:val="32"/>
        </w:rPr>
      </w:pPr>
    </w:p>
    <w:p w14:paraId="2A10650F">
      <w:pPr>
        <w:autoSpaceDE w:val="0"/>
        <w:autoSpaceDN w:val="0"/>
        <w:adjustRightInd w:val="0"/>
        <w:spacing w:line="580" w:lineRule="exact"/>
        <w:jc w:val="center"/>
        <w:rPr>
          <w:rFonts w:ascii="宋体" w:hAnsi="宋体" w:cs="宋体"/>
          <w:b/>
          <w:bCs/>
          <w:spacing w:val="40"/>
          <w:kern w:val="0"/>
          <w:sz w:val="32"/>
          <w:szCs w:val="32"/>
        </w:rPr>
      </w:pPr>
    </w:p>
    <w:p w14:paraId="1391C790">
      <w:pPr>
        <w:autoSpaceDE w:val="0"/>
        <w:autoSpaceDN w:val="0"/>
        <w:adjustRightInd w:val="0"/>
        <w:spacing w:line="580" w:lineRule="exact"/>
        <w:jc w:val="center"/>
        <w:rPr>
          <w:rFonts w:ascii="宋体" w:hAnsi="宋体" w:cs="宋体"/>
          <w:b/>
          <w:bCs/>
          <w:spacing w:val="40"/>
          <w:kern w:val="0"/>
          <w:sz w:val="32"/>
          <w:szCs w:val="32"/>
        </w:rPr>
      </w:pPr>
    </w:p>
    <w:p w14:paraId="15B075CE">
      <w:pPr>
        <w:autoSpaceDE w:val="0"/>
        <w:autoSpaceDN w:val="0"/>
        <w:adjustRightInd w:val="0"/>
        <w:spacing w:line="580" w:lineRule="exact"/>
        <w:jc w:val="center"/>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7586566D">
      <w:pPr>
        <w:spacing w:line="560" w:lineRule="exact"/>
        <w:ind w:firstLine="560" w:firstLineChars="200"/>
        <w:rPr>
          <w:rFonts w:ascii="黑体" w:eastAsia="黑体"/>
          <w:sz w:val="28"/>
          <w:szCs w:val="28"/>
          <w:highlight w:val="yellow"/>
        </w:rPr>
      </w:pPr>
      <w:r>
        <w:rPr>
          <w:rFonts w:hint="eastAsia" w:ascii="黑体" w:eastAsia="黑体"/>
          <w:sz w:val="28"/>
          <w:szCs w:val="28"/>
        </w:rPr>
        <w:t>一、“三公”经费财政拨款决算情况</w:t>
      </w:r>
    </w:p>
    <w:p w14:paraId="221DD944">
      <w:pPr>
        <w:spacing w:line="560" w:lineRule="exact"/>
        <w:ind w:firstLine="600"/>
        <w:rPr>
          <w:rFonts w:ascii="仿宋_GB2312" w:eastAsia="仿宋_GB2312"/>
          <w:sz w:val="28"/>
          <w:szCs w:val="28"/>
        </w:rPr>
      </w:pPr>
      <w:r>
        <w:rPr>
          <w:rFonts w:hint="eastAsia" w:ascii="仿宋_GB2312" w:eastAsia="仿宋_GB2312"/>
          <w:sz w:val="28"/>
          <w:szCs w:val="28"/>
        </w:rPr>
        <w:t>2024年度“三公”经费财政拨款决算数</w:t>
      </w:r>
      <w:r>
        <w:rPr>
          <w:rFonts w:ascii="仿宋_GB2312" w:eastAsia="仿宋_GB2312"/>
          <w:sz w:val="28"/>
          <w:szCs w:val="28"/>
        </w:rPr>
        <w:t>90.26</w:t>
      </w:r>
      <w:r>
        <w:rPr>
          <w:rFonts w:hint="eastAsia" w:ascii="仿宋_GB2312" w:eastAsia="仿宋_GB2312"/>
          <w:sz w:val="28"/>
          <w:szCs w:val="28"/>
        </w:rPr>
        <w:t>万元，比2024年度“三公”经费财政拨款年初预算</w:t>
      </w:r>
      <w:r>
        <w:rPr>
          <w:rFonts w:ascii="仿宋_GB2312" w:eastAsia="仿宋_GB2312"/>
          <w:sz w:val="28"/>
          <w:szCs w:val="28"/>
        </w:rPr>
        <w:t>97.24</w:t>
      </w:r>
      <w:r>
        <w:rPr>
          <w:rFonts w:hint="eastAsia" w:ascii="仿宋_GB2312" w:eastAsia="仿宋_GB2312"/>
          <w:sz w:val="28"/>
          <w:szCs w:val="28"/>
        </w:rPr>
        <w:t>万元减少</w:t>
      </w:r>
      <w:r>
        <w:rPr>
          <w:rFonts w:ascii="仿宋_GB2312" w:eastAsia="仿宋_GB2312"/>
          <w:sz w:val="28"/>
          <w:szCs w:val="28"/>
        </w:rPr>
        <w:t>6.98</w:t>
      </w:r>
      <w:r>
        <w:rPr>
          <w:rFonts w:hint="eastAsia" w:ascii="仿宋_GB2312" w:eastAsia="仿宋_GB2312"/>
          <w:sz w:val="28"/>
          <w:szCs w:val="28"/>
        </w:rPr>
        <w:t>万元。</w:t>
      </w:r>
      <w:r>
        <w:rPr>
          <w:rFonts w:hint="eastAsia" w:ascii="仿宋_GB2312" w:eastAsia="仿宋_GB2312" w:cs="仿宋_GB2312"/>
          <w:sz w:val="28"/>
          <w:szCs w:val="28"/>
        </w:rPr>
        <w:t>其中：</w:t>
      </w:r>
    </w:p>
    <w:p w14:paraId="5335B111">
      <w:pPr>
        <w:spacing w:line="560" w:lineRule="exact"/>
        <w:ind w:firstLine="560" w:firstLineChars="200"/>
        <w:rPr>
          <w:rFonts w:ascii="仿宋_GB2312" w:eastAsia="仿宋_GB2312"/>
          <w:sz w:val="28"/>
          <w:szCs w:val="28"/>
        </w:rPr>
      </w:pPr>
      <w:r>
        <w:rPr>
          <w:rFonts w:hint="eastAsia" w:ascii="仿宋_GB2312" w:eastAsia="仿宋_GB2312"/>
          <w:sz w:val="28"/>
          <w:szCs w:val="28"/>
        </w:rPr>
        <w:t>1.因公出国（境）费用。2024年度决算数</w:t>
      </w:r>
      <w:r>
        <w:rPr>
          <w:rFonts w:ascii="仿宋_GB2312" w:eastAsia="仿宋_GB2312"/>
          <w:sz w:val="28"/>
          <w:szCs w:val="28"/>
        </w:rPr>
        <w:t>30.24</w:t>
      </w:r>
      <w:r>
        <w:rPr>
          <w:rFonts w:hint="eastAsia" w:ascii="仿宋_GB2312" w:eastAsia="仿宋_GB2312"/>
          <w:sz w:val="28"/>
          <w:szCs w:val="28"/>
        </w:rPr>
        <w:t>万元，比2024年度年初预算数</w:t>
      </w:r>
      <w:r>
        <w:rPr>
          <w:rFonts w:ascii="仿宋_GB2312" w:eastAsia="仿宋_GB2312"/>
          <w:sz w:val="28"/>
          <w:szCs w:val="28"/>
        </w:rPr>
        <w:t>31</w:t>
      </w:r>
      <w:r>
        <w:rPr>
          <w:rFonts w:hint="eastAsia" w:ascii="仿宋_GB2312" w:eastAsia="仿宋_GB2312"/>
          <w:sz w:val="28"/>
          <w:szCs w:val="28"/>
        </w:rPr>
        <w:t>万元减少</w:t>
      </w:r>
      <w:r>
        <w:rPr>
          <w:rFonts w:ascii="仿宋_GB2312" w:eastAsia="仿宋_GB2312"/>
          <w:sz w:val="28"/>
          <w:szCs w:val="28"/>
        </w:rPr>
        <w:t>0.76</w:t>
      </w:r>
      <w:r>
        <w:rPr>
          <w:rFonts w:hint="eastAsia" w:ascii="仿宋_GB2312" w:eastAsia="仿宋_GB2312"/>
          <w:sz w:val="28"/>
          <w:szCs w:val="28"/>
        </w:rPr>
        <w:t>万元。</w:t>
      </w:r>
      <w:r>
        <w:rPr>
          <w:rFonts w:hint="eastAsia" w:ascii="仿宋_GB2312" w:eastAsia="仿宋_GB2312" w:cs="仿宋_GB2312"/>
          <w:sz w:val="28"/>
          <w:szCs w:val="28"/>
        </w:rPr>
        <w:t>主要原</w:t>
      </w:r>
      <w:r>
        <w:rPr>
          <w:rFonts w:hint="eastAsia" w:ascii="仿宋_GB2312" w:eastAsia="仿宋_GB2312"/>
          <w:sz w:val="28"/>
          <w:szCs w:val="28"/>
        </w:rPr>
        <w:t>因：</w:t>
      </w:r>
    </w:p>
    <w:p w14:paraId="1E54BCDC">
      <w:pPr>
        <w:spacing w:line="560" w:lineRule="exact"/>
        <w:rPr>
          <w:rFonts w:ascii="仿宋_GB2312" w:eastAsia="仿宋_GB2312"/>
          <w:sz w:val="28"/>
          <w:szCs w:val="28"/>
        </w:rPr>
      </w:pPr>
      <w:r>
        <w:rPr>
          <w:rFonts w:hint="eastAsia" w:ascii="仿宋_GB2312" w:eastAsia="仿宋_GB2312"/>
          <w:sz w:val="28"/>
          <w:szCs w:val="28"/>
        </w:rPr>
        <w:t>落实政府过紧日子要求，减少因公出国（境）支出。</w:t>
      </w:r>
      <w:r>
        <w:rPr>
          <w:rFonts w:hint="eastAsia" w:ascii="仿宋_GB2312" w:eastAsia="仿宋_GB2312" w:cs="仿宋_GB2312"/>
          <w:sz w:val="28"/>
          <w:szCs w:val="28"/>
        </w:rPr>
        <w:t>2024年度因公出国（境）费用主要用于运动队赴匈牙利、法国参加国际比赛，2024年度组织因公出国（境）团组5个、24人次。</w:t>
      </w:r>
    </w:p>
    <w:p w14:paraId="4DACF41E">
      <w:pPr>
        <w:spacing w:line="560" w:lineRule="exact"/>
        <w:ind w:left="600"/>
      </w:pPr>
      <w:r>
        <w:rPr>
          <w:rFonts w:hint="eastAsia" w:ascii="仿宋_GB2312" w:eastAsia="仿宋_GB2312" w:cs="仿宋_GB2312"/>
          <w:sz w:val="28"/>
          <w:szCs w:val="28"/>
        </w:rPr>
        <w:t>2.公务接待费。</w:t>
      </w:r>
      <w:r>
        <w:rPr>
          <w:rFonts w:hint="eastAsia" w:ascii="仿宋_GB2312" w:eastAsia="仿宋_GB2312"/>
          <w:sz w:val="28"/>
          <w:szCs w:val="28"/>
        </w:rPr>
        <w:t>本单位无此项经费。</w:t>
      </w:r>
    </w:p>
    <w:p w14:paraId="71255F47">
      <w:pPr>
        <w:spacing w:line="560" w:lineRule="exact"/>
        <w:ind w:firstLine="560" w:firstLineChars="200"/>
        <w:rPr>
          <w:rFonts w:ascii="仿宋_GB2312" w:eastAsia="仿宋_GB2312"/>
          <w:sz w:val="28"/>
          <w:szCs w:val="28"/>
        </w:rPr>
      </w:pPr>
      <w:r>
        <w:rPr>
          <w:rFonts w:hint="eastAsia" w:ascii="仿宋_GB2312" w:eastAsia="仿宋_GB2312" w:cs="仿宋_GB2312"/>
          <w:sz w:val="28"/>
          <w:szCs w:val="28"/>
        </w:rPr>
        <w:t>3.公务用车购置及运行维护费。</w:t>
      </w:r>
      <w:r>
        <w:rPr>
          <w:rFonts w:hint="eastAsia" w:ascii="仿宋_GB2312" w:eastAsia="仿宋_GB2312"/>
          <w:sz w:val="28"/>
          <w:szCs w:val="28"/>
        </w:rPr>
        <w:t>2024年度决算数</w:t>
      </w:r>
      <w:r>
        <w:rPr>
          <w:rFonts w:ascii="仿宋_GB2312" w:eastAsia="仿宋_GB2312"/>
          <w:sz w:val="28"/>
          <w:szCs w:val="28"/>
        </w:rPr>
        <w:t>60.0</w:t>
      </w:r>
      <w:r>
        <w:rPr>
          <w:rFonts w:hint="eastAsia" w:ascii="仿宋_GB2312" w:eastAsia="仿宋_GB2312"/>
          <w:sz w:val="28"/>
          <w:szCs w:val="28"/>
        </w:rPr>
        <w:t>2万元，比2024年度年初预算数</w:t>
      </w:r>
      <w:r>
        <w:rPr>
          <w:rFonts w:ascii="仿宋_GB2312" w:eastAsia="仿宋_GB2312"/>
          <w:sz w:val="28"/>
          <w:szCs w:val="28"/>
        </w:rPr>
        <w:t>66.24</w:t>
      </w:r>
      <w:r>
        <w:rPr>
          <w:rFonts w:hint="eastAsia" w:ascii="仿宋_GB2312" w:eastAsia="仿宋_GB2312"/>
          <w:sz w:val="28"/>
          <w:szCs w:val="28"/>
        </w:rPr>
        <w:t>万元减少</w:t>
      </w:r>
      <w:r>
        <w:rPr>
          <w:rFonts w:ascii="仿宋_GB2312" w:eastAsia="仿宋_GB2312"/>
          <w:sz w:val="28"/>
          <w:szCs w:val="28"/>
        </w:rPr>
        <w:t>6.2</w:t>
      </w:r>
      <w:r>
        <w:rPr>
          <w:rFonts w:hint="eastAsia" w:ascii="仿宋_GB2312" w:eastAsia="仿宋_GB2312"/>
          <w:sz w:val="28"/>
          <w:szCs w:val="28"/>
        </w:rPr>
        <w:t>2万元。其中，公务用车购置费2024年度决算数42.38万元，主要原因：公车采购价格较预算申报时下降，实际支出减少；2024年度更新1辆。公务用车运行维护费2024年度决算数17.64万元，主要原因：厉行勤俭节约，压减公务用车运行维护支出。2024年度公务用车保有量</w:t>
      </w:r>
      <w:r>
        <w:rPr>
          <w:rFonts w:ascii="仿宋_GB2312" w:eastAsia="仿宋_GB2312"/>
          <w:sz w:val="28"/>
          <w:szCs w:val="28"/>
        </w:rPr>
        <w:t>9</w:t>
      </w:r>
      <w:r>
        <w:rPr>
          <w:rFonts w:hint="eastAsia" w:ascii="仿宋_GB2312" w:eastAsia="仿宋_GB2312"/>
          <w:sz w:val="28"/>
          <w:szCs w:val="28"/>
        </w:rPr>
        <w:t>辆。</w:t>
      </w:r>
    </w:p>
    <w:p w14:paraId="490AC7A1">
      <w:pPr>
        <w:ind w:left="540"/>
        <w:rPr>
          <w:rFonts w:ascii="黑体" w:eastAsia="黑体"/>
          <w:sz w:val="28"/>
          <w:szCs w:val="28"/>
        </w:rPr>
      </w:pPr>
      <w:r>
        <w:rPr>
          <w:rFonts w:hint="eastAsia" w:ascii="黑体" w:eastAsia="黑体"/>
          <w:sz w:val="28"/>
          <w:szCs w:val="28"/>
        </w:rPr>
        <w:t>二、机关运行经费支出情况</w:t>
      </w:r>
    </w:p>
    <w:p w14:paraId="305B796D">
      <w:pPr>
        <w:spacing w:line="560" w:lineRule="exact"/>
        <w:ind w:firstLine="560" w:firstLineChars="200"/>
        <w:rPr>
          <w:rFonts w:ascii="仿宋_GB2312" w:eastAsia="仿宋_GB2312" w:cs="仿宋_GB2312"/>
          <w:sz w:val="28"/>
          <w:szCs w:val="28"/>
        </w:rPr>
      </w:pPr>
      <w:bookmarkStart w:id="1" w:name="OLE_LINK1"/>
      <w:bookmarkStart w:id="2" w:name="OLE_LINK2"/>
      <w:r>
        <w:rPr>
          <w:rFonts w:hint="eastAsia" w:ascii="仿宋_GB2312" w:eastAsia="仿宋_GB2312" w:cs="仿宋_GB2312"/>
          <w:sz w:val="28"/>
          <w:szCs w:val="28"/>
        </w:rPr>
        <w:t>我单位不在机关运行经费统计范围之内。</w:t>
      </w:r>
      <w:bookmarkEnd w:id="1"/>
      <w:bookmarkEnd w:id="2"/>
    </w:p>
    <w:p w14:paraId="3E7F895B">
      <w:pPr>
        <w:ind w:left="540"/>
        <w:rPr>
          <w:rFonts w:ascii="黑体" w:eastAsia="黑体"/>
          <w:sz w:val="28"/>
          <w:szCs w:val="28"/>
        </w:rPr>
      </w:pPr>
      <w:r>
        <w:rPr>
          <w:rFonts w:hint="eastAsia" w:ascii="黑体" w:eastAsia="黑体"/>
          <w:sz w:val="28"/>
          <w:szCs w:val="28"/>
        </w:rPr>
        <w:t>三、政府采购支出情况</w:t>
      </w:r>
    </w:p>
    <w:p w14:paraId="5E15553D">
      <w:pPr>
        <w:ind w:firstLine="537" w:firstLineChars="192"/>
        <w:rPr>
          <w:rFonts w:ascii="仿宋_GB2312" w:eastAsia="仿宋_GB2312"/>
          <w:sz w:val="28"/>
          <w:szCs w:val="28"/>
        </w:rPr>
      </w:pPr>
      <w:r>
        <w:rPr>
          <w:rFonts w:hint="eastAsia" w:ascii="仿宋_GB2312" w:eastAsia="仿宋_GB2312"/>
          <w:sz w:val="28"/>
          <w:szCs w:val="28"/>
        </w:rPr>
        <w:t>2024年度政府采购支出总额387.03万元，其中：政府采购货物支出237.77万元，政府采购工程支出</w:t>
      </w:r>
      <w:r>
        <w:rPr>
          <w:rFonts w:ascii="仿宋_GB2312" w:eastAsia="仿宋_GB2312"/>
          <w:sz w:val="28"/>
          <w:szCs w:val="28"/>
        </w:rPr>
        <w:t>0</w:t>
      </w:r>
      <w:r>
        <w:rPr>
          <w:rFonts w:hint="eastAsia" w:ascii="仿宋_GB2312" w:eastAsia="仿宋_GB2312"/>
          <w:sz w:val="28"/>
          <w:szCs w:val="28"/>
        </w:rPr>
        <w:t>万元，政府采购服务支出149.26万元。授予中小企业合同金额344.85万元，占政府采购支出总额的89.10%，其中：授予小微企业合同金额303.28万元，占政府采购支出总额的78.36%。</w:t>
      </w:r>
    </w:p>
    <w:p w14:paraId="55E5ACEE">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3C1349F8">
      <w:pPr>
        <w:ind w:firstLine="560" w:firstLineChars="200"/>
        <w:rPr>
          <w:rFonts w:ascii="仿宋_GB2312" w:eastAsia="仿宋_GB2312"/>
          <w:sz w:val="32"/>
          <w:szCs w:val="32"/>
        </w:rPr>
      </w:pPr>
      <w:r>
        <w:rPr>
          <w:rFonts w:hint="eastAsia" w:ascii="仿宋_GB2312" w:eastAsia="仿宋_GB2312"/>
          <w:sz w:val="28"/>
          <w:szCs w:val="28"/>
        </w:rPr>
        <w:t>截至12月31日，北京市什刹海体育运动学校共有车辆9台；单位价值100万元（含）以上的设备6台（套）。</w:t>
      </w:r>
    </w:p>
    <w:p w14:paraId="226E4D3C">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1760B3CA">
      <w:pPr>
        <w:ind w:firstLine="537" w:firstLineChars="192"/>
        <w:rPr>
          <w:rFonts w:ascii="仿宋_GB2312" w:eastAsia="仿宋_GB2312"/>
          <w:sz w:val="28"/>
          <w:szCs w:val="28"/>
        </w:rPr>
      </w:pPr>
      <w:r>
        <w:rPr>
          <w:rFonts w:hint="eastAsia" w:ascii="仿宋_GB2312" w:eastAsia="仿宋_GB2312"/>
          <w:sz w:val="28"/>
          <w:szCs w:val="28"/>
        </w:rPr>
        <w:t>本单位无此项经费。</w:t>
      </w:r>
    </w:p>
    <w:p w14:paraId="6B391B3D">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097DA1B4">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4978325B">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5C689D84">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2231780B">
      <w:pPr>
        <w:widowControl/>
        <w:ind w:firstLine="560" w:firstLineChars="200"/>
        <w:jc w:val="left"/>
        <w:rPr>
          <w:rFonts w:ascii="仿宋_GB2312" w:hAnsi="宋体" w:eastAsia="仿宋_GB2312"/>
          <w:sz w:val="28"/>
          <w:szCs w:val="28"/>
        </w:rPr>
      </w:pPr>
      <w:r>
        <w:rPr>
          <w:rFonts w:hint="eastAsia" w:ascii="仿宋_GB2312" w:hAnsi="宋体" w:eastAsia="仿宋_GB2312"/>
          <w:sz w:val="28"/>
          <w:szCs w:val="28"/>
        </w:rPr>
        <w:t>4.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14:paraId="5AE64A8A">
      <w:pPr>
        <w:widowControl/>
        <w:ind w:firstLine="560" w:firstLineChars="200"/>
        <w:jc w:val="left"/>
        <w:rPr>
          <w:rFonts w:ascii="仿宋_GB2312" w:hAnsi="宋体" w:eastAsia="仿宋_GB2312"/>
          <w:sz w:val="28"/>
          <w:szCs w:val="28"/>
        </w:rPr>
      </w:pPr>
      <w:r>
        <w:rPr>
          <w:rFonts w:hint="eastAsia" w:ascii="仿宋_GB2312" w:hAnsi="宋体" w:eastAsia="仿宋_GB2312"/>
          <w:sz w:val="28"/>
          <w:szCs w:val="28"/>
        </w:rPr>
        <w:t>5.政府采购：指各级国家机关、事业单位和团体组织，使用财政性资金采购依法制定的集中目录以内的或者采购限额标准以上的货物、工程和服务的行为，是规范财政支出管理和强化预算约束的有效措施。 　　</w:t>
      </w:r>
    </w:p>
    <w:p w14:paraId="0CD2CFA8">
      <w:pPr>
        <w:widowControl/>
        <w:ind w:firstLine="560" w:firstLineChars="200"/>
        <w:jc w:val="left"/>
      </w:pPr>
      <w:r>
        <w:rPr>
          <w:rFonts w:hint="eastAsia" w:ascii="仿宋_GB2312" w:hAnsi="宋体" w:eastAsia="仿宋_GB2312"/>
          <w:sz w:val="28"/>
          <w:szCs w:val="28"/>
        </w:rPr>
        <w:t xml:space="preserve">6.政府购买服务：是指各级国家机关将属于自身职责范围且适合通过市场化方式提供的服务事项，按照政府采购方式和程序，交由符合条件的服务供应商承担，并根据服务数量和质量等因素向其支付费用的行为。 </w:t>
      </w:r>
    </w:p>
    <w:p w14:paraId="695163F3">
      <w:pPr>
        <w:rPr>
          <w:rFonts w:ascii="仿宋_GB2312" w:eastAsia="仿宋_GB2312"/>
          <w:sz w:val="28"/>
          <w:szCs w:val="28"/>
        </w:rPr>
      </w:pPr>
      <w:r>
        <w:rPr>
          <w:rFonts w:hint="eastAsia" w:ascii="仿宋_GB2312" w:eastAsia="仿宋_GB2312"/>
          <w:sz w:val="28"/>
          <w:szCs w:val="28"/>
        </w:rPr>
        <w:t>　　7.教育支出（类）职业教育（款）中等职业教育（项）：反映各部门（不含人力资源社会保障部门）举办的中等职业教育支出。政府各部门对社会组织等举办的中等职业学校的资助，如捐赠、补贴等，也在本科目中反映。</w:t>
      </w:r>
    </w:p>
    <w:p w14:paraId="56DA2A05">
      <w:pPr>
        <w:ind w:firstLine="560" w:firstLineChars="200"/>
        <w:rPr>
          <w:rFonts w:ascii="仿宋_GB2312" w:eastAsia="仿宋_GB2312"/>
          <w:sz w:val="28"/>
          <w:szCs w:val="28"/>
        </w:rPr>
      </w:pPr>
      <w:r>
        <w:rPr>
          <w:rFonts w:hint="eastAsia" w:ascii="仿宋_GB2312" w:eastAsia="仿宋_GB2312"/>
          <w:sz w:val="28"/>
          <w:szCs w:val="28"/>
        </w:rPr>
        <w:t>8.文化旅游体育与传媒支出（类）体育（款）运动项目管理（项）：反映各项目运动管理中心和运动学校等单位的日常管理支出。</w:t>
      </w:r>
    </w:p>
    <w:p w14:paraId="37E254B3">
      <w:pPr>
        <w:ind w:firstLine="560" w:firstLineChars="200"/>
        <w:rPr>
          <w:rFonts w:ascii="仿宋_GB2312" w:eastAsia="仿宋_GB2312"/>
          <w:sz w:val="28"/>
          <w:szCs w:val="28"/>
        </w:rPr>
      </w:pPr>
      <w:r>
        <w:rPr>
          <w:rFonts w:hint="eastAsia" w:ascii="仿宋_GB2312" w:eastAsia="仿宋_GB2312"/>
          <w:sz w:val="28"/>
          <w:szCs w:val="28"/>
        </w:rPr>
        <w:t>9.文化旅游体育与传媒支出（类）体育（款）体育训练（项）：反映各级体育运动队训练补助及器材购置等方面的支出。</w:t>
      </w:r>
    </w:p>
    <w:p w14:paraId="40F81231">
      <w:pPr>
        <w:ind w:firstLine="560" w:firstLineChars="200"/>
        <w:rPr>
          <w:rFonts w:ascii="黑体" w:eastAsia="黑体"/>
          <w:sz w:val="32"/>
          <w:szCs w:val="32"/>
        </w:rPr>
      </w:pPr>
      <w:r>
        <w:rPr>
          <w:rFonts w:hint="eastAsia" w:ascii="仿宋_GB2312" w:eastAsia="仿宋_GB2312"/>
          <w:sz w:val="28"/>
          <w:szCs w:val="28"/>
        </w:rPr>
        <w:t>10.其他支出（类）彩票公益金安排的支出（款）用于体育事业的彩票公益金支出（项）：反映用于体育事业的彩票公益金支出。</w:t>
      </w:r>
    </w:p>
    <w:p w14:paraId="178B5CBE">
      <w:pPr>
        <w:ind w:firstLine="640" w:firstLineChars="200"/>
        <w:jc w:val="center"/>
        <w:rPr>
          <w:rFonts w:ascii="黑体" w:eastAsia="黑体"/>
          <w:sz w:val="32"/>
          <w:szCs w:val="32"/>
        </w:rPr>
      </w:pPr>
    </w:p>
    <w:p w14:paraId="0F016CB3">
      <w:pPr>
        <w:pStyle w:val="2"/>
        <w:rPr>
          <w:rFonts w:ascii="黑体"/>
          <w:sz w:val="32"/>
        </w:rPr>
      </w:pPr>
    </w:p>
    <w:p w14:paraId="5DE2858C">
      <w:pPr>
        <w:rPr>
          <w:rFonts w:ascii="黑体" w:eastAsia="黑体"/>
          <w:sz w:val="32"/>
          <w:szCs w:val="32"/>
        </w:rPr>
      </w:pPr>
    </w:p>
    <w:p w14:paraId="2E520393">
      <w:pPr>
        <w:pStyle w:val="2"/>
      </w:pPr>
    </w:p>
    <w:p w14:paraId="7876A826">
      <w:pPr>
        <w:ind w:firstLine="640" w:firstLineChars="200"/>
        <w:jc w:val="center"/>
        <w:rPr>
          <w:rFonts w:ascii="黑体" w:eastAsia="黑体"/>
          <w:sz w:val="32"/>
          <w:szCs w:val="32"/>
        </w:rPr>
      </w:pPr>
      <w:r>
        <w:rPr>
          <w:rFonts w:hint="eastAsia" w:ascii="黑体" w:eastAsia="黑体"/>
          <w:sz w:val="32"/>
          <w:szCs w:val="32"/>
        </w:rPr>
        <w:t>第四部分  2024年度单位绩效评价情况</w:t>
      </w:r>
    </w:p>
    <w:p w14:paraId="45E0C790">
      <w:pPr>
        <w:ind w:firstLine="560" w:firstLineChars="200"/>
        <w:rPr>
          <w:rFonts w:ascii="黑体" w:eastAsia="黑体"/>
          <w:sz w:val="28"/>
          <w:szCs w:val="28"/>
          <w:highlight w:val="yellow"/>
        </w:rPr>
      </w:pPr>
    </w:p>
    <w:p w14:paraId="6A602A39">
      <w:p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p>
    <w:p w14:paraId="24DB006D">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_GB2312">
    <w:altName w:val="汉仪仿宋KW"/>
    <w:panose1 w:val="02010609030101010101"/>
    <w:charset w:val="86"/>
    <w:family w:val="auto"/>
    <w:pitch w:val="default"/>
    <w:sig w:usb0="00000000" w:usb1="00000000" w:usb2="00000000" w:usb3="00000000" w:csb0="00040000" w:csb1="00000000"/>
  </w:font>
  <w:font w:name="汉仪仿宋KW">
    <w:panose1 w:val="00020600040101010101"/>
    <w:charset w:val="86"/>
    <w:family w:val="auto"/>
    <w:pitch w:val="default"/>
    <w:sig w:usb0="A00002BF" w:usb1="18EF7CFA" w:usb2="00000016"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00000" w:csb1="00000000"/>
  </w:font>
  <w:font w:name="仿宋">
    <w:altName w:val="汉仪仿宋KW"/>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105B7">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14:paraId="3605E56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2E70B">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6</w:t>
    </w:r>
    <w:r>
      <w:fldChar w:fldCharType="end"/>
    </w:r>
  </w:p>
  <w:p w14:paraId="4AA416AA">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E61F8">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14:paraId="13C3305F">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381D"/>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2DCC"/>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97176"/>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86064"/>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1233"/>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3F1"/>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5657AD"/>
    <w:rsid w:val="02685B24"/>
    <w:rsid w:val="02F120AB"/>
    <w:rsid w:val="032B5196"/>
    <w:rsid w:val="033C49A3"/>
    <w:rsid w:val="04C3537C"/>
    <w:rsid w:val="07331C8C"/>
    <w:rsid w:val="079004AC"/>
    <w:rsid w:val="07EA3F67"/>
    <w:rsid w:val="08A8306C"/>
    <w:rsid w:val="09A816FC"/>
    <w:rsid w:val="0A443D63"/>
    <w:rsid w:val="0B260413"/>
    <w:rsid w:val="0B5E5DFE"/>
    <w:rsid w:val="0BA148CA"/>
    <w:rsid w:val="0BD3385B"/>
    <w:rsid w:val="0C1165C4"/>
    <w:rsid w:val="0D556D8D"/>
    <w:rsid w:val="0D6D544B"/>
    <w:rsid w:val="0DD136FE"/>
    <w:rsid w:val="0DF12AD3"/>
    <w:rsid w:val="0F832FF8"/>
    <w:rsid w:val="0F8E2C57"/>
    <w:rsid w:val="1059665E"/>
    <w:rsid w:val="10AC13BA"/>
    <w:rsid w:val="11DD1A47"/>
    <w:rsid w:val="13A50945"/>
    <w:rsid w:val="14182A3B"/>
    <w:rsid w:val="14381450"/>
    <w:rsid w:val="145A6C1B"/>
    <w:rsid w:val="14AB1D45"/>
    <w:rsid w:val="14B73493"/>
    <w:rsid w:val="167A2FF9"/>
    <w:rsid w:val="17034227"/>
    <w:rsid w:val="17A50911"/>
    <w:rsid w:val="18581C69"/>
    <w:rsid w:val="1858669F"/>
    <w:rsid w:val="19006747"/>
    <w:rsid w:val="1AEC0734"/>
    <w:rsid w:val="1B0E3429"/>
    <w:rsid w:val="1BAC6712"/>
    <w:rsid w:val="1CC23D13"/>
    <w:rsid w:val="1D6052D7"/>
    <w:rsid w:val="1D686669"/>
    <w:rsid w:val="1DEF20B0"/>
    <w:rsid w:val="1E390979"/>
    <w:rsid w:val="1E6C03DB"/>
    <w:rsid w:val="1F2D2F0F"/>
    <w:rsid w:val="1F430726"/>
    <w:rsid w:val="209854B7"/>
    <w:rsid w:val="214243FA"/>
    <w:rsid w:val="21AD613C"/>
    <w:rsid w:val="22467189"/>
    <w:rsid w:val="23627096"/>
    <w:rsid w:val="237F302C"/>
    <w:rsid w:val="257A14F5"/>
    <w:rsid w:val="27196C26"/>
    <w:rsid w:val="27AF0A88"/>
    <w:rsid w:val="28A278AC"/>
    <w:rsid w:val="29EF086F"/>
    <w:rsid w:val="2A3A7029"/>
    <w:rsid w:val="2A88034A"/>
    <w:rsid w:val="2AF4778E"/>
    <w:rsid w:val="2C764DFA"/>
    <w:rsid w:val="2E2C33D3"/>
    <w:rsid w:val="2E3518B7"/>
    <w:rsid w:val="2E6C2888"/>
    <w:rsid w:val="2EAD4823"/>
    <w:rsid w:val="2EFF5D85"/>
    <w:rsid w:val="2EFFE297"/>
    <w:rsid w:val="2FAFA380"/>
    <w:rsid w:val="2FDFFBDF"/>
    <w:rsid w:val="301437CA"/>
    <w:rsid w:val="3183186B"/>
    <w:rsid w:val="32EB093E"/>
    <w:rsid w:val="349D1F0A"/>
    <w:rsid w:val="34DB1D54"/>
    <w:rsid w:val="34DD0473"/>
    <w:rsid w:val="34E26D79"/>
    <w:rsid w:val="35A14603"/>
    <w:rsid w:val="370A0339"/>
    <w:rsid w:val="379E7A8F"/>
    <w:rsid w:val="38787C50"/>
    <w:rsid w:val="38D21BA0"/>
    <w:rsid w:val="39567866"/>
    <w:rsid w:val="39E210F9"/>
    <w:rsid w:val="3AFC2991"/>
    <w:rsid w:val="3BDEF733"/>
    <w:rsid w:val="3C684897"/>
    <w:rsid w:val="3DEF073B"/>
    <w:rsid w:val="3E9D4299"/>
    <w:rsid w:val="3EA659E6"/>
    <w:rsid w:val="3F751444"/>
    <w:rsid w:val="433E495C"/>
    <w:rsid w:val="43DC2A79"/>
    <w:rsid w:val="43F02818"/>
    <w:rsid w:val="440525B4"/>
    <w:rsid w:val="44BA339E"/>
    <w:rsid w:val="4528655A"/>
    <w:rsid w:val="46731A57"/>
    <w:rsid w:val="484E7AFB"/>
    <w:rsid w:val="489F2FD7"/>
    <w:rsid w:val="49997A26"/>
    <w:rsid w:val="4AC27CB3"/>
    <w:rsid w:val="4AE47C47"/>
    <w:rsid w:val="4AFB6D6E"/>
    <w:rsid w:val="4B332D76"/>
    <w:rsid w:val="4B351BCC"/>
    <w:rsid w:val="4BF72BEF"/>
    <w:rsid w:val="4D302450"/>
    <w:rsid w:val="4D8616DF"/>
    <w:rsid w:val="4FA90297"/>
    <w:rsid w:val="4FBC446F"/>
    <w:rsid w:val="4FC41A43"/>
    <w:rsid w:val="50974594"/>
    <w:rsid w:val="51DB3C59"/>
    <w:rsid w:val="550C0952"/>
    <w:rsid w:val="55762E42"/>
    <w:rsid w:val="56E27F2F"/>
    <w:rsid w:val="57A7B272"/>
    <w:rsid w:val="57DB3900"/>
    <w:rsid w:val="58470068"/>
    <w:rsid w:val="58747CAC"/>
    <w:rsid w:val="595658B3"/>
    <w:rsid w:val="5A1720F9"/>
    <w:rsid w:val="5A6802F5"/>
    <w:rsid w:val="5B1D2321"/>
    <w:rsid w:val="5B351579"/>
    <w:rsid w:val="5B9C37C2"/>
    <w:rsid w:val="5BA7C654"/>
    <w:rsid w:val="5D9E0B83"/>
    <w:rsid w:val="5E22791D"/>
    <w:rsid w:val="5FDF2B40"/>
    <w:rsid w:val="5FEA56D8"/>
    <w:rsid w:val="60A54109"/>
    <w:rsid w:val="61D01CDF"/>
    <w:rsid w:val="64C0607C"/>
    <w:rsid w:val="651D5831"/>
    <w:rsid w:val="65756C86"/>
    <w:rsid w:val="674D385B"/>
    <w:rsid w:val="676F09E1"/>
    <w:rsid w:val="687FDCAE"/>
    <w:rsid w:val="69243E7C"/>
    <w:rsid w:val="6AA87353"/>
    <w:rsid w:val="6BAFBC21"/>
    <w:rsid w:val="6DC00A3F"/>
    <w:rsid w:val="6F7547A2"/>
    <w:rsid w:val="6F9249AF"/>
    <w:rsid w:val="6F9C07A1"/>
    <w:rsid w:val="6FFCDF74"/>
    <w:rsid w:val="6FFF4DCD"/>
    <w:rsid w:val="715A77EA"/>
    <w:rsid w:val="71793A80"/>
    <w:rsid w:val="71B354E5"/>
    <w:rsid w:val="725933D1"/>
    <w:rsid w:val="72691DDC"/>
    <w:rsid w:val="72FF29DB"/>
    <w:rsid w:val="7357290B"/>
    <w:rsid w:val="73A96A0F"/>
    <w:rsid w:val="73E6DA23"/>
    <w:rsid w:val="74145D78"/>
    <w:rsid w:val="748E5B2A"/>
    <w:rsid w:val="75EBA8CE"/>
    <w:rsid w:val="75FD71E8"/>
    <w:rsid w:val="761C7D5E"/>
    <w:rsid w:val="76526723"/>
    <w:rsid w:val="7799294E"/>
    <w:rsid w:val="77B6793D"/>
    <w:rsid w:val="79794433"/>
    <w:rsid w:val="798524E4"/>
    <w:rsid w:val="79FD7C5C"/>
    <w:rsid w:val="7A7C1887"/>
    <w:rsid w:val="7A7F1C49"/>
    <w:rsid w:val="7B5B7AE6"/>
    <w:rsid w:val="7B7B6628"/>
    <w:rsid w:val="7BA7071E"/>
    <w:rsid w:val="7BB59AAA"/>
    <w:rsid w:val="7BDF55D8"/>
    <w:rsid w:val="7BDF6DA8"/>
    <w:rsid w:val="7C7EDC1A"/>
    <w:rsid w:val="7CCED98D"/>
    <w:rsid w:val="7CF303CA"/>
    <w:rsid w:val="7D08410F"/>
    <w:rsid w:val="7D99109C"/>
    <w:rsid w:val="7DB96DED"/>
    <w:rsid w:val="7DD3AD81"/>
    <w:rsid w:val="7EFF0325"/>
    <w:rsid w:val="7F7FE70F"/>
    <w:rsid w:val="7FEC64BA"/>
    <w:rsid w:val="7FFF772F"/>
    <w:rsid w:val="7FFFD5CF"/>
    <w:rsid w:val="95F35EF6"/>
    <w:rsid w:val="9BFFD860"/>
    <w:rsid w:val="AC5F73DE"/>
    <w:rsid w:val="B5DDD2C8"/>
    <w:rsid w:val="B9DFABD9"/>
    <w:rsid w:val="BBFF46CD"/>
    <w:rsid w:val="BBFFBD21"/>
    <w:rsid w:val="BC0D83FC"/>
    <w:rsid w:val="BDFEB110"/>
    <w:rsid w:val="BEF7842E"/>
    <w:rsid w:val="BF3BDEFB"/>
    <w:rsid w:val="BF9F259B"/>
    <w:rsid w:val="C75F6086"/>
    <w:rsid w:val="C7F7ED2D"/>
    <w:rsid w:val="CCDB0C50"/>
    <w:rsid w:val="CFAF854E"/>
    <w:rsid w:val="CFBFF1C7"/>
    <w:rsid w:val="D8D7928E"/>
    <w:rsid w:val="D8FE3136"/>
    <w:rsid w:val="DDDE60B7"/>
    <w:rsid w:val="DDEF60EE"/>
    <w:rsid w:val="DE3BC4E5"/>
    <w:rsid w:val="DE3E29B3"/>
    <w:rsid w:val="DE9F6A22"/>
    <w:rsid w:val="DF4FCE6A"/>
    <w:rsid w:val="E4FED278"/>
    <w:rsid w:val="EDAA365C"/>
    <w:rsid w:val="EDADFC12"/>
    <w:rsid w:val="EF99FF5A"/>
    <w:rsid w:val="EFB58185"/>
    <w:rsid w:val="EFBDFFA6"/>
    <w:rsid w:val="F2F545A4"/>
    <w:rsid w:val="F2FD229B"/>
    <w:rsid w:val="F3ADDE27"/>
    <w:rsid w:val="F7772DB0"/>
    <w:rsid w:val="F7F709E9"/>
    <w:rsid w:val="F7FF3690"/>
    <w:rsid w:val="F9BD3900"/>
    <w:rsid w:val="FC8B9876"/>
    <w:rsid w:val="FDD7670D"/>
    <w:rsid w:val="FDFF6C3E"/>
    <w:rsid w:val="FEDFF218"/>
    <w:rsid w:val="FEDFFFFF"/>
    <w:rsid w:val="FEEF7441"/>
    <w:rsid w:val="FFBFE7C4"/>
    <w:rsid w:val="FFFD9E18"/>
    <w:rsid w:val="FFFF227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annotation text"/>
    <w:basedOn w:val="1"/>
    <w:qFormat/>
    <w:uiPriority w:val="0"/>
    <w:pPr>
      <w:jc w:val="left"/>
    </w:pPr>
  </w:style>
  <w:style w:type="paragraph" w:styleId="5">
    <w:name w:val="Body Text Indent"/>
    <w:basedOn w:val="1"/>
    <w:qFormat/>
    <w:uiPriority w:val="0"/>
    <w:pPr>
      <w:ind w:firstLine="645"/>
    </w:pPr>
    <w:rPr>
      <w:rFonts w:ascii="仿宋_GB2312" w:hAnsi="Calibri" w:eastAsia="仿宋_GB2312"/>
      <w:sz w:val="32"/>
      <w:szCs w:val="32"/>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styleId="15">
    <w:name w:val="annotation reference"/>
    <w:basedOn w:val="12"/>
    <w:qFormat/>
    <w:uiPriority w:val="0"/>
    <w:rPr>
      <w:sz w:val="21"/>
      <w:szCs w:val="21"/>
    </w:rPr>
  </w:style>
  <w:style w:type="character" w:customStyle="1" w:styleId="16">
    <w:name w:val="页脚 Char"/>
    <w:link w:val="8"/>
    <w:qFormat/>
    <w:uiPriority w:val="0"/>
    <w:rPr>
      <w:rFonts w:eastAsia="宋体"/>
      <w:kern w:val="2"/>
      <w:sz w:val="18"/>
      <w:szCs w:val="18"/>
      <w:lang w:val="en-US" w:eastAsia="zh-CN" w:bidi="ar-SA"/>
    </w:rPr>
  </w:style>
  <w:style w:type="character" w:customStyle="1" w:styleId="17">
    <w:name w:val="页眉 Char"/>
    <w:link w:val="9"/>
    <w:qFormat/>
    <w:uiPriority w:val="0"/>
    <w:rPr>
      <w:rFonts w:ascii="Calibri" w:hAnsi="Calibri" w:eastAsia="宋体"/>
      <w:kern w:val="2"/>
      <w:sz w:val="18"/>
      <w:szCs w:val="18"/>
      <w:lang w:val="en-US" w:eastAsia="zh-CN" w:bidi="ar-SA"/>
    </w:rPr>
  </w:style>
  <w:style w:type="paragraph" w:customStyle="1" w:styleId="18">
    <w:name w:val="Char Char Char Char Char Char Char"/>
    <w:basedOn w:val="1"/>
    <w:qFormat/>
    <w:uiPriority w:val="0"/>
    <w:rPr>
      <w:rFonts w:ascii="Tahoma" w:hAnsi="Tahoma"/>
      <w:sz w:val="24"/>
      <w:szCs w:val="20"/>
    </w:rPr>
  </w:style>
  <w:style w:type="paragraph" w:customStyle="1" w:styleId="19">
    <w:name w:val="Char1 Char Char Char"/>
    <w:basedOn w:val="1"/>
    <w:qFormat/>
    <w:uiPriority w:val="0"/>
    <w:pPr>
      <w:widowControl/>
      <w:spacing w:after="160" w:line="240" w:lineRule="exact"/>
      <w:jc w:val="left"/>
    </w:pPr>
    <w:rPr>
      <w:szCs w:val="20"/>
    </w:rPr>
  </w:style>
  <w:style w:type="paragraph" w:customStyle="1" w:styleId="20">
    <w:name w:val="Char"/>
    <w:basedOn w:val="1"/>
    <w:qFormat/>
    <w:uiPriority w:val="0"/>
    <w:rPr>
      <w:rFonts w:ascii="Tahoma" w:hAnsi="Tahoma"/>
      <w:sz w:val="24"/>
      <w:szCs w:val="20"/>
    </w:rPr>
  </w:style>
  <w:style w:type="paragraph" w:customStyle="1" w:styleId="21">
    <w:name w:val="Char Char3 Char Char"/>
    <w:basedOn w:val="1"/>
    <w:qFormat/>
    <w:uiPriority w:val="0"/>
    <w:rPr>
      <w:szCs w:val="21"/>
    </w:rPr>
  </w:style>
  <w:style w:type="character" w:customStyle="1" w:styleId="22">
    <w:name w:val="15"/>
    <w:basedOn w:val="1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2962</Words>
  <Characters>3428</Characters>
  <Lines>28</Lines>
  <Paragraphs>8</Paragraphs>
  <TotalTime>14</TotalTime>
  <ScaleCrop>false</ScaleCrop>
  <LinksUpToDate>false</LinksUpToDate>
  <CharactersWithSpaces>3445</CharactersWithSpaces>
  <Application>WPS Office WWO_wpscloud_20241127135947-7b6df83df5</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2017-07-17T07:16:00Z</dcterms:created>
  <dc:creator>常程</dc:creator>
  <cp:lastModifiedBy>微信用户</cp:lastModifiedBy>
  <cp:lastPrinted>2025-09-05T03:32:00Z</cp:lastPrinted>
  <dcterms:modified xsi:type="dcterms:W3CDTF">2025-09-05T09:28:41Z</dcterms:modified>
  <dc:title>北京市财政局关于做好向市人大常委会报送2015年度市级部门决算（草案）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1DD5D2A7E8EF3F15C93CBA68F189CBBF_43</vt:lpwstr>
  </property>
  <property fmtid="{D5CDD505-2E9C-101B-9397-08002B2CF9AE}" pid="4" name="KSOTemplateDocerSaveRecord">
    <vt:lpwstr>eyJoZGlkIjoiMTI4MTdhMzk0ZTRiZjZmNjNjOTMxMjhhZjBiNzhlOTIiLCJ1c2VySWQiOiIxMDY0MTEzNzQzIn0=</vt:lpwstr>
  </property>
</Properties>
</file>