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5E742">
      <w:pPr>
        <w:jc w:val="center"/>
        <w:rPr>
          <w:rFonts w:ascii="仿宋_GB2312" w:eastAsia="仿宋_GB2312"/>
          <w:b/>
          <w:sz w:val="32"/>
          <w:szCs w:val="32"/>
        </w:rPr>
      </w:pPr>
    </w:p>
    <w:p w14:paraId="0086AE1C">
      <w:pPr>
        <w:jc w:val="center"/>
        <w:rPr>
          <w:rFonts w:ascii="黑体" w:eastAsia="黑体"/>
          <w:sz w:val="72"/>
          <w:szCs w:val="72"/>
        </w:rPr>
      </w:pPr>
    </w:p>
    <w:p w14:paraId="5AD1F4BF">
      <w:pPr>
        <w:jc w:val="center"/>
        <w:rPr>
          <w:rFonts w:ascii="黑体" w:eastAsia="黑体"/>
          <w:sz w:val="72"/>
          <w:szCs w:val="72"/>
        </w:rPr>
      </w:pPr>
    </w:p>
    <w:p w14:paraId="09BC4945">
      <w:pPr>
        <w:jc w:val="center"/>
        <w:rPr>
          <w:rFonts w:ascii="黑体" w:eastAsia="黑体"/>
          <w:sz w:val="72"/>
          <w:szCs w:val="72"/>
        </w:rPr>
      </w:pPr>
    </w:p>
    <w:p w14:paraId="68FEA60A">
      <w:pPr>
        <w:jc w:val="center"/>
        <w:rPr>
          <w:rFonts w:ascii="黑体" w:eastAsia="黑体"/>
          <w:sz w:val="72"/>
          <w:szCs w:val="72"/>
        </w:rPr>
      </w:pPr>
    </w:p>
    <w:p w14:paraId="1CFA1E6B">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w:t>
      </w:r>
      <w:r>
        <w:rPr>
          <w:rFonts w:hint="eastAsia" w:ascii="黑体" w:eastAsia="黑体"/>
          <w:sz w:val="72"/>
          <w:szCs w:val="72"/>
          <w:highlight w:val="none"/>
          <w:lang w:val="en-US" w:eastAsia="zh-CN"/>
        </w:rPr>
        <w:t>单位</w:t>
      </w:r>
      <w:r>
        <w:rPr>
          <w:rFonts w:hint="eastAsia" w:ascii="黑体" w:eastAsia="黑体"/>
          <w:sz w:val="72"/>
          <w:szCs w:val="72"/>
        </w:rPr>
        <w:t>决算（</w:t>
      </w:r>
      <w:r>
        <w:rPr>
          <w:rFonts w:hint="eastAsia" w:ascii="黑体" w:eastAsia="黑体"/>
          <w:sz w:val="72"/>
          <w:szCs w:val="72"/>
          <w:lang w:val="en-US" w:eastAsia="zh-CN"/>
        </w:rPr>
        <w:t>公开</w:t>
      </w:r>
      <w:r>
        <w:rPr>
          <w:rFonts w:ascii="黑体" w:eastAsia="黑体"/>
          <w:sz w:val="72"/>
          <w:szCs w:val="72"/>
        </w:rPr>
        <w:t>）</w:t>
      </w:r>
    </w:p>
    <w:p w14:paraId="23BC5C6C">
      <w:pPr>
        <w:jc w:val="center"/>
        <w:rPr>
          <w:rFonts w:ascii="黑体" w:eastAsia="黑体"/>
          <w:sz w:val="52"/>
          <w:szCs w:val="52"/>
        </w:rPr>
      </w:pPr>
    </w:p>
    <w:p w14:paraId="088041A3">
      <w:pPr>
        <w:jc w:val="center"/>
        <w:rPr>
          <w:rFonts w:ascii="黑体" w:eastAsia="黑体"/>
          <w:sz w:val="52"/>
          <w:szCs w:val="52"/>
        </w:rPr>
      </w:pPr>
    </w:p>
    <w:p w14:paraId="2874F51D">
      <w:pPr>
        <w:jc w:val="center"/>
        <w:rPr>
          <w:rFonts w:ascii="黑体" w:eastAsia="黑体"/>
          <w:sz w:val="52"/>
          <w:szCs w:val="52"/>
        </w:rPr>
      </w:pPr>
    </w:p>
    <w:p w14:paraId="6D4BB7C3">
      <w:pPr>
        <w:jc w:val="center"/>
        <w:rPr>
          <w:rFonts w:ascii="黑体" w:eastAsia="黑体"/>
          <w:sz w:val="52"/>
          <w:szCs w:val="52"/>
        </w:rPr>
      </w:pPr>
    </w:p>
    <w:p w14:paraId="2F41F3D7">
      <w:pPr>
        <w:jc w:val="center"/>
        <w:rPr>
          <w:rFonts w:ascii="黑体" w:eastAsia="黑体"/>
          <w:sz w:val="32"/>
          <w:szCs w:val="32"/>
        </w:rPr>
      </w:pPr>
    </w:p>
    <w:p w14:paraId="61EEF81C">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16C47382">
      <w:pPr>
        <w:spacing w:line="500" w:lineRule="exact"/>
        <w:ind w:firstLine="645"/>
        <w:jc w:val="center"/>
        <w:rPr>
          <w:rFonts w:hint="eastAsia" w:ascii="宋体" w:hAnsi="宋体" w:cs="宋体"/>
          <w:b/>
          <w:bCs/>
          <w:kern w:val="0"/>
          <w:sz w:val="36"/>
          <w:szCs w:val="36"/>
        </w:rPr>
      </w:pPr>
    </w:p>
    <w:p w14:paraId="12A28312">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w:t>
      </w:r>
      <w:r>
        <w:rPr>
          <w:rFonts w:hint="eastAsia" w:ascii="宋体" w:hAnsi="宋体" w:cs="宋体"/>
          <w:bCs/>
          <w:spacing w:val="40"/>
          <w:kern w:val="0"/>
          <w:sz w:val="32"/>
          <w:szCs w:val="32"/>
          <w:lang w:val="en-US" w:eastAsia="zh-CN"/>
        </w:rPr>
        <w:t>单位</w:t>
      </w:r>
      <w:r>
        <w:rPr>
          <w:rFonts w:hint="eastAsia" w:ascii="宋体" w:hAnsi="宋体" w:cs="宋体"/>
          <w:bCs/>
          <w:spacing w:val="40"/>
          <w:kern w:val="0"/>
          <w:sz w:val="32"/>
          <w:szCs w:val="32"/>
        </w:rPr>
        <w:t>决算报表</w:t>
      </w:r>
    </w:p>
    <w:p w14:paraId="20C88527">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5661B82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3404D0E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15B4842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7BA3B62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491660B5">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7D40B6E3">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764D9CA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54A4E74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31FD28AB">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1723F36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523C3AF8">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68C375F0">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spacing w:val="40"/>
          <w:sz w:val="32"/>
          <w:szCs w:val="32"/>
          <w:lang w:val="en-US" w:eastAsia="zh-CN"/>
        </w:rPr>
        <w:t>单位</w:t>
      </w:r>
      <w:r>
        <w:rPr>
          <w:rFonts w:hint="eastAsia" w:ascii="宋体" w:hAnsi="宋体"/>
          <w:spacing w:val="40"/>
          <w:sz w:val="32"/>
          <w:szCs w:val="32"/>
        </w:rPr>
        <w:t>决算说明</w:t>
      </w:r>
    </w:p>
    <w:p w14:paraId="7BE6B37D">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79DC6065">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w:t>
      </w:r>
      <w:r>
        <w:rPr>
          <w:rFonts w:hint="eastAsia" w:ascii="宋体" w:hAnsi="宋体" w:cs="宋体"/>
          <w:spacing w:val="40"/>
          <w:kern w:val="0"/>
          <w:sz w:val="32"/>
          <w:szCs w:val="32"/>
          <w:lang w:val="en-US" w:eastAsia="zh-CN"/>
        </w:rPr>
        <w:t>单位</w:t>
      </w:r>
      <w:r>
        <w:rPr>
          <w:rFonts w:hint="eastAsia" w:ascii="宋体" w:hAnsi="宋体" w:cs="宋体"/>
          <w:spacing w:val="40"/>
          <w:kern w:val="0"/>
          <w:sz w:val="32"/>
          <w:szCs w:val="32"/>
        </w:rPr>
        <w:t>绩效评价情况</w:t>
      </w:r>
    </w:p>
    <w:p w14:paraId="49F72BB0">
      <w:pPr>
        <w:tabs>
          <w:tab w:val="center" w:pos="6979"/>
        </w:tabs>
        <w:spacing w:before="156" w:beforeLines="50" w:after="156" w:afterLines="50"/>
        <w:jc w:val="center"/>
        <w:rPr>
          <w:rFonts w:ascii="宋体" w:hAnsi="宋体" w:cs="宋体"/>
          <w:b/>
          <w:bCs/>
          <w:spacing w:val="40"/>
          <w:kern w:val="0"/>
          <w:sz w:val="32"/>
          <w:szCs w:val="32"/>
        </w:rPr>
      </w:pPr>
    </w:p>
    <w:p w14:paraId="348A9357">
      <w:pPr>
        <w:tabs>
          <w:tab w:val="center" w:pos="6979"/>
        </w:tabs>
        <w:spacing w:before="156" w:beforeLines="50" w:after="156" w:afterLines="50"/>
        <w:jc w:val="center"/>
        <w:rPr>
          <w:rFonts w:ascii="宋体" w:hAnsi="宋体" w:cs="宋体"/>
          <w:b/>
          <w:bCs/>
          <w:spacing w:val="40"/>
          <w:kern w:val="0"/>
          <w:sz w:val="32"/>
          <w:szCs w:val="32"/>
        </w:rPr>
      </w:pPr>
    </w:p>
    <w:p w14:paraId="6E7A8D29">
      <w:pPr>
        <w:tabs>
          <w:tab w:val="center" w:pos="6979"/>
        </w:tabs>
        <w:spacing w:before="156" w:beforeLines="50" w:after="156" w:afterLines="50"/>
        <w:jc w:val="center"/>
        <w:rPr>
          <w:rFonts w:ascii="宋体" w:hAnsi="宋体" w:cs="宋体"/>
          <w:b/>
          <w:bCs/>
          <w:spacing w:val="40"/>
          <w:kern w:val="0"/>
          <w:sz w:val="32"/>
          <w:szCs w:val="32"/>
        </w:rPr>
      </w:pPr>
    </w:p>
    <w:p w14:paraId="450A3C6A">
      <w:pPr>
        <w:tabs>
          <w:tab w:val="center" w:pos="6979"/>
        </w:tabs>
        <w:spacing w:before="156" w:beforeLines="50" w:after="156" w:afterLines="50"/>
        <w:jc w:val="center"/>
        <w:rPr>
          <w:rFonts w:ascii="宋体" w:hAnsi="宋体" w:cs="宋体"/>
          <w:b/>
          <w:bCs/>
          <w:spacing w:val="40"/>
          <w:kern w:val="0"/>
          <w:sz w:val="32"/>
          <w:szCs w:val="32"/>
        </w:rPr>
      </w:pPr>
    </w:p>
    <w:p w14:paraId="020529F8">
      <w:pPr>
        <w:tabs>
          <w:tab w:val="center" w:pos="6979"/>
        </w:tabs>
        <w:spacing w:before="156" w:beforeLines="50" w:after="156" w:afterLines="50"/>
        <w:jc w:val="center"/>
        <w:rPr>
          <w:rFonts w:ascii="宋体" w:hAnsi="宋体" w:cs="宋体"/>
          <w:b/>
          <w:bCs/>
          <w:spacing w:val="40"/>
          <w:kern w:val="0"/>
          <w:sz w:val="32"/>
          <w:szCs w:val="32"/>
        </w:rPr>
      </w:pPr>
    </w:p>
    <w:p w14:paraId="6D11F58D">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w:t>
      </w:r>
      <w:r>
        <w:rPr>
          <w:rFonts w:hint="eastAsia" w:ascii="宋体" w:hAnsi="宋体" w:cs="宋体"/>
          <w:b/>
          <w:bCs/>
          <w:spacing w:val="40"/>
          <w:kern w:val="0"/>
          <w:sz w:val="44"/>
          <w:szCs w:val="44"/>
          <w:lang w:val="en-US" w:eastAsia="zh-CN"/>
        </w:rPr>
        <w:t>单位</w:t>
      </w:r>
      <w:r>
        <w:rPr>
          <w:rFonts w:hint="eastAsia" w:ascii="宋体" w:hAnsi="宋体" w:cs="宋体"/>
          <w:b/>
          <w:bCs/>
          <w:spacing w:val="40"/>
          <w:kern w:val="0"/>
          <w:sz w:val="44"/>
          <w:szCs w:val="44"/>
        </w:rPr>
        <w:t>决算报表</w:t>
      </w:r>
    </w:p>
    <w:p w14:paraId="44334061">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52659902">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b/>
          <w:spacing w:val="40"/>
          <w:sz w:val="32"/>
          <w:szCs w:val="32"/>
          <w:lang w:val="en-US" w:eastAsia="zh-CN"/>
        </w:rPr>
        <w:t>单位</w:t>
      </w:r>
      <w:r>
        <w:rPr>
          <w:rFonts w:hint="eastAsia" w:ascii="宋体" w:hAnsi="宋体"/>
          <w:b/>
          <w:spacing w:val="40"/>
          <w:sz w:val="32"/>
          <w:szCs w:val="32"/>
        </w:rPr>
        <w:t>决算说明</w:t>
      </w:r>
    </w:p>
    <w:p w14:paraId="0A9E31D9">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4BCCA6FB">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1.单位机构设置</w:t>
      </w:r>
    </w:p>
    <w:p w14:paraId="052ED2D0">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根据</w:t>
      </w:r>
      <w:r>
        <w:rPr>
          <w:rFonts w:hint="eastAsia" w:ascii="仿宋_GB2312" w:eastAsia="仿宋_GB2312"/>
          <w:sz w:val="28"/>
          <w:szCs w:val="28"/>
          <w:lang w:eastAsia="zh-CN"/>
        </w:rPr>
        <w:t>《</w:t>
      </w:r>
      <w:r>
        <w:rPr>
          <w:rFonts w:hint="eastAsia" w:ascii="仿宋_GB2312" w:eastAsia="仿宋_GB2312"/>
          <w:sz w:val="28"/>
          <w:szCs w:val="28"/>
          <w:lang w:val="en-US" w:eastAsia="zh-CN"/>
        </w:rPr>
        <w:t>中</w:t>
      </w:r>
      <w:r>
        <w:rPr>
          <w:rFonts w:hint="eastAsia" w:ascii="仿宋_GB2312" w:eastAsia="仿宋_GB2312"/>
          <w:sz w:val="28"/>
          <w:szCs w:val="28"/>
        </w:rPr>
        <w:t>共北京市委机构编制委员会关于市体育局所属事业单位改革有关事项的批复》文件核定，北京棋院为北京市体育局</w:t>
      </w:r>
      <w:r>
        <w:rPr>
          <w:rFonts w:hint="eastAsia" w:ascii="仿宋_GB2312" w:eastAsia="仿宋_GB2312"/>
          <w:sz w:val="28"/>
          <w:szCs w:val="28"/>
          <w:lang w:val="en-US" w:eastAsia="zh-CN"/>
        </w:rPr>
        <w:t>所</w:t>
      </w:r>
      <w:r>
        <w:rPr>
          <w:rFonts w:hint="eastAsia" w:ascii="仿宋_GB2312" w:eastAsia="仿宋_GB2312"/>
          <w:sz w:val="28"/>
          <w:szCs w:val="28"/>
        </w:rPr>
        <w:t>属正处级公益一类事业单位。北京棋院内设二室四科四部三队，包括办公室、党务办公室、竞赛训练科、行政科、人事科、财务科、综合业务部、围棋部、国际象棋部、象棋部、围棋队、国际象棋队、象棋队。</w:t>
      </w:r>
    </w:p>
    <w:p w14:paraId="705A310E">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2.单位职责</w:t>
      </w:r>
    </w:p>
    <w:p w14:paraId="4F18C877">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（1）承担棋牌运动项目市级运动队建设、管理、比赛以及后备人才培养等工作。</w:t>
      </w:r>
    </w:p>
    <w:p w14:paraId="04CF6A1B">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（2）承担棋类项目教练员、裁判员队伍建设相关工作。</w:t>
      </w:r>
    </w:p>
    <w:p w14:paraId="24263E5D">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（3）组织在院运动员完成文化教育。</w:t>
      </w:r>
    </w:p>
    <w:p w14:paraId="6A33443C">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（4）承担训练所需后勤保障和相关服务。</w:t>
      </w:r>
    </w:p>
    <w:p w14:paraId="4BCD9274">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（5）承担棋牌运动项目业务管理相关工作。</w:t>
      </w:r>
    </w:p>
    <w:p w14:paraId="2878521F">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（6）承担群众性棋类运动竞赛组织、管理等事务性工作。</w:t>
      </w:r>
    </w:p>
    <w:p w14:paraId="2AF32AE8">
      <w:pPr>
        <w:tabs>
          <w:tab w:val="center" w:pos="6979"/>
        </w:tabs>
        <w:spacing w:line="580" w:lineRule="exact"/>
        <w:ind w:firstLine="420" w:firstLineChars="150"/>
        <w:rPr>
          <w:rFonts w:ascii="仿宋_GB2312" w:eastAsia="仿宋_GB2312"/>
          <w:sz w:val="28"/>
          <w:szCs w:val="28"/>
        </w:rPr>
      </w:pPr>
      <w:r>
        <w:rPr>
          <w:rFonts w:hint="eastAsia" w:ascii="仿宋_GB2312" w:eastAsia="仿宋_GB2312"/>
          <w:sz w:val="28"/>
          <w:szCs w:val="28"/>
        </w:rPr>
        <w:t>（7）指导各区群众性棋牌组织建设、后备人才培养等工作。</w:t>
      </w:r>
    </w:p>
    <w:p w14:paraId="608658D9">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DB42AE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2950.53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93.4万元，增长3.27%。</w:t>
      </w:r>
    </w:p>
    <w:p w14:paraId="18637AB2">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2043AB18">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年度本年收入合计</w:t>
      </w:r>
      <w:r>
        <w:rPr>
          <w:rFonts w:ascii="仿宋_GB2312" w:eastAsia="仿宋_GB2312"/>
          <w:sz w:val="28"/>
          <w:szCs w:val="28"/>
        </w:rPr>
        <w:t>2950.53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217.19万元，增长7.95%。</w:t>
      </w:r>
    </w:p>
    <w:p w14:paraId="27044294">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2950.53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2751.05</w:t>
      </w:r>
      <w:r>
        <w:rPr>
          <w:rFonts w:hint="eastAsia" w:ascii="仿宋_GB2312" w:eastAsia="仿宋_GB2312"/>
          <w:sz w:val="28"/>
          <w:szCs w:val="28"/>
        </w:rPr>
        <w:t>万元，占收入合计的</w:t>
      </w:r>
      <w:r>
        <w:rPr>
          <w:rFonts w:hint="eastAsia" w:ascii="仿宋_GB2312" w:eastAsia="仿宋_GB2312"/>
          <w:sz w:val="28"/>
          <w:szCs w:val="28"/>
          <w:lang w:eastAsia="zh-CN"/>
        </w:rPr>
        <w:t>93.24</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199.48</w:t>
      </w:r>
      <w:r>
        <w:rPr>
          <w:rFonts w:hint="eastAsia" w:ascii="仿宋_GB2312" w:eastAsia="仿宋_GB2312"/>
          <w:sz w:val="28"/>
          <w:szCs w:val="28"/>
        </w:rPr>
        <w:t>万元，占收入合计的</w:t>
      </w:r>
      <w:r>
        <w:rPr>
          <w:rFonts w:hint="eastAsia" w:ascii="仿宋_GB2312" w:eastAsia="仿宋_GB2312"/>
          <w:sz w:val="28"/>
          <w:szCs w:val="28"/>
          <w:lang w:eastAsia="zh-CN"/>
        </w:rPr>
        <w:t>6.76</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132CC2E">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366A7DD6">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EC12A8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7CD239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27E6269F">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65D6D76">
      <w:pPr>
        <w:pStyle w:val="2"/>
        <w:ind w:firstLine="0"/>
        <w:jc w:val="center"/>
      </w:pPr>
      <w:r>
        <w:rPr>
          <w:rFonts w:hint="eastAsia" w:ascii="仿宋_GB2312" w:eastAsia="仿宋_GB2312"/>
          <w:color w:val="000000"/>
          <w:sz w:val="32"/>
          <w:szCs w:val="32"/>
          <w:highlight w:val="none"/>
          <w:lang w:val="en-US" w:eastAsia="zh-CN"/>
        </w:rPr>
        <w:t>图1：收入决算</w:t>
      </w:r>
    </w:p>
    <w:p w14:paraId="3C0E2A5F">
      <w:pPr>
        <w:pStyle w:val="3"/>
        <w:ind w:firstLine="420"/>
        <w:jc w:val="center"/>
      </w:pPr>
      <w:r>
        <w:drawing>
          <wp:inline distT="0" distB="0" distL="0" distR="0">
            <wp:extent cx="4036695" cy="2328545"/>
            <wp:effectExtent l="4445" t="4445" r="16510" b="10160"/>
            <wp:docPr id="2" name="图表 2"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79EBC6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3E1FA6F9">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2946.45</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99.26万元，增长3.49%，其中：基本支出</w:t>
      </w:r>
      <w:r>
        <w:rPr>
          <w:rFonts w:ascii="仿宋_GB2312" w:eastAsia="仿宋_GB2312"/>
          <w:sz w:val="28"/>
          <w:szCs w:val="28"/>
        </w:rPr>
        <w:t>2310.13</w:t>
      </w:r>
      <w:r>
        <w:rPr>
          <w:rFonts w:hint="eastAsia" w:ascii="仿宋_GB2312" w:eastAsia="仿宋_GB2312"/>
          <w:sz w:val="28"/>
          <w:szCs w:val="28"/>
        </w:rPr>
        <w:t>万元，占支出合计的</w:t>
      </w:r>
      <w:r>
        <w:rPr>
          <w:rFonts w:hint="eastAsia" w:ascii="仿宋_GB2312" w:eastAsia="仿宋_GB2312"/>
          <w:sz w:val="28"/>
          <w:szCs w:val="28"/>
          <w:lang w:eastAsia="zh-CN"/>
        </w:rPr>
        <w:t>78.4</w:t>
      </w:r>
      <w:r>
        <w:rPr>
          <w:rFonts w:hint="eastAsia" w:ascii="仿宋_GB2312" w:eastAsia="仿宋_GB2312"/>
          <w:sz w:val="28"/>
          <w:szCs w:val="28"/>
        </w:rPr>
        <w:t>%；项目支出</w:t>
      </w:r>
      <w:r>
        <w:rPr>
          <w:rFonts w:ascii="仿宋_GB2312" w:eastAsia="仿宋_GB2312"/>
          <w:sz w:val="28"/>
          <w:szCs w:val="28"/>
        </w:rPr>
        <w:t>636.32</w:t>
      </w:r>
      <w:r>
        <w:rPr>
          <w:rFonts w:hint="eastAsia" w:ascii="仿宋_GB2312" w:eastAsia="仿宋_GB2312"/>
          <w:sz w:val="28"/>
          <w:szCs w:val="28"/>
        </w:rPr>
        <w:t>万元，占支出合计的</w:t>
      </w:r>
      <w:r>
        <w:rPr>
          <w:rFonts w:hint="eastAsia" w:ascii="仿宋_GB2312" w:eastAsia="仿宋_GB2312"/>
          <w:sz w:val="28"/>
          <w:szCs w:val="28"/>
          <w:lang w:eastAsia="zh-CN"/>
        </w:rPr>
        <w:t>21.6</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7200F409">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05CF9AD5">
      <w:pPr>
        <w:jc w:val="center"/>
        <w:rPr>
          <w:rFonts w:ascii="黑体" w:eastAsia="黑体"/>
          <w:b/>
          <w:sz w:val="28"/>
          <w:szCs w:val="28"/>
        </w:rPr>
      </w:pPr>
      <w:r>
        <w:drawing>
          <wp:inline distT="0" distB="0" distL="114300" distR="114300">
            <wp:extent cx="4572000" cy="2743200"/>
            <wp:effectExtent l="4445" t="4445" r="14605" b="14605"/>
            <wp:docPr id="3"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9F419B1">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66C79A98">
      <w:pPr>
        <w:tabs>
          <w:tab w:val="center" w:pos="6979"/>
        </w:tabs>
        <w:spacing w:line="580" w:lineRule="exact"/>
        <w:ind w:firstLine="570"/>
        <w:rPr>
          <w:rFonts w:ascii="仿宋_GB2312" w:eastAsia="仿宋_GB2312"/>
          <w:sz w:val="28"/>
          <w:szCs w:val="28"/>
          <w:highlight w:val="none"/>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2950.53</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95.94万元，增长3.36%。主要原因：</w:t>
      </w:r>
      <w:r>
        <w:rPr>
          <w:rFonts w:hint="eastAsia" w:ascii="仿宋_GB2312" w:eastAsia="仿宋_GB2312"/>
          <w:sz w:val="28"/>
          <w:szCs w:val="28"/>
          <w:highlight w:val="none"/>
          <w:lang w:val="en-US" w:eastAsia="zh-CN"/>
        </w:rPr>
        <w:t>本年增加安全监控系统改造和消防设备设施维修项目</w:t>
      </w:r>
      <w:r>
        <w:rPr>
          <w:rFonts w:hint="eastAsia" w:ascii="仿宋_GB2312" w:eastAsia="仿宋_GB2312"/>
          <w:sz w:val="28"/>
          <w:szCs w:val="28"/>
          <w:highlight w:val="none"/>
        </w:rPr>
        <w:t>。</w:t>
      </w:r>
    </w:p>
    <w:p w14:paraId="6244A156">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2A1637A6">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70990B30">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年度一般公共预算财政拨款支出</w:t>
      </w:r>
      <w:r>
        <w:rPr>
          <w:rFonts w:ascii="仿宋_GB2312" w:eastAsia="仿宋_GB2312"/>
          <w:sz w:val="28"/>
          <w:szCs w:val="28"/>
        </w:rPr>
        <w:t>2747.01</w:t>
      </w:r>
      <w:r>
        <w:rPr>
          <w:rFonts w:hint="eastAsia" w:ascii="仿宋_GB2312" w:eastAsia="仿宋_GB2312"/>
          <w:sz w:val="28"/>
          <w:szCs w:val="28"/>
        </w:rPr>
        <w:t>万元，主要用于以下方面：文化旅游体育与传媒支出2745.14万元，占本年财政拨款支出93.17%；社会保障和就业支出1.86万元，占本年财政拨款支出0.06%。</w:t>
      </w:r>
    </w:p>
    <w:p w14:paraId="519BE6BF">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（二）一般公共预算财政拨款支出决算具体情况</w:t>
      </w:r>
    </w:p>
    <w:p w14:paraId="2BCCB874">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1、“文化旅游体育与传媒支出”2024年度决算2745.14万元，比2024年度年初预算增加69.36万元，增长2.59%。其中：</w:t>
      </w:r>
    </w:p>
    <w:p w14:paraId="67CD0F2F">
      <w:pPr>
        <w:spacing w:line="580" w:lineRule="exact"/>
        <w:ind w:firstLine="560" w:firstLineChars="200"/>
        <w:rPr>
          <w:rFonts w:ascii="仿宋_GB2312" w:eastAsia="仿宋_GB2312"/>
          <w:sz w:val="28"/>
          <w:szCs w:val="28"/>
        </w:rPr>
      </w:pPr>
      <w:r>
        <w:rPr>
          <w:rFonts w:hint="eastAsia" w:ascii="仿宋_GB2312" w:eastAsia="仿宋_GB2312"/>
          <w:sz w:val="28"/>
          <w:szCs w:val="28"/>
        </w:rPr>
        <w:t>“体育”2024年度决算2745.14万元，比2024年度年初预算增加69.36万元，增长2.59%。主要原因：补缴运动员保险。</w:t>
      </w:r>
    </w:p>
    <w:p w14:paraId="40CC5E22">
      <w:pPr>
        <w:spacing w:line="580" w:lineRule="exact"/>
        <w:ind w:firstLine="560" w:firstLineChars="200"/>
        <w:rPr>
          <w:rFonts w:ascii="仿宋_GB2312" w:eastAsia="仿宋_GB2312"/>
          <w:sz w:val="28"/>
          <w:szCs w:val="28"/>
        </w:rPr>
      </w:pPr>
      <w:r>
        <w:rPr>
          <w:rFonts w:hint="eastAsia" w:ascii="仿宋_GB2312" w:eastAsia="仿宋_GB2312"/>
          <w:sz w:val="28"/>
          <w:szCs w:val="28"/>
        </w:rPr>
        <w:t>2、“社会保障和就业支出”2024年度决算1.86万元，比2024年度年初预算增加0万元，增长0%。其中：</w:t>
      </w:r>
    </w:p>
    <w:p w14:paraId="77A592F5">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“行政事业单位养老支出”2024年度决算1.86万元，比2024年度年初预算增加0万元，增长0%。</w:t>
      </w:r>
    </w:p>
    <w:p w14:paraId="20A5D5E8">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53C3CB09">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（一）政府性基金预算财政拨款支出决算总体情况</w:t>
      </w:r>
    </w:p>
    <w:p w14:paraId="6AA2FC35">
      <w:p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年度政府性基金预算财政拨款支出</w:t>
      </w:r>
      <w:r>
        <w:rPr>
          <w:rFonts w:ascii="仿宋_GB2312" w:eastAsia="仿宋_GB2312"/>
          <w:sz w:val="28"/>
          <w:szCs w:val="28"/>
        </w:rPr>
        <w:t>199.44</w:t>
      </w:r>
      <w:r>
        <w:rPr>
          <w:rFonts w:hint="eastAsia" w:ascii="仿宋_GB2312" w:eastAsia="仿宋_GB2312"/>
          <w:sz w:val="28"/>
          <w:szCs w:val="28"/>
        </w:rPr>
        <w:t>万元，主要用于以下方面：其他支出199.44万元，占本年财政拨款支出6.77%。</w:t>
      </w:r>
    </w:p>
    <w:p w14:paraId="429C6E33">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（二）政府性基金预算财政拨款支出决算具体情况</w:t>
      </w:r>
    </w:p>
    <w:p w14:paraId="1BA748B8">
      <w:pPr>
        <w:autoSpaceDE w:val="0"/>
        <w:autoSpaceDN w:val="0"/>
        <w:adjustRightInd w:val="0"/>
        <w:spacing w:line="580" w:lineRule="exact"/>
        <w:ind w:firstLine="560" w:firstLineChars="200"/>
        <w:jc w:val="left"/>
        <w:rPr>
          <w:rFonts w:hint="eastAsia" w:ascii="黑体" w:eastAsia="黑体"/>
          <w:b/>
          <w:sz w:val="28"/>
          <w:szCs w:val="28"/>
        </w:rPr>
      </w:pPr>
      <w:r>
        <w:rPr>
          <w:rFonts w:hint="eastAsia" w:ascii="仿宋_GB2312" w:eastAsia="仿宋_GB2312"/>
          <w:sz w:val="28"/>
          <w:szCs w:val="28"/>
        </w:rPr>
        <w:t>“其他支出”2024年度决算199.44万元，比2024年度年初预算减少4.54万元，下降2.23%。其中：“彩票公益金安排的支出”2024年度决算199.44万元，比2024年度年初预算减少4.54万元，下降2.23%。主要原因：</w:t>
      </w:r>
      <w:r>
        <w:rPr>
          <w:rFonts w:hint="eastAsia" w:ascii="仿宋_GB2312" w:eastAsia="仿宋_GB2312"/>
          <w:sz w:val="28"/>
          <w:szCs w:val="28"/>
          <w:highlight w:val="none"/>
        </w:rPr>
        <w:t>根据项目需要核减</w:t>
      </w:r>
      <w:r>
        <w:rPr>
          <w:rFonts w:hint="eastAsia" w:ascii="仿宋_GB2312" w:eastAsia="仿宋_GB2312"/>
          <w:sz w:val="28"/>
          <w:szCs w:val="28"/>
          <w:highlight w:val="none"/>
          <w:lang w:val="en-US" w:eastAsia="zh-CN"/>
        </w:rPr>
        <w:t>运动队训练比赛经费</w:t>
      </w:r>
      <w:r>
        <w:rPr>
          <w:rFonts w:hint="eastAsia" w:ascii="仿宋_GB2312" w:eastAsia="仿宋_GB2312"/>
          <w:sz w:val="28"/>
          <w:szCs w:val="28"/>
          <w:highlight w:val="none"/>
        </w:rPr>
        <w:t>。</w:t>
      </w:r>
    </w:p>
    <w:p w14:paraId="0ABB033B">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5F4FD74C">
      <w:pPr>
        <w:ind w:firstLine="537" w:firstLineChars="192"/>
        <w:rPr>
          <w:highlight w:val="none"/>
        </w:rPr>
      </w:pPr>
      <w:r>
        <w:rPr>
          <w:rFonts w:hint="eastAsia" w:ascii="仿宋_GB2312" w:eastAsia="仿宋_GB2312"/>
          <w:sz w:val="28"/>
          <w:szCs w:val="28"/>
          <w:highlight w:val="none"/>
        </w:rPr>
        <w:t>本单位无此项</w:t>
      </w:r>
      <w:r>
        <w:rPr>
          <w:rFonts w:hint="eastAsia" w:ascii="仿宋_GB2312" w:eastAsia="仿宋_GB2312"/>
          <w:sz w:val="28"/>
          <w:szCs w:val="28"/>
          <w:highlight w:val="none"/>
          <w:lang w:val="en-US" w:eastAsia="zh-CN"/>
        </w:rPr>
        <w:t>经费</w:t>
      </w:r>
      <w:r>
        <w:rPr>
          <w:rFonts w:hint="eastAsia" w:ascii="仿宋_GB2312" w:eastAsia="仿宋_GB2312"/>
          <w:sz w:val="28"/>
          <w:szCs w:val="28"/>
          <w:highlight w:val="none"/>
        </w:rPr>
        <w:t>。</w:t>
      </w:r>
    </w:p>
    <w:p w14:paraId="5C30AF6F">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5677250F">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2310.13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4ECEA06B">
      <w:pPr>
        <w:autoSpaceDE w:val="0"/>
        <w:autoSpaceDN w:val="0"/>
        <w:adjustRightInd w:val="0"/>
        <w:spacing w:line="580" w:lineRule="exact"/>
        <w:jc w:val="both"/>
        <w:rPr>
          <w:rFonts w:ascii="仿宋_GB2312" w:eastAsia="仿宋_GB2312"/>
          <w:b/>
          <w:sz w:val="32"/>
          <w:szCs w:val="32"/>
        </w:rPr>
      </w:pPr>
      <w:r>
        <w:rPr>
          <w:rFonts w:ascii="仿宋_GB2312" w:eastAsia="仿宋_GB2312"/>
          <w:b/>
          <w:sz w:val="32"/>
          <w:szCs w:val="32"/>
        </w:rPr>
        <w:tab/>
      </w:r>
    </w:p>
    <w:p w14:paraId="723E1376">
      <w:pPr>
        <w:pStyle w:val="2"/>
        <w:rPr>
          <w:rFonts w:ascii="仿宋_GB2312" w:eastAsia="仿宋_GB2312"/>
          <w:b/>
          <w:sz w:val="32"/>
          <w:szCs w:val="32"/>
        </w:rPr>
      </w:pPr>
    </w:p>
    <w:p w14:paraId="76F9A1E8">
      <w:pPr>
        <w:rPr>
          <w:rFonts w:ascii="仿宋_GB2312" w:eastAsia="仿宋_GB2312"/>
          <w:b/>
          <w:sz w:val="32"/>
          <w:szCs w:val="32"/>
        </w:rPr>
      </w:pPr>
    </w:p>
    <w:p w14:paraId="38E18D5B">
      <w:pPr>
        <w:pStyle w:val="2"/>
        <w:rPr>
          <w:rFonts w:hint="eastAsia"/>
        </w:rPr>
      </w:pPr>
    </w:p>
    <w:p w14:paraId="3D254FAB">
      <w:pPr>
        <w:tabs>
          <w:tab w:val="center" w:pos="6979"/>
        </w:tabs>
        <w:jc w:val="center"/>
        <w:rPr>
          <w:rFonts w:hint="eastAsia" w:ascii="宋体" w:hAnsi="宋体" w:cs="宋体"/>
          <w:b/>
          <w:bCs/>
          <w:spacing w:val="40"/>
          <w:kern w:val="0"/>
          <w:sz w:val="32"/>
          <w:szCs w:val="32"/>
        </w:rPr>
      </w:pPr>
    </w:p>
    <w:p w14:paraId="264A2429">
      <w:pPr>
        <w:tabs>
          <w:tab w:val="center" w:pos="6979"/>
        </w:tabs>
        <w:jc w:val="center"/>
        <w:rPr>
          <w:rFonts w:hint="eastAsia" w:ascii="宋体" w:hAnsi="宋体" w:cs="宋体"/>
          <w:b/>
          <w:bCs/>
          <w:spacing w:val="40"/>
          <w:kern w:val="0"/>
          <w:sz w:val="32"/>
          <w:szCs w:val="32"/>
        </w:rPr>
      </w:pPr>
    </w:p>
    <w:p w14:paraId="245C949C">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1BE9DB54">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391808CA">
      <w:pPr>
        <w:spacing w:line="560" w:lineRule="exact"/>
        <w:ind w:firstLine="60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1.82</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2</w:t>
      </w:r>
      <w:r>
        <w:rPr>
          <w:rFonts w:hint="eastAsia" w:ascii="仿宋_GB2312" w:eastAsia="仿宋_GB2312"/>
          <w:sz w:val="28"/>
          <w:szCs w:val="28"/>
        </w:rPr>
        <w:t>万元减少</w:t>
      </w:r>
      <w:r>
        <w:rPr>
          <w:rFonts w:ascii="仿宋_GB2312" w:eastAsia="仿宋_GB2312"/>
          <w:sz w:val="28"/>
          <w:szCs w:val="28"/>
        </w:rPr>
        <w:t>0.18</w:t>
      </w:r>
      <w:r>
        <w:rPr>
          <w:rFonts w:hint="eastAsia" w:ascii="仿宋_GB2312" w:eastAsia="仿宋_GB2312"/>
          <w:sz w:val="28"/>
          <w:szCs w:val="28"/>
        </w:rPr>
        <w:t>万元。其中：</w:t>
      </w:r>
    </w:p>
    <w:p w14:paraId="392072A8">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w:t>
      </w:r>
    </w:p>
    <w:p w14:paraId="26992699">
      <w:pPr>
        <w:spacing w:line="560" w:lineRule="exact"/>
        <w:ind w:firstLine="560" w:firstLineChars="200"/>
      </w:pPr>
      <w:r>
        <w:rPr>
          <w:rFonts w:hint="eastAsia" w:ascii="仿宋_GB2312" w:eastAsia="仿宋_GB2312"/>
          <w:sz w:val="28"/>
          <w:szCs w:val="28"/>
        </w:rPr>
        <w:t>本年度无此项支出。</w:t>
      </w:r>
    </w:p>
    <w:p w14:paraId="77E585E7">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w:t>
      </w:r>
    </w:p>
    <w:p w14:paraId="3A4C888C">
      <w:pPr>
        <w:spacing w:line="560" w:lineRule="exact"/>
        <w:ind w:firstLine="560" w:firstLineChars="200"/>
      </w:pPr>
      <w:r>
        <w:rPr>
          <w:rFonts w:hint="eastAsia" w:ascii="仿宋_GB2312" w:eastAsia="仿宋_GB2312"/>
          <w:sz w:val="28"/>
          <w:szCs w:val="28"/>
        </w:rPr>
        <w:t>本年度无此项支出。</w:t>
      </w:r>
    </w:p>
    <w:p w14:paraId="31C6CA30">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1.82</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2</w:t>
      </w:r>
      <w:r>
        <w:rPr>
          <w:rFonts w:hint="eastAsia" w:ascii="仿宋_GB2312" w:eastAsia="仿宋_GB2312"/>
          <w:sz w:val="28"/>
          <w:szCs w:val="28"/>
        </w:rPr>
        <w:t>万元减少</w:t>
      </w:r>
      <w:r>
        <w:rPr>
          <w:rFonts w:ascii="仿宋_GB2312" w:eastAsia="仿宋_GB2312"/>
          <w:sz w:val="28"/>
          <w:szCs w:val="28"/>
        </w:rPr>
        <w:t>0.18</w:t>
      </w:r>
      <w:r>
        <w:rPr>
          <w:rFonts w:hint="eastAsia" w:ascii="仿宋_GB2312" w:eastAsia="仿宋_GB2312"/>
          <w:sz w:val="28"/>
          <w:szCs w:val="28"/>
        </w:rPr>
        <w:t>万元。其中，公务用车购置费202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0</w:t>
      </w:r>
      <w:r>
        <w:rPr>
          <w:rFonts w:hint="eastAsia" w:ascii="仿宋_GB2312" w:eastAsia="仿宋_GB2312"/>
          <w:sz w:val="28"/>
          <w:szCs w:val="28"/>
        </w:rPr>
        <w:t>万元</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4</w:t>
      </w:r>
      <w:r>
        <w:rPr>
          <w:rFonts w:hint="eastAsia" w:ascii="仿宋_GB2312" w:eastAsia="仿宋_GB2312"/>
          <w:sz w:val="28"/>
          <w:szCs w:val="28"/>
          <w:highlight w:val="none"/>
        </w:rPr>
        <w:t>年度更新</w:t>
      </w:r>
      <w:r>
        <w:rPr>
          <w:rFonts w:hint="eastAsia" w:ascii="仿宋_GB2312" w:eastAsia="仿宋_GB2312"/>
          <w:sz w:val="28"/>
          <w:szCs w:val="28"/>
          <w:highlight w:val="none"/>
          <w:lang w:eastAsia="zh-CN"/>
        </w:rPr>
        <w:t>0</w:t>
      </w:r>
      <w:r>
        <w:rPr>
          <w:rFonts w:hint="eastAsia" w:ascii="仿宋_GB2312" w:eastAsia="仿宋_GB2312"/>
          <w:sz w:val="28"/>
          <w:szCs w:val="28"/>
          <w:highlight w:val="none"/>
        </w:rPr>
        <w:t>辆</w:t>
      </w:r>
      <w:r>
        <w:rPr>
          <w:rFonts w:hint="eastAsia" w:ascii="仿宋_GB2312" w:eastAsia="仿宋_GB2312"/>
          <w:sz w:val="28"/>
          <w:szCs w:val="28"/>
        </w:rPr>
        <w:t>。公务用车运行维护费202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hint="eastAsia" w:ascii="仿宋_GB2312" w:eastAsia="仿宋_GB2312"/>
          <w:sz w:val="28"/>
          <w:szCs w:val="28"/>
          <w:lang w:val="en-US" w:eastAsia="zh-CN"/>
        </w:rPr>
        <w:t>1.82</w:t>
      </w:r>
      <w:r>
        <w:rPr>
          <w:rFonts w:hint="eastAsia" w:ascii="仿宋_GB2312" w:eastAsia="仿宋_GB2312"/>
          <w:sz w:val="28"/>
          <w:szCs w:val="28"/>
        </w:rPr>
        <w:t>万元，</w:t>
      </w:r>
      <w:r>
        <w:rPr>
          <w:rFonts w:hint="eastAsia" w:ascii="仿宋_GB2312" w:eastAsia="仿宋_GB2312"/>
          <w:sz w:val="28"/>
          <w:szCs w:val="28"/>
          <w:lang w:eastAsia="zh-CN"/>
        </w:rPr>
        <w:t>主要原因：</w:t>
      </w:r>
      <w:r>
        <w:rPr>
          <w:rFonts w:hint="eastAsia" w:ascii="仿宋_GB2312" w:eastAsia="仿宋_GB2312"/>
          <w:sz w:val="28"/>
          <w:szCs w:val="28"/>
        </w:rPr>
        <w:t>厉行节约，减少公务用车支出。202</w:t>
      </w:r>
      <w:r>
        <w:rPr>
          <w:rFonts w:hint="eastAsia" w:ascii="仿宋_GB2312" w:eastAsia="仿宋_GB2312"/>
          <w:sz w:val="28"/>
          <w:szCs w:val="28"/>
          <w:lang w:val="en-US" w:eastAsia="zh-CN"/>
        </w:rPr>
        <w:t>4</w:t>
      </w:r>
      <w:r>
        <w:rPr>
          <w:rFonts w:hint="eastAsia" w:ascii="仿宋_GB2312" w:eastAsia="仿宋_GB2312"/>
          <w:sz w:val="28"/>
          <w:szCs w:val="28"/>
        </w:rPr>
        <w:t>年度公务用车保有量</w:t>
      </w:r>
      <w:r>
        <w:rPr>
          <w:rFonts w:ascii="仿宋_GB2312" w:eastAsia="仿宋_GB2312"/>
          <w:sz w:val="28"/>
          <w:szCs w:val="28"/>
        </w:rPr>
        <w:t>3</w:t>
      </w:r>
      <w:r>
        <w:rPr>
          <w:rFonts w:hint="eastAsia" w:ascii="仿宋_GB2312" w:eastAsia="仿宋_GB2312"/>
          <w:sz w:val="28"/>
          <w:szCs w:val="28"/>
        </w:rPr>
        <w:t>辆。</w:t>
      </w:r>
    </w:p>
    <w:p w14:paraId="06645969">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1D037E07">
      <w:pPr>
        <w:ind w:left="540"/>
        <w:rPr>
          <w:rFonts w:hint="eastAsia" w:ascii="仿宋_GB2312" w:eastAsia="仿宋_GB2312"/>
          <w:sz w:val="28"/>
          <w:szCs w:val="28"/>
        </w:rPr>
      </w:pPr>
      <w:r>
        <w:rPr>
          <w:rFonts w:hint="eastAsia" w:ascii="仿宋_GB2312" w:eastAsia="仿宋_GB2312"/>
          <w:sz w:val="28"/>
          <w:szCs w:val="28"/>
        </w:rPr>
        <w:t>本单位不属于机关运行经费统计范围。</w:t>
      </w:r>
    </w:p>
    <w:p w14:paraId="51C90F64">
      <w:pPr>
        <w:ind w:left="540"/>
        <w:rPr>
          <w:rFonts w:hint="eastAsia" w:ascii="黑体" w:eastAsia="黑体"/>
          <w:sz w:val="28"/>
          <w:szCs w:val="28"/>
        </w:rPr>
      </w:pPr>
      <w:r>
        <w:rPr>
          <w:rFonts w:hint="eastAsia" w:ascii="黑体" w:eastAsia="黑体"/>
          <w:sz w:val="28"/>
          <w:szCs w:val="28"/>
        </w:rPr>
        <w:t>三、政府采购支出情况</w:t>
      </w:r>
    </w:p>
    <w:p w14:paraId="469A5163">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139.58</w:t>
      </w:r>
      <w:r>
        <w:rPr>
          <w:rFonts w:hint="eastAsia" w:ascii="仿宋_GB2312" w:eastAsia="仿宋_GB2312"/>
          <w:sz w:val="28"/>
          <w:szCs w:val="28"/>
        </w:rPr>
        <w:t>万元，其中：政府采购货物支出</w:t>
      </w:r>
      <w:r>
        <w:rPr>
          <w:rFonts w:ascii="仿宋_GB2312" w:eastAsia="仿宋_GB2312"/>
          <w:sz w:val="28"/>
          <w:szCs w:val="28"/>
        </w:rPr>
        <w:t>7.61</w:t>
      </w:r>
      <w:r>
        <w:rPr>
          <w:rFonts w:hint="eastAsia" w:ascii="仿宋_GB2312" w:eastAsia="仿宋_GB2312"/>
          <w:sz w:val="28"/>
          <w:szCs w:val="28"/>
        </w:rPr>
        <w:t>万元，政府采购工程支出</w:t>
      </w:r>
      <w:r>
        <w:rPr>
          <w:rFonts w:ascii="仿宋_GB2312" w:eastAsia="仿宋_GB2312"/>
          <w:sz w:val="28"/>
          <w:szCs w:val="28"/>
        </w:rPr>
        <w:t>112</w:t>
      </w:r>
      <w:r>
        <w:rPr>
          <w:rFonts w:hint="eastAsia" w:ascii="仿宋_GB2312" w:eastAsia="仿宋_GB2312"/>
          <w:sz w:val="28"/>
          <w:szCs w:val="28"/>
        </w:rPr>
        <w:t>万元，政府采购服务支出</w:t>
      </w:r>
      <w:r>
        <w:rPr>
          <w:rFonts w:ascii="仿宋_GB2312" w:eastAsia="仿宋_GB2312"/>
          <w:sz w:val="28"/>
          <w:szCs w:val="28"/>
        </w:rPr>
        <w:t>19.97</w:t>
      </w:r>
      <w:r>
        <w:rPr>
          <w:rFonts w:hint="eastAsia" w:ascii="仿宋_GB2312" w:eastAsia="仿宋_GB2312"/>
          <w:sz w:val="28"/>
          <w:szCs w:val="28"/>
        </w:rPr>
        <w:t>万元。授予中小企业合同金额</w:t>
      </w:r>
      <w:r>
        <w:rPr>
          <w:rFonts w:ascii="仿宋_GB2312" w:eastAsia="仿宋_GB2312"/>
          <w:sz w:val="28"/>
          <w:szCs w:val="28"/>
        </w:rPr>
        <w:t>139.26</w:t>
      </w:r>
      <w:r>
        <w:rPr>
          <w:rFonts w:hint="eastAsia" w:ascii="仿宋_GB2312" w:eastAsia="仿宋_GB2312"/>
          <w:sz w:val="28"/>
          <w:szCs w:val="28"/>
        </w:rPr>
        <w:t>万元，占政府采购支出总额的</w:t>
      </w:r>
      <w:r>
        <w:rPr>
          <w:rFonts w:hint="eastAsia" w:ascii="仿宋_GB2312" w:eastAsia="仿宋_GB2312"/>
          <w:sz w:val="28"/>
          <w:szCs w:val="28"/>
          <w:lang w:eastAsia="zh-CN"/>
        </w:rPr>
        <w:t>99.77</w:t>
      </w:r>
      <w:r>
        <w:rPr>
          <w:rFonts w:hint="eastAsia" w:ascii="仿宋_GB2312" w:eastAsia="仿宋_GB2312"/>
          <w:sz w:val="28"/>
          <w:szCs w:val="28"/>
        </w:rPr>
        <w:t>%，其中：授予小微企业合同金额</w:t>
      </w:r>
      <w:r>
        <w:rPr>
          <w:rFonts w:ascii="仿宋_GB2312" w:eastAsia="仿宋_GB2312"/>
          <w:sz w:val="28"/>
          <w:szCs w:val="28"/>
        </w:rPr>
        <w:t>8.82</w:t>
      </w:r>
      <w:r>
        <w:rPr>
          <w:rFonts w:hint="eastAsia" w:ascii="仿宋_GB2312" w:eastAsia="仿宋_GB2312"/>
          <w:sz w:val="28"/>
          <w:szCs w:val="28"/>
        </w:rPr>
        <w:t>万元，占政府采购支出总额的</w:t>
      </w:r>
      <w:r>
        <w:rPr>
          <w:rFonts w:ascii="仿宋_GB2312" w:eastAsia="仿宋_GB2312"/>
          <w:sz w:val="28"/>
          <w:szCs w:val="28"/>
        </w:rPr>
        <w:t>6.32</w:t>
      </w:r>
      <w:r>
        <w:rPr>
          <w:rFonts w:hint="eastAsia" w:ascii="仿宋_GB2312" w:eastAsia="仿宋_GB2312"/>
          <w:sz w:val="28"/>
          <w:szCs w:val="28"/>
        </w:rPr>
        <w:t>%。</w:t>
      </w:r>
    </w:p>
    <w:p w14:paraId="7BD4EDD0">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42E983B3">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12月31日，北京棋院</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3</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484E9AD1">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1824C7C">
      <w:pPr>
        <w:ind w:firstLine="560" w:firstLineChars="200"/>
        <w:jc w:val="left"/>
        <w:rPr>
          <w:rFonts w:hint="eastAsia" w:ascii="仿宋_GB2312" w:eastAsia="仿宋_GB2312"/>
          <w:sz w:val="28"/>
          <w:szCs w:val="28"/>
          <w:highlight w:val="none"/>
          <w:lang w:eastAsia="zh-CN"/>
        </w:rPr>
      </w:pPr>
      <w:r>
        <w:rPr>
          <w:rFonts w:hint="eastAsia" w:ascii="仿宋_GB2312" w:eastAsia="仿宋_GB2312"/>
          <w:sz w:val="28"/>
          <w:szCs w:val="28"/>
          <w:highlight w:val="none"/>
        </w:rPr>
        <w:t>本单位无此项经费</w:t>
      </w:r>
      <w:r>
        <w:rPr>
          <w:rFonts w:hint="eastAsia" w:ascii="仿宋_GB2312" w:eastAsia="仿宋_GB2312"/>
          <w:sz w:val="28"/>
          <w:szCs w:val="28"/>
          <w:highlight w:val="none"/>
          <w:lang w:eastAsia="zh-CN"/>
        </w:rPr>
        <w:t>。</w:t>
      </w:r>
    </w:p>
    <w:p w14:paraId="26ECDF0E">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28887BA">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493755BD">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62D3DF98">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AD8F0CD">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32F28202">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6C5EF8B8">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3FDC6505">
      <w:pPr>
        <w:ind w:firstLine="420" w:firstLineChars="150"/>
        <w:rPr>
          <w:rFonts w:ascii="仿宋_GB2312" w:eastAsia="仿宋_GB2312"/>
          <w:sz w:val="28"/>
          <w:szCs w:val="28"/>
        </w:rPr>
      </w:pPr>
      <w:r>
        <w:rPr>
          <w:rFonts w:hint="eastAsia" w:ascii="仿宋_GB2312" w:eastAsia="仿宋_GB2312"/>
          <w:sz w:val="28"/>
          <w:szCs w:val="28"/>
        </w:rPr>
        <w:t>7.文化旅游体育与传媒支出（类）体育（款）运动项目管理（项）：反映各项目运动管理中心和运动学校等单位的日常管理支出。</w:t>
      </w:r>
    </w:p>
    <w:p w14:paraId="051C591F">
      <w:pPr>
        <w:ind w:firstLine="420" w:firstLineChars="150"/>
        <w:rPr>
          <w:rFonts w:ascii="仿宋_GB2312" w:eastAsia="仿宋_GB2312"/>
          <w:sz w:val="28"/>
          <w:szCs w:val="28"/>
        </w:rPr>
      </w:pPr>
      <w:r>
        <w:rPr>
          <w:rFonts w:hint="eastAsia" w:ascii="仿宋_GB2312" w:eastAsia="仿宋_GB2312"/>
          <w:sz w:val="28"/>
          <w:szCs w:val="28"/>
        </w:rPr>
        <w:t>8.文化旅游体育与传媒支出（类）体育（款）体育竞赛（项）：反映综合性运动会及单项体育比赛支出。</w:t>
      </w:r>
    </w:p>
    <w:p w14:paraId="2B93A7BF">
      <w:pPr>
        <w:ind w:firstLine="420" w:firstLineChars="150"/>
        <w:rPr>
          <w:rFonts w:ascii="仿宋_GB2312" w:eastAsia="仿宋_GB2312"/>
          <w:sz w:val="28"/>
          <w:szCs w:val="28"/>
        </w:rPr>
      </w:pPr>
      <w:r>
        <w:rPr>
          <w:rFonts w:hint="eastAsia" w:ascii="仿宋_GB2312" w:eastAsia="仿宋_GB2312"/>
          <w:sz w:val="28"/>
          <w:szCs w:val="28"/>
        </w:rPr>
        <w:t>9.其他支出（类）彩票公益金安排的支出（款）用于体育事业的彩票公益金支出（项）：反映用于体育事业的彩票公益金支出。</w:t>
      </w:r>
    </w:p>
    <w:p w14:paraId="5A9707AD">
      <w:pPr>
        <w:ind w:firstLine="420" w:firstLineChars="150"/>
        <w:rPr>
          <w:rFonts w:ascii="仿宋_GB2312" w:eastAsia="仿宋_GB2312"/>
          <w:sz w:val="28"/>
          <w:szCs w:val="28"/>
        </w:rPr>
      </w:pPr>
      <w:r>
        <w:rPr>
          <w:rFonts w:hint="eastAsia" w:ascii="仿宋_GB2312" w:eastAsia="仿宋_GB2312"/>
          <w:sz w:val="28"/>
          <w:szCs w:val="28"/>
        </w:rPr>
        <w:t>10.社会保障和就业支出（类）行政事业单位养老支出（款）其他行政事业单位养老支出（项）：反映其他用于行政事业单位养老方面的支出。</w:t>
      </w:r>
    </w:p>
    <w:p w14:paraId="132BC396">
      <w:pPr>
        <w:jc w:val="both"/>
        <w:rPr>
          <w:rFonts w:hint="eastAsia" w:ascii="黑体" w:eastAsia="黑体"/>
          <w:sz w:val="32"/>
          <w:szCs w:val="32"/>
        </w:rPr>
      </w:pPr>
    </w:p>
    <w:p w14:paraId="65DA906B">
      <w:pPr>
        <w:tabs>
          <w:tab w:val="center" w:pos="6979"/>
        </w:tabs>
        <w:spacing w:line="380" w:lineRule="exact"/>
        <w:jc w:val="center"/>
        <w:rPr>
          <w:rFonts w:ascii="宋体" w:hAnsi="宋体" w:cs="宋体"/>
          <w:b/>
          <w:bCs/>
          <w:kern w:val="0"/>
          <w:sz w:val="28"/>
          <w:szCs w:val="28"/>
        </w:rPr>
      </w:pPr>
    </w:p>
    <w:p w14:paraId="0C916534">
      <w:pPr>
        <w:tabs>
          <w:tab w:val="center" w:pos="6979"/>
        </w:tabs>
        <w:spacing w:line="380" w:lineRule="exact"/>
        <w:jc w:val="center"/>
        <w:rPr>
          <w:rFonts w:ascii="宋体" w:hAnsi="宋体" w:cs="宋体"/>
          <w:b/>
          <w:bCs/>
          <w:kern w:val="0"/>
          <w:sz w:val="28"/>
          <w:szCs w:val="28"/>
        </w:rPr>
      </w:pPr>
    </w:p>
    <w:p w14:paraId="2041DD16">
      <w:pPr>
        <w:jc w:val="both"/>
        <w:rPr>
          <w:rFonts w:hint="eastAsia" w:ascii="黑体" w:eastAsia="黑体"/>
          <w:sz w:val="32"/>
          <w:szCs w:val="32"/>
        </w:rPr>
      </w:pPr>
    </w:p>
    <w:p w14:paraId="1588512B">
      <w:pPr>
        <w:ind w:firstLine="640" w:firstLineChars="200"/>
        <w:jc w:val="center"/>
        <w:rPr>
          <w:rFonts w:hint="eastAsia" w:ascii="黑体" w:eastAsia="黑体"/>
          <w:sz w:val="32"/>
          <w:szCs w:val="32"/>
        </w:rPr>
      </w:pPr>
    </w:p>
    <w:p w14:paraId="10E85424">
      <w:pPr>
        <w:ind w:firstLine="640" w:firstLineChars="200"/>
        <w:jc w:val="center"/>
        <w:rPr>
          <w:rFonts w:hint="eastAsia" w:ascii="黑体" w:eastAsia="黑体"/>
          <w:sz w:val="32"/>
          <w:szCs w:val="32"/>
        </w:rPr>
      </w:pPr>
    </w:p>
    <w:p w14:paraId="08083849">
      <w:pPr>
        <w:ind w:firstLine="640" w:firstLineChars="200"/>
        <w:jc w:val="center"/>
        <w:rPr>
          <w:rFonts w:hint="eastAsia" w:ascii="黑体" w:eastAsia="黑体"/>
          <w:sz w:val="32"/>
          <w:szCs w:val="32"/>
        </w:rPr>
      </w:pPr>
    </w:p>
    <w:p w14:paraId="60E5BE56">
      <w:pPr>
        <w:ind w:firstLine="640" w:firstLineChars="200"/>
        <w:jc w:val="center"/>
        <w:rPr>
          <w:rFonts w:hint="eastAsia" w:ascii="黑体" w:eastAsia="黑体"/>
          <w:sz w:val="32"/>
          <w:szCs w:val="32"/>
        </w:rPr>
      </w:pPr>
    </w:p>
    <w:p w14:paraId="035BC066">
      <w:pPr>
        <w:pStyle w:val="2"/>
        <w:rPr>
          <w:rFonts w:hint="eastAsia"/>
        </w:rPr>
      </w:pPr>
      <w:bookmarkStart w:id="0" w:name="_GoBack"/>
      <w:bookmarkEnd w:id="0"/>
    </w:p>
    <w:p w14:paraId="315EC64A">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w:t>
      </w:r>
      <w:r>
        <w:rPr>
          <w:rFonts w:hint="eastAsia" w:ascii="黑体" w:eastAsia="黑体"/>
          <w:sz w:val="32"/>
          <w:szCs w:val="32"/>
          <w:lang w:val="en-US" w:eastAsia="zh-CN"/>
        </w:rPr>
        <w:t>单位</w:t>
      </w:r>
      <w:r>
        <w:rPr>
          <w:rFonts w:hint="eastAsia" w:ascii="黑体" w:eastAsia="黑体"/>
          <w:sz w:val="32"/>
          <w:szCs w:val="32"/>
        </w:rPr>
        <w:t>绩效评价情况</w:t>
      </w:r>
    </w:p>
    <w:p w14:paraId="5E1F2B3C">
      <w:pPr>
        <w:ind w:firstLine="560" w:firstLineChars="200"/>
        <w:rPr>
          <w:rFonts w:hint="eastAsia" w:ascii="黑体" w:eastAsia="黑体"/>
          <w:sz w:val="28"/>
          <w:szCs w:val="28"/>
          <w:highlight w:val="yellow"/>
        </w:rPr>
      </w:pPr>
    </w:p>
    <w:p w14:paraId="5EEA8F5D">
      <w:pPr>
        <w:numPr>
          <w:ilvl w:val="0"/>
          <w:numId w:val="0"/>
        </w:numPr>
        <w:ind w:firstLine="840" w:firstLineChars="3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lang w:eastAsia="zh-CN"/>
        </w:rPr>
        <w:t>（详见附件）</w:t>
      </w:r>
    </w:p>
    <w:p w14:paraId="346F54C4">
      <w:pPr>
        <w:spacing w:line="480" w:lineRule="exact"/>
        <w:rPr>
          <w:rFonts w:hint="eastAsia" w:ascii="仿宋_GB2312" w:hAnsi="仿宋_GB2312" w:eastAsia="仿宋_GB2312" w:cs="仿宋_GB2312"/>
          <w:sz w:val="32"/>
          <w:szCs w:val="32"/>
        </w:rPr>
      </w:pPr>
    </w:p>
    <w:p w14:paraId="066E9F91">
      <w:pPr>
        <w:spacing w:line="480" w:lineRule="exact"/>
      </w:pP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1FD44">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73EEB58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3B9AD">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382EAA6D">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AD123">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6E2DA5AB">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E66FA5"/>
    <w:rsid w:val="02F120AB"/>
    <w:rsid w:val="032B5196"/>
    <w:rsid w:val="04C3537C"/>
    <w:rsid w:val="0604512A"/>
    <w:rsid w:val="079004AC"/>
    <w:rsid w:val="09594845"/>
    <w:rsid w:val="0AAB0C0F"/>
    <w:rsid w:val="0B440899"/>
    <w:rsid w:val="0B894C80"/>
    <w:rsid w:val="0BA148CA"/>
    <w:rsid w:val="0C1165C4"/>
    <w:rsid w:val="0D6D544B"/>
    <w:rsid w:val="0DD136FE"/>
    <w:rsid w:val="0DFE11D3"/>
    <w:rsid w:val="0F8E2C57"/>
    <w:rsid w:val="1059665E"/>
    <w:rsid w:val="10AC13BA"/>
    <w:rsid w:val="137361BF"/>
    <w:rsid w:val="145A6C1B"/>
    <w:rsid w:val="14B73493"/>
    <w:rsid w:val="15282FD9"/>
    <w:rsid w:val="163670A5"/>
    <w:rsid w:val="167A2FF9"/>
    <w:rsid w:val="17085D9E"/>
    <w:rsid w:val="18581C69"/>
    <w:rsid w:val="1881312C"/>
    <w:rsid w:val="1AEC0734"/>
    <w:rsid w:val="1CAB69CA"/>
    <w:rsid w:val="1DEF20B0"/>
    <w:rsid w:val="1F0827F2"/>
    <w:rsid w:val="214243FA"/>
    <w:rsid w:val="21AD613C"/>
    <w:rsid w:val="22467189"/>
    <w:rsid w:val="25592D3B"/>
    <w:rsid w:val="257A14F5"/>
    <w:rsid w:val="27196C26"/>
    <w:rsid w:val="29EF086F"/>
    <w:rsid w:val="2EFFE297"/>
    <w:rsid w:val="301437CA"/>
    <w:rsid w:val="349D1F0A"/>
    <w:rsid w:val="34DD0473"/>
    <w:rsid w:val="3C684897"/>
    <w:rsid w:val="3E927592"/>
    <w:rsid w:val="3F750AFB"/>
    <w:rsid w:val="433E495C"/>
    <w:rsid w:val="489F2FD7"/>
    <w:rsid w:val="4AC27CB3"/>
    <w:rsid w:val="4B2B2900"/>
    <w:rsid w:val="4BF72BEF"/>
    <w:rsid w:val="4DEC6396"/>
    <w:rsid w:val="4FA90297"/>
    <w:rsid w:val="4FC41A43"/>
    <w:rsid w:val="505C6D4E"/>
    <w:rsid w:val="51DB3C59"/>
    <w:rsid w:val="54790484"/>
    <w:rsid w:val="550C0952"/>
    <w:rsid w:val="55762E42"/>
    <w:rsid w:val="56AE1BE3"/>
    <w:rsid w:val="57A7B272"/>
    <w:rsid w:val="58470068"/>
    <w:rsid w:val="58747CAC"/>
    <w:rsid w:val="5937125F"/>
    <w:rsid w:val="5A1720F9"/>
    <w:rsid w:val="5AED1980"/>
    <w:rsid w:val="5B9C37C2"/>
    <w:rsid w:val="5BA7C654"/>
    <w:rsid w:val="60A54109"/>
    <w:rsid w:val="61D01CDF"/>
    <w:rsid w:val="631B3D23"/>
    <w:rsid w:val="647C5B23"/>
    <w:rsid w:val="64C0607C"/>
    <w:rsid w:val="65756C86"/>
    <w:rsid w:val="66C74F6B"/>
    <w:rsid w:val="674D385B"/>
    <w:rsid w:val="676F09E1"/>
    <w:rsid w:val="6834142B"/>
    <w:rsid w:val="68A1024E"/>
    <w:rsid w:val="69A302A4"/>
    <w:rsid w:val="6A5031C7"/>
    <w:rsid w:val="6BC8789F"/>
    <w:rsid w:val="71793A80"/>
    <w:rsid w:val="71BE468D"/>
    <w:rsid w:val="71C56D5B"/>
    <w:rsid w:val="7357290B"/>
    <w:rsid w:val="75A30A62"/>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c:f>
              <c:strCache>
                <c:ptCount val="1"/>
                <c:pt idx="0">
                  <c:v>财政拨款收入</c:v>
                </c:pt>
              </c:strCache>
            </c:strRef>
          </c:cat>
          <c:val>
            <c:numRef>
              <c:f>Sheet1!$B$2</c:f>
              <c:numCache>
                <c:formatCode>General</c:formatCode>
                <c:ptCount val="1"/>
                <c:pt idx="0">
                  <c:v>2950.53</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2310.13</c:v>
                </c:pt>
                <c:pt idx="1">
                  <c:v>636.32</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delete val="1"/>
      </c:legendEntry>
      <c:legendEntry>
        <c:idx val="3"/>
        <c:delete val="1"/>
      </c:legendEntry>
      <c:legendEntry>
        <c:idx val="4"/>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44f4040-a346-4401-b027-d7563d22216e}"/>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887</Words>
  <Characters>985</Characters>
  <Lines>44</Lines>
  <Paragraphs>12</Paragraphs>
  <TotalTime>2</TotalTime>
  <ScaleCrop>false</ScaleCrop>
  <LinksUpToDate>false</LinksUpToDate>
  <CharactersWithSpaces>1001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都督大都督</cp:lastModifiedBy>
  <cp:lastPrinted>2020-08-07T11:39:00Z</cp:lastPrinted>
  <dcterms:modified xsi:type="dcterms:W3CDTF">2025-08-29T02:29:18Z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A78021F327534595AB87025A9732C224_13</vt:lpwstr>
  </property>
  <property fmtid="{D5CDD505-2E9C-101B-9397-08002B2CF9AE}" pid="4" name="KSOTemplateDocerSaveRecord">
    <vt:lpwstr>eyJoZGlkIjoiNDE4MzY1YmQ5MjA1YWRkNzEzN2E5N2JlM2NiYmQ2MDgiLCJ1c2VySWQiOiI1ODUyODAxOTgifQ==</vt:lpwstr>
  </property>
</Properties>
</file>