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sz w:val="32"/>
          <w:szCs w:val="3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w:t>
      </w:r>
      <w:r>
        <w:rPr>
          <w:rFonts w:hint="eastAsia" w:ascii="黑体" w:eastAsia="黑体"/>
          <w:sz w:val="72"/>
          <w:szCs w:val="72"/>
          <w:lang w:eastAsia="zh-CN"/>
        </w:rPr>
        <w:t>单位</w:t>
      </w:r>
      <w:r>
        <w:rPr>
          <w:rFonts w:hint="eastAsia" w:ascii="黑体" w:eastAsia="黑体"/>
          <w:sz w:val="72"/>
          <w:szCs w:val="72"/>
        </w:rPr>
        <w:t>决算（</w:t>
      </w:r>
      <w:r>
        <w:rPr>
          <w:rFonts w:hint="eastAsia" w:ascii="黑体" w:eastAsia="黑体"/>
          <w:sz w:val="72"/>
          <w:szCs w:val="72"/>
          <w:lang w:val="en-US" w:eastAsia="zh-CN"/>
        </w:rPr>
        <w:t>公开</w:t>
      </w:r>
      <w:r>
        <w:rPr>
          <w:rFonts w:ascii="黑体" w:eastAsia="黑体"/>
          <w:sz w:val="72"/>
          <w:szCs w:val="72"/>
        </w:rPr>
        <w:t>）</w:t>
      </w: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32"/>
          <w:szCs w:val="32"/>
        </w:rPr>
      </w:pPr>
    </w:p>
    <w:p>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pPr>
        <w:spacing w:line="500" w:lineRule="exact"/>
        <w:ind w:firstLine="645"/>
        <w:jc w:val="center"/>
        <w:rPr>
          <w:rFonts w:hint="eastAsia" w:ascii="宋体" w:hAnsi="宋体" w:cs="宋体"/>
          <w:b/>
          <w:bCs/>
          <w:kern w:val="0"/>
          <w:sz w:val="36"/>
          <w:szCs w:val="36"/>
        </w:rPr>
      </w:pP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w:t>
      </w:r>
      <w:r>
        <w:rPr>
          <w:rFonts w:hint="eastAsia" w:ascii="宋体" w:hAnsi="宋体" w:cs="宋体"/>
          <w:bCs/>
          <w:spacing w:val="40"/>
          <w:kern w:val="0"/>
          <w:sz w:val="32"/>
          <w:szCs w:val="32"/>
          <w:lang w:val="en-US" w:eastAsia="zh-CN"/>
        </w:rPr>
        <w:t>4</w:t>
      </w:r>
      <w:r>
        <w:rPr>
          <w:rFonts w:hint="eastAsia" w:ascii="宋体" w:hAnsi="宋体" w:cs="宋体"/>
          <w:bCs/>
          <w:spacing w:val="40"/>
          <w:kern w:val="0"/>
          <w:sz w:val="32"/>
          <w:szCs w:val="32"/>
        </w:rPr>
        <w:t>年度</w:t>
      </w:r>
      <w:r>
        <w:rPr>
          <w:rFonts w:hint="eastAsia" w:ascii="宋体" w:hAnsi="宋体" w:cs="宋体"/>
          <w:bCs/>
          <w:spacing w:val="40"/>
          <w:kern w:val="0"/>
          <w:sz w:val="32"/>
          <w:szCs w:val="32"/>
          <w:lang w:eastAsia="zh-CN"/>
        </w:rPr>
        <w:t>单位</w:t>
      </w:r>
      <w:r>
        <w:rPr>
          <w:rFonts w:hint="eastAsia" w:ascii="宋体" w:hAnsi="宋体" w:cs="宋体"/>
          <w:bCs/>
          <w:spacing w:val="40"/>
          <w:kern w:val="0"/>
          <w:sz w:val="32"/>
          <w:szCs w:val="32"/>
        </w:rPr>
        <w:t>决算报表</w:t>
      </w:r>
    </w:p>
    <w:p>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spacing w:val="40"/>
          <w:sz w:val="32"/>
          <w:szCs w:val="32"/>
          <w:lang w:eastAsia="zh-CN"/>
        </w:rPr>
        <w:t>单位</w:t>
      </w:r>
      <w:r>
        <w:rPr>
          <w:rFonts w:hint="eastAsia" w:ascii="宋体" w:hAnsi="宋体"/>
          <w:spacing w:val="40"/>
          <w:sz w:val="32"/>
          <w:szCs w:val="32"/>
        </w:rPr>
        <w:t>决算说明</w:t>
      </w:r>
    </w:p>
    <w:p>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pPr>
        <w:tabs>
          <w:tab w:val="center" w:pos="6979"/>
        </w:tabs>
        <w:spacing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 202</w:t>
      </w:r>
      <w:r>
        <w:rPr>
          <w:rFonts w:hint="eastAsia" w:ascii="宋体" w:hAnsi="宋体" w:cs="宋体"/>
          <w:spacing w:val="40"/>
          <w:kern w:val="0"/>
          <w:sz w:val="32"/>
          <w:szCs w:val="32"/>
          <w:lang w:val="en-US" w:eastAsia="zh-CN"/>
        </w:rPr>
        <w:t>4</w:t>
      </w:r>
      <w:r>
        <w:rPr>
          <w:rFonts w:hint="eastAsia" w:ascii="宋体" w:hAnsi="宋体" w:cs="宋体"/>
          <w:spacing w:val="40"/>
          <w:kern w:val="0"/>
          <w:sz w:val="32"/>
          <w:szCs w:val="32"/>
        </w:rPr>
        <w:t>年度</w:t>
      </w:r>
      <w:r>
        <w:rPr>
          <w:rFonts w:hint="eastAsia" w:ascii="宋体" w:hAnsi="宋体" w:cs="宋体"/>
          <w:spacing w:val="40"/>
          <w:kern w:val="0"/>
          <w:sz w:val="32"/>
          <w:szCs w:val="32"/>
          <w:lang w:eastAsia="zh-CN"/>
        </w:rPr>
        <w:t>单位</w:t>
      </w:r>
      <w:r>
        <w:rPr>
          <w:rFonts w:hint="eastAsia" w:ascii="宋体" w:hAnsi="宋体" w:cs="宋体"/>
          <w:spacing w:val="40"/>
          <w:kern w:val="0"/>
          <w:sz w:val="32"/>
          <w:szCs w:val="32"/>
        </w:rPr>
        <w:t>绩效评价情况</w:t>
      </w: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 xml:space="preserve">第一部分 </w:t>
      </w:r>
      <w:r>
        <w:rPr>
          <w:rFonts w:hint="eastAsia" w:ascii="宋体" w:hAnsi="宋体" w:cs="宋体"/>
          <w:b/>
          <w:bCs/>
          <w:spacing w:val="40"/>
          <w:kern w:val="0"/>
          <w:sz w:val="44"/>
          <w:szCs w:val="44"/>
          <w:lang w:eastAsia="zh-CN"/>
        </w:rPr>
        <w:t>2024</w:t>
      </w:r>
      <w:r>
        <w:rPr>
          <w:rFonts w:hint="eastAsia" w:ascii="宋体" w:hAnsi="宋体" w:cs="宋体"/>
          <w:b/>
          <w:bCs/>
          <w:spacing w:val="40"/>
          <w:kern w:val="0"/>
          <w:sz w:val="44"/>
          <w:szCs w:val="44"/>
        </w:rPr>
        <w:t>年度</w:t>
      </w:r>
      <w:r>
        <w:rPr>
          <w:rFonts w:hint="eastAsia" w:ascii="宋体" w:hAnsi="宋体" w:cs="宋体"/>
          <w:b/>
          <w:bCs/>
          <w:spacing w:val="40"/>
          <w:kern w:val="0"/>
          <w:sz w:val="44"/>
          <w:szCs w:val="44"/>
          <w:lang w:eastAsia="zh-CN"/>
        </w:rPr>
        <w:t>单位</w:t>
      </w:r>
      <w:r>
        <w:rPr>
          <w:rFonts w:hint="eastAsia" w:ascii="宋体" w:hAnsi="宋体" w:cs="宋体"/>
          <w:b/>
          <w:bCs/>
          <w:spacing w:val="40"/>
          <w:kern w:val="0"/>
          <w:sz w:val="44"/>
          <w:szCs w:val="44"/>
        </w:rPr>
        <w:t>决算报表</w:t>
      </w:r>
    </w:p>
    <w:p>
      <w:pPr>
        <w:pStyle w:val="2"/>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pPr>
        <w:tabs>
          <w:tab w:val="center" w:pos="6979"/>
        </w:tabs>
        <w:spacing w:before="156" w:beforeLines="50" w:after="156" w:afterLines="50"/>
        <w:jc w:val="center"/>
        <w:rPr>
          <w:rFonts w:hint="eastAsia"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b/>
          <w:spacing w:val="40"/>
          <w:sz w:val="32"/>
          <w:szCs w:val="32"/>
          <w:lang w:eastAsia="zh-CN"/>
        </w:rPr>
        <w:t>单位</w:t>
      </w:r>
      <w:r>
        <w:rPr>
          <w:rFonts w:hint="eastAsia" w:ascii="宋体" w:hAnsi="宋体"/>
          <w:b/>
          <w:spacing w:val="40"/>
          <w:sz w:val="32"/>
          <w:szCs w:val="32"/>
        </w:rPr>
        <w:t>决算说明</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一、单位基本情况</w:t>
      </w:r>
    </w:p>
    <w:p>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（一）单位性质、职责</w:t>
      </w:r>
    </w:p>
    <w:p>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根据《中共北京市委机构编制委员会关于市体育局所属事业单位改革有关事项的批复》</w:t>
      </w:r>
      <w:r>
        <w:rPr>
          <w:rFonts w:hint="eastAsia" w:ascii="仿宋_GB2312" w:eastAsia="仿宋_GB2312"/>
          <w:sz w:val="28"/>
          <w:szCs w:val="28"/>
          <w:lang w:val="en-US" w:eastAsia="zh-CN"/>
        </w:rPr>
        <w:t>文件规定</w:t>
      </w:r>
      <w:r>
        <w:rPr>
          <w:rFonts w:hint="eastAsia" w:ascii="仿宋_GB2312" w:eastAsia="仿宋_GB2312"/>
          <w:sz w:val="28"/>
          <w:szCs w:val="28"/>
        </w:rPr>
        <w:t>，北京体育职业学院为北京市体育局所属的公益一类事业单位。</w:t>
      </w:r>
    </w:p>
    <w:p>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北京体育职业学院主要职责为：面向市级运动队和社会开展体育教育、运动训练、社会体育等专业的高等学历教育；开展体育职业技能培训。</w:t>
      </w:r>
    </w:p>
    <w:p>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（二）机构设置</w:t>
      </w:r>
    </w:p>
    <w:p>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学院内设19个科室，分别为：党委办公室、办公室、教务处、特高项目办公室、社会体育系、竞技体育系、公共基础部、马克思主义教研室、教育督导室、科研规划部、学生处、招生就业办公室、网络信息中心、人事部、财务部、内部审查督导办公室、后勤保障部、培训部（工会、金海湖）、保健康复系。</w:t>
      </w:r>
    </w:p>
    <w:p>
      <w:pPr>
        <w:tabs>
          <w:tab w:val="center" w:pos="6979"/>
        </w:tabs>
        <w:spacing w:line="580" w:lineRule="exact"/>
        <w:rPr>
          <w:rFonts w:hint="eastAsia"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7</w:t>
      </w:r>
      <w:r>
        <w:rPr>
          <w:rFonts w:hint="eastAsia" w:ascii="仿宋_GB2312" w:eastAsia="仿宋_GB2312"/>
          <w:sz w:val="28"/>
          <w:szCs w:val="28"/>
          <w:lang w:val="en-US" w:eastAsia="zh-CN"/>
        </w:rPr>
        <w:t>,</w:t>
      </w:r>
      <w:r>
        <w:rPr>
          <w:rFonts w:ascii="仿宋_GB2312" w:eastAsia="仿宋_GB2312"/>
          <w:sz w:val="28"/>
          <w:szCs w:val="28"/>
        </w:rPr>
        <w:t>633.69</w:t>
      </w:r>
      <w:r>
        <w:rPr>
          <w:rFonts w:hint="eastAsia" w:ascii="仿宋_GB2312" w:eastAsia="仿宋_GB2312"/>
          <w:sz w:val="28"/>
          <w:szCs w:val="28"/>
        </w:rPr>
        <w:t>万元，</w:t>
      </w:r>
      <w:r>
        <w:rPr>
          <w:rFonts w:ascii="仿宋_GB2312" w:eastAsia="仿宋_GB2312"/>
          <w:sz w:val="28"/>
          <w:szCs w:val="28"/>
        </w:rPr>
        <w:t>比上</w:t>
      </w:r>
      <w:r>
        <w:rPr>
          <w:rFonts w:hint="eastAsia" w:ascii="仿宋_GB2312" w:eastAsia="仿宋_GB2312"/>
          <w:sz w:val="28"/>
          <w:szCs w:val="28"/>
        </w:rPr>
        <w:t>减少</w:t>
      </w:r>
      <w:r>
        <w:rPr>
          <w:rFonts w:hint="eastAsia" w:ascii="仿宋_GB2312" w:eastAsia="仿宋_GB2312"/>
          <w:sz w:val="28"/>
          <w:szCs w:val="28"/>
          <w:lang w:val="en-US" w:eastAsia="zh-CN"/>
        </w:rPr>
        <w:t>405.52</w:t>
      </w:r>
      <w:r>
        <w:rPr>
          <w:rFonts w:hint="eastAsia" w:ascii="仿宋_GB2312" w:eastAsia="仿宋_GB2312"/>
          <w:sz w:val="28"/>
          <w:szCs w:val="28"/>
        </w:rPr>
        <w:t>万元，下降</w:t>
      </w:r>
      <w:r>
        <w:rPr>
          <w:rFonts w:hint="eastAsia" w:ascii="仿宋_GB2312" w:eastAsia="仿宋_GB2312"/>
          <w:sz w:val="28"/>
          <w:szCs w:val="28"/>
          <w:lang w:val="en-US" w:eastAsia="zh-CN"/>
        </w:rPr>
        <w:t>5.04</w:t>
      </w:r>
      <w:r>
        <w:rPr>
          <w:rFonts w:hint="eastAsia" w:ascii="仿宋_GB2312" w:eastAsia="仿宋_GB2312"/>
          <w:sz w:val="28"/>
          <w:szCs w:val="28"/>
        </w:rPr>
        <w:t>%。</w:t>
      </w:r>
    </w:p>
    <w:p>
      <w:pPr>
        <w:keepNext w:val="0"/>
        <w:keepLines w:val="0"/>
        <w:pageBreakBefore w:val="0"/>
        <w:widowControl w:val="0"/>
        <w:tabs>
          <w:tab w:val="center" w:pos="6979"/>
        </w:tabs>
        <w:kinsoku/>
        <w:wordWrap/>
        <w:overflowPunct/>
        <w:topLinePunct w:val="0"/>
        <w:autoSpaceDE/>
        <w:autoSpaceDN/>
        <w:bidi w:val="0"/>
        <w:adjustRightInd/>
        <w:snapToGrid/>
        <w:spacing w:line="580" w:lineRule="exact"/>
        <w:ind w:firstLine="560" w:firstLineChars="200"/>
        <w:textAlignment w:val="auto"/>
        <w:rPr>
          <w:rFonts w:hint="eastAsia" w:ascii="仿宋_GB2312" w:eastAsia="仿宋_GB2312"/>
          <w:sz w:val="28"/>
          <w:szCs w:val="28"/>
          <w:highlight w:val="none"/>
        </w:rPr>
      </w:pPr>
      <w:r>
        <w:rPr>
          <w:rFonts w:hint="eastAsia" w:ascii="仿宋_GB2312" w:eastAsia="仿宋_GB2312"/>
          <w:sz w:val="28"/>
          <w:szCs w:val="28"/>
          <w:highlight w:val="none"/>
        </w:rPr>
        <w:t>（一</w:t>
      </w:r>
      <w:r>
        <w:rPr>
          <w:rFonts w:ascii="仿宋_GB2312" w:eastAsia="仿宋_GB2312"/>
          <w:sz w:val="28"/>
          <w:szCs w:val="28"/>
          <w:highlight w:val="none"/>
        </w:rPr>
        <w:t>）</w:t>
      </w:r>
      <w:r>
        <w:rPr>
          <w:rFonts w:hint="eastAsia" w:ascii="仿宋_GB2312" w:eastAsia="仿宋_GB2312"/>
          <w:sz w:val="28"/>
          <w:szCs w:val="28"/>
          <w:highlight w:val="none"/>
        </w:rPr>
        <w:t>收入决算</w:t>
      </w:r>
      <w:r>
        <w:rPr>
          <w:rFonts w:ascii="仿宋_GB2312" w:eastAsia="仿宋_GB2312"/>
          <w:sz w:val="28"/>
          <w:szCs w:val="28"/>
          <w:highlight w:val="none"/>
        </w:rPr>
        <w:t>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年度本年收入合计</w:t>
      </w:r>
      <w:r>
        <w:rPr>
          <w:rFonts w:ascii="仿宋_GB2312" w:eastAsia="仿宋_GB2312"/>
          <w:sz w:val="28"/>
          <w:szCs w:val="28"/>
        </w:rPr>
        <w:t>7</w:t>
      </w:r>
      <w:r>
        <w:rPr>
          <w:rFonts w:hint="eastAsia" w:ascii="仿宋_GB2312" w:eastAsia="仿宋_GB2312"/>
          <w:sz w:val="28"/>
          <w:szCs w:val="28"/>
          <w:lang w:val="en-US" w:eastAsia="zh-CN"/>
        </w:rPr>
        <w:t>,</w:t>
      </w:r>
      <w:r>
        <w:rPr>
          <w:rFonts w:ascii="仿宋_GB2312" w:eastAsia="仿宋_GB2312"/>
          <w:sz w:val="28"/>
          <w:szCs w:val="28"/>
        </w:rPr>
        <w:t>612.46</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45.29</w:t>
      </w:r>
      <w:r>
        <w:rPr>
          <w:rFonts w:hint="eastAsia" w:ascii="仿宋_GB2312" w:eastAsia="仿宋_GB2312"/>
          <w:sz w:val="28"/>
          <w:szCs w:val="28"/>
        </w:rPr>
        <w:t>万元，下降</w:t>
      </w:r>
      <w:r>
        <w:rPr>
          <w:rFonts w:hint="eastAsia" w:ascii="仿宋_GB2312" w:eastAsia="仿宋_GB2312"/>
          <w:sz w:val="28"/>
          <w:szCs w:val="28"/>
          <w:lang w:val="en-US" w:eastAsia="zh-CN"/>
        </w:rPr>
        <w:t>0.59</w:t>
      </w:r>
      <w:r>
        <w:rPr>
          <w:rFonts w:hint="eastAsia" w:ascii="仿宋_GB2312" w:eastAsia="仿宋_GB2312"/>
          <w:sz w:val="28"/>
          <w:szCs w:val="28"/>
        </w:rPr>
        <w:t>%</w:t>
      </w:r>
      <w:r>
        <w:rPr>
          <w:rFonts w:hint="eastAsia" w:ascii="仿宋_GB2312" w:eastAsia="仿宋_GB2312"/>
          <w:sz w:val="28"/>
          <w:szCs w:val="28"/>
          <w:lang w:eastAsia="zh-CN"/>
        </w:rPr>
        <w:t>。</w:t>
      </w:r>
    </w:p>
    <w:p>
      <w:pPr>
        <w:keepNext w:val="0"/>
        <w:keepLines w:val="0"/>
        <w:pageBreakBefore w:val="0"/>
        <w:widowControl w:val="0"/>
        <w:numPr>
          <w:ilvl w:val="0"/>
          <w:numId w:val="0"/>
        </w:numPr>
        <w:tabs>
          <w:tab w:val="center" w:pos="6979"/>
        </w:tabs>
        <w:kinsoku/>
        <w:wordWrap/>
        <w:overflowPunct/>
        <w:topLinePunct w:val="0"/>
        <w:autoSpaceDE/>
        <w:autoSpaceDN/>
        <w:bidi w:val="0"/>
        <w:adjustRightInd/>
        <w:snapToGrid/>
        <w:spacing w:line="580" w:lineRule="exact"/>
        <w:ind w:firstLine="560" w:firstLineChars="200"/>
        <w:textAlignment w:val="auto"/>
        <w:rPr>
          <w:rFonts w:hint="eastAsia" w:ascii="仿宋_GB2312" w:eastAsia="仿宋_GB2312"/>
          <w:sz w:val="28"/>
          <w:szCs w:val="28"/>
          <w:lang w:eastAsia="zh-CN"/>
        </w:rPr>
      </w:pPr>
      <w:r>
        <w:rPr>
          <w:rFonts w:hint="eastAsia" w:ascii="仿宋_GB2312" w:eastAsia="仿宋_GB2312"/>
          <w:sz w:val="28"/>
          <w:szCs w:val="28"/>
          <w:lang w:val="en-US" w:eastAsia="zh-CN"/>
        </w:rPr>
        <w:t>1.</w:t>
      </w:r>
      <w:r>
        <w:rPr>
          <w:rFonts w:hint="eastAsia" w:ascii="仿宋_GB2312" w:eastAsia="仿宋_GB2312"/>
          <w:sz w:val="28"/>
          <w:szCs w:val="28"/>
        </w:rPr>
        <w:t>财政拨款收入</w:t>
      </w:r>
      <w:r>
        <w:rPr>
          <w:rFonts w:ascii="仿宋_GB2312" w:eastAsia="仿宋_GB2312"/>
          <w:sz w:val="28"/>
          <w:szCs w:val="28"/>
        </w:rPr>
        <w:t>7</w:t>
      </w:r>
      <w:r>
        <w:rPr>
          <w:rFonts w:hint="eastAsia" w:ascii="仿宋_GB2312" w:eastAsia="仿宋_GB2312"/>
          <w:sz w:val="28"/>
          <w:szCs w:val="28"/>
          <w:lang w:val="en-US" w:eastAsia="zh-CN"/>
        </w:rPr>
        <w:t>,</w:t>
      </w:r>
      <w:r>
        <w:rPr>
          <w:rFonts w:ascii="仿宋_GB2312" w:eastAsia="仿宋_GB2312"/>
          <w:sz w:val="28"/>
          <w:szCs w:val="28"/>
        </w:rPr>
        <w:t>547.33</w:t>
      </w:r>
      <w:r>
        <w:rPr>
          <w:rFonts w:hint="eastAsia" w:ascii="仿宋_GB2312" w:eastAsia="仿宋_GB2312"/>
          <w:sz w:val="28"/>
          <w:szCs w:val="28"/>
        </w:rPr>
        <w:t>万元，占收入合计的</w:t>
      </w:r>
      <w:r>
        <w:rPr>
          <w:rFonts w:hint="eastAsia" w:ascii="仿宋_GB2312" w:eastAsia="仿宋_GB2312"/>
          <w:sz w:val="28"/>
          <w:szCs w:val="28"/>
          <w:lang w:eastAsia="zh-CN"/>
        </w:rPr>
        <w:t>99.14%。</w:t>
      </w:r>
      <w:r>
        <w:rPr>
          <w:rFonts w:hint="eastAsia" w:ascii="仿宋_GB2312" w:eastAsia="仿宋_GB2312"/>
          <w:sz w:val="28"/>
          <w:szCs w:val="28"/>
        </w:rPr>
        <w:t>其中：</w:t>
      </w:r>
      <w:r>
        <w:rPr>
          <w:rFonts w:hint="eastAsia" w:ascii="仿宋_GB2312" w:eastAsia="仿宋_GB2312"/>
          <w:sz w:val="28"/>
          <w:szCs w:val="28"/>
          <w:lang w:eastAsia="zh-CN"/>
        </w:rPr>
        <w:t>一般公共预算财政拨款收入</w:t>
      </w:r>
      <w:r>
        <w:rPr>
          <w:rFonts w:ascii="仿宋_GB2312" w:eastAsia="仿宋_GB2312"/>
          <w:sz w:val="28"/>
          <w:szCs w:val="28"/>
        </w:rPr>
        <w:t>7</w:t>
      </w:r>
      <w:r>
        <w:rPr>
          <w:rFonts w:hint="eastAsia" w:ascii="仿宋_GB2312" w:eastAsia="仿宋_GB2312"/>
          <w:sz w:val="28"/>
          <w:szCs w:val="28"/>
          <w:lang w:val="en-US" w:eastAsia="zh-CN"/>
        </w:rPr>
        <w:t>,</w:t>
      </w:r>
      <w:r>
        <w:rPr>
          <w:rFonts w:ascii="仿宋_GB2312" w:eastAsia="仿宋_GB2312"/>
          <w:sz w:val="28"/>
          <w:szCs w:val="28"/>
        </w:rPr>
        <w:t>510.33</w:t>
      </w:r>
      <w:r>
        <w:rPr>
          <w:rFonts w:hint="eastAsia" w:ascii="仿宋_GB2312" w:eastAsia="仿宋_GB2312"/>
          <w:sz w:val="28"/>
          <w:szCs w:val="28"/>
        </w:rPr>
        <w:t>万元，占收入合计的</w:t>
      </w:r>
      <w:r>
        <w:rPr>
          <w:rFonts w:hint="eastAsia" w:ascii="仿宋_GB2312" w:eastAsia="仿宋_GB2312"/>
          <w:sz w:val="28"/>
          <w:szCs w:val="28"/>
          <w:lang w:eastAsia="zh-CN"/>
        </w:rPr>
        <w:t>98.6</w:t>
      </w:r>
      <w:r>
        <w:rPr>
          <w:rFonts w:hint="eastAsia" w:ascii="仿宋_GB2312" w:eastAsia="仿宋_GB2312"/>
          <w:sz w:val="28"/>
          <w:szCs w:val="28"/>
          <w:lang w:val="en-US" w:eastAsia="zh-CN"/>
        </w:rPr>
        <w:t>5</w:t>
      </w:r>
      <w:r>
        <w:rPr>
          <w:rFonts w:hint="eastAsia" w:ascii="仿宋_GB2312" w:eastAsia="仿宋_GB2312"/>
          <w:sz w:val="28"/>
          <w:szCs w:val="28"/>
        </w:rPr>
        <w:t>%；</w:t>
      </w:r>
      <w:r>
        <w:rPr>
          <w:rFonts w:hint="eastAsia" w:ascii="仿宋_GB2312" w:eastAsia="仿宋_GB2312"/>
          <w:sz w:val="28"/>
          <w:szCs w:val="28"/>
          <w:lang w:eastAsia="zh-CN"/>
        </w:rPr>
        <w:t>政府性基金预算财政拨款收入</w:t>
      </w:r>
      <w:r>
        <w:rPr>
          <w:rFonts w:ascii="仿宋_GB2312" w:eastAsia="仿宋_GB2312"/>
          <w:sz w:val="28"/>
          <w:szCs w:val="28"/>
        </w:rPr>
        <w:t>37</w:t>
      </w:r>
      <w:r>
        <w:rPr>
          <w:rFonts w:hint="eastAsia" w:ascii="仿宋_GB2312" w:eastAsia="仿宋_GB2312"/>
          <w:sz w:val="28"/>
          <w:szCs w:val="28"/>
          <w:lang w:val="en-US" w:eastAsia="zh-CN"/>
        </w:rPr>
        <w:t>.00</w:t>
      </w:r>
      <w:r>
        <w:rPr>
          <w:rFonts w:hint="eastAsia" w:ascii="仿宋_GB2312" w:eastAsia="仿宋_GB2312"/>
          <w:sz w:val="28"/>
          <w:szCs w:val="28"/>
        </w:rPr>
        <w:t>万元，占收入合计的</w:t>
      </w:r>
      <w:r>
        <w:rPr>
          <w:rFonts w:hint="eastAsia" w:ascii="仿宋_GB2312" w:eastAsia="仿宋_GB2312"/>
          <w:sz w:val="28"/>
          <w:szCs w:val="28"/>
          <w:lang w:eastAsia="zh-CN"/>
        </w:rPr>
        <w:t>0.49</w:t>
      </w:r>
      <w:r>
        <w:rPr>
          <w:rFonts w:hint="eastAsia" w:ascii="仿宋_GB2312" w:eastAsia="仿宋_GB2312"/>
          <w:sz w:val="28"/>
          <w:szCs w:val="28"/>
        </w:rPr>
        <w:t>%；</w:t>
      </w:r>
      <w:r>
        <w:rPr>
          <w:rFonts w:hint="eastAsia" w:ascii="仿宋_GB2312" w:eastAsia="仿宋_GB2312"/>
          <w:sz w:val="28"/>
          <w:szCs w:val="28"/>
          <w:lang w:eastAsia="zh-CN"/>
        </w:rPr>
        <w:t>国有资本经营预算财政拨款收入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keepNext w:val="0"/>
        <w:keepLines w:val="0"/>
        <w:pageBreakBefore w:val="0"/>
        <w:widowControl w:val="0"/>
        <w:numPr>
          <w:ilvl w:val="0"/>
          <w:numId w:val="0"/>
        </w:numPr>
        <w:tabs>
          <w:tab w:val="center" w:pos="6979"/>
        </w:tabs>
        <w:kinsoku/>
        <w:wordWrap/>
        <w:overflowPunct/>
        <w:topLinePunct w:val="0"/>
        <w:autoSpaceDE/>
        <w:autoSpaceDN/>
        <w:bidi w:val="0"/>
        <w:adjustRightInd/>
        <w:snapToGrid/>
        <w:spacing w:line="580" w:lineRule="exact"/>
        <w:ind w:firstLine="560" w:firstLineChars="200"/>
        <w:textAlignment w:val="auto"/>
        <w:rPr>
          <w:rFonts w:hint="eastAsia" w:ascii="仿宋_GB2312" w:eastAsia="仿宋_GB2312"/>
          <w:sz w:val="28"/>
          <w:szCs w:val="28"/>
        </w:rPr>
      </w:pPr>
      <w:r>
        <w:rPr>
          <w:rFonts w:hint="eastAsia" w:ascii="仿宋_GB2312" w:eastAsia="仿宋_GB2312"/>
          <w:sz w:val="28"/>
          <w:szCs w:val="28"/>
          <w:lang w:val="en-US" w:eastAsia="zh-CN"/>
        </w:rPr>
        <w:t>2.</w:t>
      </w:r>
      <w:r>
        <w:rPr>
          <w:rFonts w:hint="eastAsia" w:ascii="仿宋_GB2312" w:eastAsia="仿宋_GB2312"/>
          <w:sz w:val="28"/>
          <w:szCs w:val="28"/>
        </w:rPr>
        <w:t>上级补助收入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keepNext w:val="0"/>
        <w:keepLines w:val="0"/>
        <w:pageBreakBefore w:val="0"/>
        <w:widowControl w:val="0"/>
        <w:numPr>
          <w:ilvl w:val="0"/>
          <w:numId w:val="0"/>
        </w:numPr>
        <w:tabs>
          <w:tab w:val="center" w:pos="6979"/>
        </w:tabs>
        <w:kinsoku/>
        <w:wordWrap/>
        <w:overflowPunct/>
        <w:topLinePunct w:val="0"/>
        <w:autoSpaceDE/>
        <w:autoSpaceDN/>
        <w:bidi w:val="0"/>
        <w:adjustRightInd/>
        <w:snapToGrid/>
        <w:spacing w:line="580" w:lineRule="exact"/>
        <w:ind w:firstLine="560" w:firstLineChars="200"/>
        <w:textAlignment w:val="auto"/>
        <w:rPr>
          <w:rFonts w:hint="eastAsia" w:ascii="仿宋_GB2312" w:eastAsia="仿宋_GB2312"/>
          <w:sz w:val="28"/>
          <w:szCs w:val="28"/>
        </w:rPr>
      </w:pPr>
      <w:r>
        <w:rPr>
          <w:rFonts w:hint="eastAsia" w:ascii="仿宋_GB2312" w:eastAsia="仿宋_GB2312"/>
          <w:sz w:val="28"/>
          <w:szCs w:val="28"/>
          <w:lang w:val="en-US" w:eastAsia="zh-CN"/>
        </w:rPr>
        <w:t>3.</w:t>
      </w:r>
      <w:r>
        <w:rPr>
          <w:rFonts w:hint="eastAsia" w:ascii="仿宋_GB2312" w:eastAsia="仿宋_GB2312"/>
          <w:sz w:val="28"/>
          <w:szCs w:val="28"/>
        </w:rPr>
        <w:t>事业收入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keepNext w:val="0"/>
        <w:keepLines w:val="0"/>
        <w:pageBreakBefore w:val="0"/>
        <w:widowControl w:val="0"/>
        <w:tabs>
          <w:tab w:val="center" w:pos="6979"/>
        </w:tabs>
        <w:kinsoku/>
        <w:wordWrap/>
        <w:overflowPunct/>
        <w:topLinePunct w:val="0"/>
        <w:autoSpaceDE/>
        <w:autoSpaceDN/>
        <w:bidi w:val="0"/>
        <w:adjustRightInd/>
        <w:snapToGrid/>
        <w:spacing w:line="580" w:lineRule="exact"/>
        <w:ind w:firstLine="560" w:firstLineChars="200"/>
        <w:textAlignment w:val="auto"/>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keepNext w:val="0"/>
        <w:keepLines w:val="0"/>
        <w:pageBreakBefore w:val="0"/>
        <w:widowControl w:val="0"/>
        <w:tabs>
          <w:tab w:val="center" w:pos="6979"/>
        </w:tabs>
        <w:kinsoku/>
        <w:wordWrap/>
        <w:overflowPunct/>
        <w:topLinePunct w:val="0"/>
        <w:autoSpaceDE/>
        <w:autoSpaceDN/>
        <w:bidi w:val="0"/>
        <w:adjustRightInd/>
        <w:snapToGrid/>
        <w:spacing w:line="580" w:lineRule="exact"/>
        <w:ind w:firstLine="560" w:firstLineChars="200"/>
        <w:textAlignment w:val="auto"/>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keepNext w:val="0"/>
        <w:keepLines w:val="0"/>
        <w:pageBreakBefore w:val="0"/>
        <w:widowControl w:val="0"/>
        <w:tabs>
          <w:tab w:val="center" w:pos="6979"/>
        </w:tabs>
        <w:kinsoku/>
        <w:wordWrap/>
        <w:overflowPunct/>
        <w:topLinePunct w:val="0"/>
        <w:autoSpaceDE/>
        <w:autoSpaceDN/>
        <w:bidi w:val="0"/>
        <w:adjustRightInd/>
        <w:snapToGrid/>
        <w:spacing w:line="580" w:lineRule="exact"/>
        <w:ind w:firstLine="560" w:firstLineChars="200"/>
        <w:textAlignment w:val="auto"/>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65.12</w:t>
      </w:r>
      <w:r>
        <w:rPr>
          <w:rFonts w:hint="eastAsia" w:ascii="仿宋_GB2312" w:eastAsia="仿宋_GB2312"/>
          <w:sz w:val="28"/>
          <w:szCs w:val="28"/>
        </w:rPr>
        <w:t>万元，占收入合计的</w:t>
      </w:r>
      <w:r>
        <w:rPr>
          <w:rFonts w:hint="eastAsia" w:ascii="仿宋_GB2312" w:eastAsia="仿宋_GB2312"/>
          <w:sz w:val="28"/>
          <w:szCs w:val="28"/>
          <w:lang w:eastAsia="zh-CN"/>
        </w:rPr>
        <w:t>0.86</w:t>
      </w:r>
      <w:r>
        <w:rPr>
          <w:rFonts w:hint="eastAsia" w:ascii="仿宋_GB2312" w:eastAsia="仿宋_GB2312"/>
          <w:sz w:val="28"/>
          <w:szCs w:val="28"/>
        </w:rPr>
        <w:t>%。</w:t>
      </w:r>
    </w:p>
    <w:p>
      <w:pPr>
        <w:pStyle w:val="2"/>
        <w:ind w:firstLine="0"/>
        <w:jc w:val="center"/>
      </w:pPr>
      <w:r>
        <w:rPr>
          <w:rFonts w:hint="eastAsia" w:ascii="仿宋_GB2312" w:eastAsia="仿宋_GB2312"/>
          <w:color w:val="000000"/>
          <w:sz w:val="32"/>
          <w:szCs w:val="32"/>
          <w:highlight w:val="none"/>
          <w:lang w:val="en-US" w:eastAsia="zh-CN"/>
        </w:rPr>
        <w:t>图1：收入决算</w:t>
      </w:r>
    </w:p>
    <w:p>
      <w:pPr>
        <w:pStyle w:val="3"/>
        <w:ind w:firstLine="420"/>
        <w:jc w:val="center"/>
      </w:pPr>
      <w:r>
        <w:drawing>
          <wp:inline distT="0" distB="0" distL="0" distR="0">
            <wp:extent cx="4036695" cy="2328545"/>
            <wp:effectExtent l="4445" t="4445" r="12700" b="13970"/>
            <wp:docPr id="3" name="图表 3"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keepNext w:val="0"/>
        <w:keepLines w:val="0"/>
        <w:pageBreakBefore w:val="0"/>
        <w:widowControl w:val="0"/>
        <w:tabs>
          <w:tab w:val="center" w:pos="6979"/>
        </w:tabs>
        <w:kinsoku/>
        <w:wordWrap/>
        <w:overflowPunct/>
        <w:topLinePunct w:val="0"/>
        <w:autoSpaceDE/>
        <w:autoSpaceDN/>
        <w:bidi w:val="0"/>
        <w:adjustRightInd/>
        <w:snapToGrid/>
        <w:spacing w:line="580" w:lineRule="exact"/>
        <w:ind w:firstLine="560" w:firstLineChars="200"/>
        <w:textAlignment w:val="auto"/>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年度本年支出合计</w:t>
      </w:r>
      <w:r>
        <w:rPr>
          <w:rFonts w:ascii="仿宋_GB2312" w:eastAsia="仿宋_GB2312"/>
          <w:sz w:val="28"/>
          <w:szCs w:val="28"/>
        </w:rPr>
        <w:t>7</w:t>
      </w:r>
      <w:r>
        <w:rPr>
          <w:rFonts w:hint="eastAsia" w:ascii="仿宋_GB2312" w:eastAsia="仿宋_GB2312"/>
          <w:sz w:val="28"/>
          <w:szCs w:val="28"/>
          <w:lang w:val="en-US" w:eastAsia="zh-CN"/>
        </w:rPr>
        <w:t>,</w:t>
      </w:r>
      <w:r>
        <w:rPr>
          <w:rFonts w:ascii="仿宋_GB2312" w:eastAsia="仿宋_GB2312"/>
          <w:sz w:val="28"/>
          <w:szCs w:val="28"/>
        </w:rPr>
        <w:t>581.39</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271.91</w:t>
      </w:r>
      <w:r>
        <w:rPr>
          <w:rFonts w:hint="eastAsia" w:ascii="仿宋_GB2312" w:eastAsia="仿宋_GB2312"/>
          <w:sz w:val="28"/>
          <w:szCs w:val="28"/>
        </w:rPr>
        <w:t>万元，下降</w:t>
      </w:r>
      <w:r>
        <w:rPr>
          <w:rFonts w:hint="eastAsia" w:ascii="仿宋_GB2312" w:eastAsia="仿宋_GB2312"/>
          <w:sz w:val="28"/>
          <w:szCs w:val="28"/>
          <w:lang w:val="en-US" w:eastAsia="zh-CN"/>
        </w:rPr>
        <w:t>3.46</w:t>
      </w:r>
      <w:r>
        <w:rPr>
          <w:rFonts w:hint="eastAsia" w:ascii="仿宋_GB2312" w:eastAsia="仿宋_GB2312"/>
          <w:sz w:val="28"/>
          <w:szCs w:val="28"/>
        </w:rPr>
        <w:t>%，其中：基本支出</w:t>
      </w:r>
      <w:r>
        <w:rPr>
          <w:rFonts w:ascii="仿宋_GB2312" w:eastAsia="仿宋_GB2312"/>
          <w:sz w:val="28"/>
          <w:szCs w:val="28"/>
        </w:rPr>
        <w:t>4</w:t>
      </w:r>
      <w:r>
        <w:rPr>
          <w:rFonts w:hint="eastAsia" w:ascii="仿宋_GB2312" w:eastAsia="仿宋_GB2312"/>
          <w:sz w:val="28"/>
          <w:szCs w:val="28"/>
          <w:lang w:val="en-US" w:eastAsia="zh-CN"/>
        </w:rPr>
        <w:t>,</w:t>
      </w:r>
      <w:r>
        <w:rPr>
          <w:rFonts w:ascii="仿宋_GB2312" w:eastAsia="仿宋_GB2312"/>
          <w:sz w:val="28"/>
          <w:szCs w:val="28"/>
        </w:rPr>
        <w:t>897.09</w:t>
      </w:r>
      <w:r>
        <w:rPr>
          <w:rFonts w:hint="eastAsia" w:ascii="仿宋_GB2312" w:eastAsia="仿宋_GB2312"/>
          <w:sz w:val="28"/>
          <w:szCs w:val="28"/>
        </w:rPr>
        <w:t>万元，占支出合计的</w:t>
      </w:r>
      <w:r>
        <w:rPr>
          <w:rFonts w:hint="eastAsia" w:ascii="仿宋_GB2312" w:eastAsia="仿宋_GB2312"/>
          <w:sz w:val="28"/>
          <w:szCs w:val="28"/>
          <w:lang w:eastAsia="zh-CN"/>
        </w:rPr>
        <w:t>64.59</w:t>
      </w:r>
      <w:r>
        <w:rPr>
          <w:rFonts w:hint="eastAsia" w:ascii="仿宋_GB2312" w:eastAsia="仿宋_GB2312"/>
          <w:sz w:val="28"/>
          <w:szCs w:val="28"/>
        </w:rPr>
        <w:t>%；项目支出</w:t>
      </w:r>
      <w:r>
        <w:rPr>
          <w:rFonts w:ascii="仿宋_GB2312" w:eastAsia="仿宋_GB2312"/>
          <w:sz w:val="28"/>
          <w:szCs w:val="28"/>
        </w:rPr>
        <w:t>2</w:t>
      </w:r>
      <w:r>
        <w:rPr>
          <w:rFonts w:hint="eastAsia" w:ascii="仿宋_GB2312" w:eastAsia="仿宋_GB2312"/>
          <w:sz w:val="28"/>
          <w:szCs w:val="28"/>
          <w:lang w:val="en-US" w:eastAsia="zh-CN"/>
        </w:rPr>
        <w:t>,</w:t>
      </w:r>
      <w:r>
        <w:rPr>
          <w:rFonts w:ascii="仿宋_GB2312" w:eastAsia="仿宋_GB2312"/>
          <w:sz w:val="28"/>
          <w:szCs w:val="28"/>
        </w:rPr>
        <w:t>684.3</w:t>
      </w:r>
      <w:r>
        <w:rPr>
          <w:rFonts w:hint="eastAsia" w:ascii="仿宋_GB2312" w:eastAsia="仿宋_GB2312"/>
          <w:sz w:val="28"/>
          <w:szCs w:val="28"/>
          <w:lang w:val="en-US" w:eastAsia="zh-CN"/>
        </w:rPr>
        <w:t>0</w:t>
      </w:r>
      <w:r>
        <w:rPr>
          <w:rFonts w:hint="eastAsia" w:ascii="仿宋_GB2312" w:eastAsia="仿宋_GB2312"/>
          <w:sz w:val="28"/>
          <w:szCs w:val="28"/>
        </w:rPr>
        <w:t>万元，占支出合计的</w:t>
      </w:r>
      <w:r>
        <w:rPr>
          <w:rFonts w:hint="eastAsia" w:ascii="仿宋_GB2312" w:eastAsia="仿宋_GB2312"/>
          <w:sz w:val="28"/>
          <w:szCs w:val="28"/>
          <w:lang w:eastAsia="zh-CN"/>
        </w:rPr>
        <w:t>35.41</w:t>
      </w:r>
      <w:r>
        <w:rPr>
          <w:rFonts w:hint="eastAsia" w:ascii="仿宋_GB2312" w:eastAsia="仿宋_GB2312"/>
          <w:sz w:val="28"/>
          <w:szCs w:val="28"/>
        </w:rPr>
        <w:t>%;上缴上级支出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%；经营支出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%；对附属单位补助支出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w:t>
      </w:r>
    </w:p>
    <w:p>
      <w:pPr>
        <w:pStyle w:val="2"/>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pPr>
        <w:jc w:val="center"/>
        <w:rPr>
          <w:rFonts w:ascii="黑体" w:eastAsia="黑体"/>
          <w:b/>
          <w:sz w:val="28"/>
          <w:szCs w:val="28"/>
        </w:rPr>
      </w:pPr>
      <w:r>
        <w:drawing>
          <wp:inline distT="0" distB="0" distL="114300" distR="114300">
            <wp:extent cx="4572000" cy="2743200"/>
            <wp:effectExtent l="4445" t="4445" r="14605" b="14605"/>
            <wp:docPr id="1"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7</w:t>
      </w:r>
      <w:r>
        <w:rPr>
          <w:rFonts w:hint="eastAsia" w:ascii="仿宋_GB2312" w:eastAsia="仿宋_GB2312"/>
          <w:sz w:val="28"/>
          <w:szCs w:val="28"/>
          <w:lang w:val="en-US" w:eastAsia="zh-CN"/>
        </w:rPr>
        <w:t>,</w:t>
      </w:r>
      <w:r>
        <w:rPr>
          <w:rFonts w:ascii="仿宋_GB2312" w:eastAsia="仿宋_GB2312"/>
          <w:sz w:val="28"/>
          <w:szCs w:val="28"/>
        </w:rPr>
        <w:t>568.57</w:t>
      </w:r>
      <w:r>
        <w:rPr>
          <w:rFonts w:hint="eastAsia" w:ascii="仿宋_GB2312" w:eastAsia="仿宋_GB2312"/>
          <w:sz w:val="28"/>
          <w:szCs w:val="28"/>
        </w:rPr>
        <w:t>万元，比上年</w:t>
      </w:r>
      <w:r>
        <w:rPr>
          <w:rFonts w:ascii="仿宋_GB2312" w:eastAsia="仿宋_GB2312"/>
          <w:sz w:val="28"/>
          <w:szCs w:val="28"/>
        </w:rPr>
        <w:t>增加</w:t>
      </w:r>
      <w:r>
        <w:rPr>
          <w:rFonts w:hint="eastAsia" w:ascii="仿宋_GB2312" w:eastAsia="仿宋_GB2312"/>
          <w:sz w:val="28"/>
          <w:szCs w:val="28"/>
          <w:lang w:val="en-US" w:eastAsia="zh-CN"/>
        </w:rPr>
        <w:t>26.97</w:t>
      </w:r>
      <w:r>
        <w:rPr>
          <w:rFonts w:hint="eastAsia" w:ascii="仿宋_GB2312" w:eastAsia="仿宋_GB2312"/>
          <w:sz w:val="28"/>
          <w:szCs w:val="28"/>
        </w:rPr>
        <w:t>万元，增长</w:t>
      </w:r>
      <w:r>
        <w:rPr>
          <w:rFonts w:hint="eastAsia" w:ascii="仿宋_GB2312" w:eastAsia="仿宋_GB2312"/>
          <w:sz w:val="28"/>
          <w:szCs w:val="28"/>
          <w:lang w:val="en-US" w:eastAsia="zh-CN"/>
        </w:rPr>
        <w:t>0.36%</w:t>
      </w:r>
      <w:r>
        <w:rPr>
          <w:rFonts w:hint="eastAsia" w:ascii="仿宋_GB2312" w:eastAsia="仿宋_GB2312"/>
          <w:sz w:val="28"/>
          <w:szCs w:val="28"/>
        </w:rPr>
        <w:t>。主要原因：为满足教学实际需求</w:t>
      </w:r>
      <w:r>
        <w:rPr>
          <w:rFonts w:hint="eastAsia" w:ascii="仿宋_GB2312" w:eastAsia="仿宋_GB2312"/>
          <w:sz w:val="28"/>
          <w:szCs w:val="28"/>
          <w:lang w:eastAsia="zh-CN"/>
        </w:rPr>
        <w:t>，</w:t>
      </w:r>
      <w:r>
        <w:rPr>
          <w:rFonts w:hint="eastAsia" w:ascii="仿宋_GB2312" w:eastAsia="仿宋_GB2312"/>
          <w:sz w:val="28"/>
          <w:szCs w:val="28"/>
          <w:lang w:val="en-US" w:eastAsia="zh-CN"/>
        </w:rPr>
        <w:t>增加校区租赁经费</w:t>
      </w:r>
      <w:r>
        <w:rPr>
          <w:rFonts w:hint="eastAsia" w:ascii="仿宋_GB2312" w:eastAsia="仿宋_GB2312"/>
          <w:sz w:val="28"/>
          <w:szCs w:val="28"/>
        </w:rPr>
        <w:t>。</w:t>
      </w:r>
    </w:p>
    <w:p>
      <w:pPr>
        <w:tabs>
          <w:tab w:val="center" w:pos="6979"/>
        </w:tabs>
        <w:spacing w:line="580" w:lineRule="exact"/>
        <w:ind w:firstLine="570"/>
        <w:rPr>
          <w:rFonts w:hint="eastAsia" w:ascii="仿宋_GB2312" w:eastAsia="仿宋_GB2312"/>
          <w:sz w:val="28"/>
          <w:szCs w:val="28"/>
        </w:rPr>
      </w:pP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四、一般公共预算财政拨款支出决算情况说明</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年度一般公共预算财政拨款支出</w:t>
      </w:r>
      <w:r>
        <w:rPr>
          <w:rFonts w:ascii="仿宋_GB2312" w:eastAsia="仿宋_GB2312"/>
          <w:sz w:val="28"/>
          <w:szCs w:val="28"/>
        </w:rPr>
        <w:t>7</w:t>
      </w:r>
      <w:r>
        <w:rPr>
          <w:rFonts w:hint="eastAsia" w:ascii="仿宋_GB2312" w:eastAsia="仿宋_GB2312"/>
          <w:sz w:val="28"/>
          <w:szCs w:val="28"/>
          <w:lang w:val="en-US" w:eastAsia="zh-CN"/>
        </w:rPr>
        <w:t>,</w:t>
      </w:r>
      <w:r>
        <w:rPr>
          <w:rFonts w:ascii="仿宋_GB2312" w:eastAsia="仿宋_GB2312"/>
          <w:sz w:val="28"/>
          <w:szCs w:val="28"/>
        </w:rPr>
        <w:t>481.72</w:t>
      </w:r>
      <w:r>
        <w:rPr>
          <w:rFonts w:hint="eastAsia" w:ascii="仿宋_GB2312" w:eastAsia="仿宋_GB2312"/>
          <w:sz w:val="28"/>
          <w:szCs w:val="28"/>
        </w:rPr>
        <w:t>万元，主要用于以下方面：</w:t>
      </w:r>
      <w:r>
        <w:rPr>
          <w:rFonts w:hint="eastAsia" w:ascii="仿宋_GB2312" w:eastAsia="仿宋_GB2312"/>
          <w:sz w:val="28"/>
          <w:szCs w:val="28"/>
          <w:lang w:val="en-US" w:eastAsia="zh-CN"/>
        </w:rPr>
        <w:t>教育支出2.80万元，占本年财政拨款支</w:t>
      </w:r>
      <w:r>
        <w:rPr>
          <w:rFonts w:hint="eastAsia" w:ascii="仿宋_GB2312" w:eastAsia="仿宋_GB2312"/>
          <w:sz w:val="28"/>
          <w:szCs w:val="28"/>
          <w:highlight w:val="none"/>
          <w:lang w:val="en-US" w:eastAsia="zh-CN"/>
        </w:rPr>
        <w:t>出0.04%；</w:t>
      </w:r>
      <w:r>
        <w:rPr>
          <w:rFonts w:hint="eastAsia" w:ascii="仿宋_GB2312" w:eastAsia="仿宋_GB2312"/>
          <w:sz w:val="28"/>
          <w:szCs w:val="28"/>
        </w:rPr>
        <w:t>文化旅游体育与传媒支出</w:t>
      </w:r>
      <w:r>
        <w:rPr>
          <w:rFonts w:hint="eastAsia" w:ascii="仿宋_GB2312" w:eastAsia="仿宋_GB2312"/>
          <w:sz w:val="28"/>
          <w:szCs w:val="28"/>
          <w:lang w:val="en-US" w:eastAsia="zh-CN"/>
        </w:rPr>
        <w:t>7,407.15</w:t>
      </w:r>
      <w:r>
        <w:rPr>
          <w:rFonts w:hint="eastAsia" w:ascii="仿宋_GB2312" w:eastAsia="仿宋_GB2312"/>
          <w:sz w:val="28"/>
          <w:szCs w:val="28"/>
        </w:rPr>
        <w:t>万元，</w:t>
      </w:r>
      <w:bookmarkStart w:id="0" w:name="OLE_LINK1"/>
      <w:r>
        <w:rPr>
          <w:rFonts w:hint="eastAsia" w:ascii="仿宋_GB2312" w:eastAsia="仿宋_GB2312"/>
          <w:sz w:val="28"/>
          <w:szCs w:val="28"/>
        </w:rPr>
        <w:t>占本年财政拨款支出</w:t>
      </w:r>
      <w:r>
        <w:rPr>
          <w:rFonts w:hint="eastAsia" w:ascii="仿宋_GB2312" w:eastAsia="仿宋_GB2312"/>
          <w:color w:val="auto"/>
          <w:sz w:val="28"/>
          <w:szCs w:val="28"/>
          <w:highlight w:val="none"/>
          <w:lang w:val="en-US" w:eastAsia="zh-CN"/>
        </w:rPr>
        <w:t>98.55</w:t>
      </w:r>
      <w:r>
        <w:rPr>
          <w:rFonts w:hint="eastAsia" w:ascii="仿宋_GB2312" w:eastAsia="仿宋_GB2312"/>
          <w:color w:val="auto"/>
          <w:sz w:val="28"/>
          <w:szCs w:val="28"/>
          <w:highlight w:val="none"/>
        </w:rPr>
        <w:t>%</w:t>
      </w:r>
      <w:bookmarkEnd w:id="0"/>
      <w:r>
        <w:rPr>
          <w:rFonts w:hint="eastAsia" w:ascii="仿宋_GB2312" w:eastAsia="仿宋_GB2312"/>
          <w:sz w:val="28"/>
          <w:szCs w:val="28"/>
        </w:rPr>
        <w:t>；社会保障和就业支出</w:t>
      </w:r>
      <w:r>
        <w:rPr>
          <w:rFonts w:hint="eastAsia" w:ascii="仿宋_GB2312" w:eastAsia="仿宋_GB2312"/>
          <w:sz w:val="28"/>
          <w:szCs w:val="28"/>
          <w:lang w:val="en-US" w:eastAsia="zh-CN"/>
        </w:rPr>
        <w:t>71.77万元，占本年财政拨款支出</w:t>
      </w:r>
      <w:r>
        <w:rPr>
          <w:rFonts w:hint="eastAsia" w:ascii="仿宋_GB2312" w:eastAsia="仿宋_GB2312"/>
          <w:sz w:val="28"/>
          <w:szCs w:val="28"/>
          <w:highlight w:val="none"/>
          <w:lang w:val="en-US" w:eastAsia="zh-CN"/>
        </w:rPr>
        <w:t>0.95%</w:t>
      </w:r>
      <w:r>
        <w:rPr>
          <w:rFonts w:hint="eastAsia" w:ascii="仿宋_GB2312" w:eastAsia="仿宋_GB2312"/>
          <w:sz w:val="28"/>
          <w:szCs w:val="28"/>
          <w:highlight w:val="none"/>
        </w:rPr>
        <w:t>。</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（二）一般公共预算财政拨款支出决算具体情况</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1、“教育支出”202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2.80</w:t>
      </w:r>
      <w:r>
        <w:rPr>
          <w:rFonts w:hint="eastAsia" w:ascii="仿宋_GB2312" w:eastAsia="仿宋_GB2312"/>
          <w:sz w:val="28"/>
          <w:szCs w:val="28"/>
        </w:rPr>
        <w:t>万元</w:t>
      </w:r>
      <w:r>
        <w:rPr>
          <w:rFonts w:hint="eastAsia" w:ascii="仿宋_GB2312" w:eastAsia="仿宋_GB2312"/>
          <w:sz w:val="28"/>
          <w:szCs w:val="28"/>
          <w:lang w:eastAsia="zh-CN"/>
        </w:rPr>
        <w:t>，</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2.80</w:t>
      </w:r>
      <w:r>
        <w:rPr>
          <w:rFonts w:hint="eastAsia" w:ascii="仿宋_GB2312" w:eastAsia="仿宋_GB2312"/>
          <w:sz w:val="28"/>
          <w:szCs w:val="28"/>
        </w:rPr>
        <w:t>万元，</w:t>
      </w:r>
      <w:bookmarkStart w:id="1" w:name="OLE_LINK6"/>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100</w:t>
      </w:r>
      <w:r>
        <w:rPr>
          <w:rFonts w:hint="eastAsia" w:ascii="仿宋_GB2312" w:eastAsia="仿宋_GB2312"/>
          <w:sz w:val="28"/>
          <w:szCs w:val="28"/>
        </w:rPr>
        <w:t>%</w:t>
      </w:r>
      <w:r>
        <w:rPr>
          <w:rFonts w:hint="eastAsia" w:ascii="仿宋_GB2312" w:eastAsia="仿宋_GB2312"/>
          <w:sz w:val="28"/>
          <w:szCs w:val="28"/>
          <w:lang w:eastAsia="zh-CN"/>
        </w:rPr>
        <w:t>。</w:t>
      </w:r>
      <w:bookmarkEnd w:id="1"/>
      <w:r>
        <w:rPr>
          <w:rFonts w:hint="eastAsia" w:ascii="仿宋_GB2312" w:eastAsia="仿宋_GB2312"/>
          <w:sz w:val="28"/>
          <w:szCs w:val="28"/>
        </w:rPr>
        <w:t>其中：</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“进修及培训”202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2.80</w:t>
      </w:r>
      <w:r>
        <w:rPr>
          <w:rFonts w:hint="eastAsia" w:ascii="仿宋_GB2312" w:eastAsia="仿宋_GB2312"/>
          <w:sz w:val="28"/>
          <w:szCs w:val="28"/>
        </w:rPr>
        <w:t>万元</w:t>
      </w:r>
      <w:r>
        <w:rPr>
          <w:rFonts w:hint="eastAsia" w:ascii="仿宋_GB2312" w:eastAsia="仿宋_GB2312"/>
          <w:sz w:val="28"/>
          <w:szCs w:val="28"/>
          <w:lang w:eastAsia="zh-CN"/>
        </w:rPr>
        <w:t>，</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2.80</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100</w:t>
      </w:r>
      <w:r>
        <w:rPr>
          <w:rFonts w:hint="eastAsia" w:ascii="仿宋_GB2312" w:eastAsia="仿宋_GB2312"/>
          <w:sz w:val="28"/>
          <w:szCs w:val="28"/>
        </w:rPr>
        <w:t>%</w:t>
      </w:r>
      <w:r>
        <w:rPr>
          <w:rFonts w:hint="eastAsia" w:ascii="仿宋_GB2312" w:eastAsia="仿宋_GB2312"/>
          <w:sz w:val="28"/>
          <w:szCs w:val="28"/>
          <w:lang w:eastAsia="zh-CN"/>
        </w:rPr>
        <w:t>。</w:t>
      </w:r>
      <w:r>
        <w:rPr>
          <w:rFonts w:hint="eastAsia" w:ascii="仿宋_GB2312" w:eastAsia="仿宋_GB2312"/>
          <w:sz w:val="28"/>
          <w:szCs w:val="28"/>
        </w:rPr>
        <w:t>与年初预算</w:t>
      </w:r>
      <w:r>
        <w:rPr>
          <w:rFonts w:hint="eastAsia" w:ascii="仿宋_GB2312" w:eastAsia="仿宋_GB2312"/>
          <w:sz w:val="28"/>
          <w:szCs w:val="28"/>
          <w:lang w:val="en-US" w:eastAsia="zh-CN"/>
        </w:rPr>
        <w:t>数</w:t>
      </w:r>
      <w:r>
        <w:rPr>
          <w:rFonts w:hint="eastAsia" w:ascii="仿宋_GB2312" w:eastAsia="仿宋_GB2312"/>
          <w:sz w:val="28"/>
          <w:szCs w:val="28"/>
        </w:rPr>
        <w:t>持平。</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2、“文化旅游体育与传媒支出”202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7,483.45</w:t>
      </w:r>
      <w:r>
        <w:rPr>
          <w:rFonts w:hint="eastAsia" w:ascii="仿宋_GB2312" w:eastAsia="仿宋_GB2312"/>
          <w:sz w:val="28"/>
          <w:szCs w:val="28"/>
        </w:rPr>
        <w:t>万元</w:t>
      </w:r>
      <w:r>
        <w:rPr>
          <w:rFonts w:hint="eastAsia" w:ascii="仿宋_GB2312" w:eastAsia="仿宋_GB2312"/>
          <w:sz w:val="28"/>
          <w:szCs w:val="28"/>
          <w:lang w:eastAsia="zh-CN"/>
        </w:rPr>
        <w:t>，</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年度决算</w:t>
      </w:r>
      <w:bookmarkStart w:id="2" w:name="OLE_LINK3"/>
      <w:r>
        <w:rPr>
          <w:rFonts w:hint="eastAsia" w:ascii="仿宋_GB2312" w:eastAsia="仿宋_GB2312"/>
          <w:sz w:val="28"/>
          <w:szCs w:val="28"/>
        </w:rPr>
        <w:t>7</w:t>
      </w:r>
      <w:r>
        <w:rPr>
          <w:rFonts w:hint="eastAsia" w:ascii="仿宋_GB2312" w:eastAsia="仿宋_GB2312"/>
          <w:sz w:val="28"/>
          <w:szCs w:val="28"/>
          <w:lang w:val="en-US" w:eastAsia="zh-CN"/>
        </w:rPr>
        <w:t>,</w:t>
      </w:r>
      <w:r>
        <w:rPr>
          <w:rFonts w:hint="eastAsia" w:ascii="仿宋_GB2312" w:eastAsia="仿宋_GB2312"/>
          <w:sz w:val="28"/>
          <w:szCs w:val="28"/>
        </w:rPr>
        <w:t>407.15</w:t>
      </w:r>
      <w:bookmarkEnd w:id="2"/>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98.98</w:t>
      </w:r>
      <w:r>
        <w:rPr>
          <w:rFonts w:hint="eastAsia" w:ascii="仿宋_GB2312" w:eastAsia="仿宋_GB2312"/>
          <w:sz w:val="28"/>
          <w:szCs w:val="28"/>
        </w:rPr>
        <w:t>%。其中：</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color w:val="auto"/>
          <w:sz w:val="28"/>
          <w:szCs w:val="28"/>
        </w:rPr>
        <w:t>“体育”</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7,483.45万元，</w:t>
      </w:r>
      <w:r>
        <w:rPr>
          <w:rFonts w:hint="eastAsia" w:ascii="仿宋_GB2312" w:eastAsia="仿宋_GB2312"/>
          <w:color w:val="auto"/>
          <w:sz w:val="28"/>
          <w:szCs w:val="28"/>
        </w:rPr>
        <w:t>202</w:t>
      </w:r>
      <w:r>
        <w:rPr>
          <w:rFonts w:hint="eastAsia" w:ascii="仿宋_GB2312" w:eastAsia="仿宋_GB2312"/>
          <w:color w:val="auto"/>
          <w:sz w:val="28"/>
          <w:szCs w:val="28"/>
          <w:lang w:val="en-US" w:eastAsia="zh-CN"/>
        </w:rPr>
        <w:t>4</w:t>
      </w:r>
      <w:r>
        <w:rPr>
          <w:rFonts w:hint="eastAsia" w:ascii="仿宋_GB2312" w:eastAsia="仿宋_GB2312"/>
          <w:color w:val="auto"/>
          <w:sz w:val="28"/>
          <w:szCs w:val="28"/>
        </w:rPr>
        <w:t>年度决算7</w:t>
      </w:r>
      <w:r>
        <w:rPr>
          <w:rFonts w:hint="eastAsia" w:ascii="仿宋_GB2312" w:eastAsia="仿宋_GB2312"/>
          <w:color w:val="auto"/>
          <w:sz w:val="28"/>
          <w:szCs w:val="28"/>
          <w:lang w:val="en-US" w:eastAsia="zh-CN"/>
        </w:rPr>
        <w:t>,</w:t>
      </w:r>
      <w:r>
        <w:rPr>
          <w:rFonts w:hint="eastAsia" w:ascii="仿宋_GB2312" w:eastAsia="仿宋_GB2312"/>
          <w:color w:val="auto"/>
          <w:sz w:val="28"/>
          <w:szCs w:val="28"/>
        </w:rPr>
        <w:t>407.15万元，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98.98</w:t>
      </w:r>
      <w:r>
        <w:rPr>
          <w:rFonts w:hint="eastAsia" w:ascii="仿宋_GB2312" w:eastAsia="仿宋_GB2312"/>
          <w:sz w:val="28"/>
          <w:szCs w:val="28"/>
        </w:rPr>
        <w:t>%。与年初预算</w:t>
      </w:r>
      <w:r>
        <w:rPr>
          <w:rFonts w:hint="eastAsia" w:ascii="仿宋_GB2312" w:eastAsia="仿宋_GB2312"/>
          <w:sz w:val="28"/>
          <w:szCs w:val="28"/>
          <w:lang w:val="en-US" w:eastAsia="zh-CN"/>
        </w:rPr>
        <w:t>数基本</w:t>
      </w:r>
      <w:r>
        <w:rPr>
          <w:rFonts w:hint="eastAsia" w:ascii="仿宋_GB2312" w:eastAsia="仿宋_GB2312"/>
          <w:sz w:val="28"/>
          <w:szCs w:val="28"/>
        </w:rPr>
        <w:t>持平。</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lang w:val="en-US" w:eastAsia="zh-CN"/>
        </w:rPr>
        <w:t>3、</w:t>
      </w:r>
      <w:r>
        <w:rPr>
          <w:rFonts w:hint="eastAsia" w:ascii="仿宋_GB2312" w:eastAsia="仿宋_GB2312"/>
          <w:sz w:val="28"/>
          <w:szCs w:val="28"/>
        </w:rPr>
        <w:t>“社会保障和就业支出”</w:t>
      </w:r>
      <w:r>
        <w:rPr>
          <w:rFonts w:hint="eastAsia" w:ascii="仿宋_GB2312" w:eastAsia="仿宋_GB2312"/>
          <w:sz w:val="28"/>
          <w:szCs w:val="28"/>
          <w:lang w:val="en-US" w:eastAsia="zh-CN"/>
        </w:rPr>
        <w:t>2024年度年初预算71.77万元，</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71.77</w:t>
      </w:r>
      <w:r>
        <w:rPr>
          <w:rFonts w:hint="eastAsia" w:ascii="仿宋_GB2312" w:eastAsia="仿宋_GB2312"/>
          <w:sz w:val="28"/>
          <w:szCs w:val="28"/>
        </w:rPr>
        <w:t>万元，</w:t>
      </w:r>
      <w:bookmarkStart w:id="3" w:name="OLE_LINK5"/>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100</w:t>
      </w:r>
      <w:r>
        <w:rPr>
          <w:rFonts w:hint="eastAsia" w:ascii="仿宋_GB2312" w:eastAsia="仿宋_GB2312"/>
          <w:sz w:val="28"/>
          <w:szCs w:val="28"/>
        </w:rPr>
        <w:t>%。</w:t>
      </w:r>
      <w:bookmarkEnd w:id="3"/>
      <w:r>
        <w:rPr>
          <w:rFonts w:hint="eastAsia" w:ascii="仿宋_GB2312" w:eastAsia="仿宋_GB2312"/>
          <w:sz w:val="28"/>
          <w:szCs w:val="28"/>
        </w:rPr>
        <w:t>其中：</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“行政事业单位养老支出”</w:t>
      </w:r>
      <w:r>
        <w:rPr>
          <w:rFonts w:hint="eastAsia" w:ascii="仿宋_GB2312" w:eastAsia="仿宋_GB2312"/>
          <w:sz w:val="28"/>
          <w:szCs w:val="28"/>
          <w:lang w:val="en-US" w:eastAsia="zh-CN"/>
        </w:rPr>
        <w:t>2024年度年初预算71.77万元，</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71.77</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100</w:t>
      </w:r>
      <w:r>
        <w:rPr>
          <w:rFonts w:hint="eastAsia" w:ascii="仿宋_GB2312" w:eastAsia="仿宋_GB2312"/>
          <w:sz w:val="28"/>
          <w:szCs w:val="28"/>
        </w:rPr>
        <w:t>%</w:t>
      </w:r>
      <w:r>
        <w:rPr>
          <w:rFonts w:hint="eastAsia" w:ascii="仿宋_GB2312" w:eastAsia="仿宋_GB2312"/>
          <w:sz w:val="28"/>
          <w:szCs w:val="28"/>
          <w:lang w:eastAsia="zh-CN"/>
        </w:rPr>
        <w:t>。</w:t>
      </w:r>
      <w:r>
        <w:rPr>
          <w:rFonts w:hint="eastAsia" w:ascii="仿宋_GB2312" w:eastAsia="仿宋_GB2312"/>
          <w:sz w:val="28"/>
          <w:szCs w:val="28"/>
        </w:rPr>
        <w:t>与年初</w:t>
      </w:r>
      <w:r>
        <w:rPr>
          <w:rFonts w:hint="eastAsia" w:ascii="仿宋_GB2312" w:eastAsia="仿宋_GB2312"/>
          <w:sz w:val="28"/>
          <w:szCs w:val="28"/>
          <w:lang w:val="en-US" w:eastAsia="zh-CN"/>
        </w:rPr>
        <w:t>预算数</w:t>
      </w:r>
      <w:r>
        <w:rPr>
          <w:rFonts w:hint="eastAsia" w:ascii="仿宋_GB2312" w:eastAsia="仿宋_GB2312"/>
          <w:sz w:val="28"/>
          <w:szCs w:val="28"/>
        </w:rPr>
        <w:t>持平。</w:t>
      </w:r>
    </w:p>
    <w:p>
      <w:pPr>
        <w:spacing w:line="580" w:lineRule="exact"/>
        <w:ind w:firstLine="560" w:firstLineChars="200"/>
        <w:rPr>
          <w:rFonts w:hint="eastAsia" w:ascii="仿宋_GB2312" w:eastAsia="仿宋_GB2312"/>
          <w:sz w:val="28"/>
          <w:szCs w:val="28"/>
        </w:rPr>
      </w:pPr>
      <w:r>
        <w:rPr>
          <w:rFonts w:hint="eastAsia" w:ascii="黑体" w:eastAsia="黑体"/>
          <w:b/>
          <w:sz w:val="28"/>
          <w:szCs w:val="28"/>
        </w:rPr>
        <w:t>五、政府性基金预算财政拨款支出决算情况说明</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（一）政府性基金预算财政拨款支出决算总体情况</w:t>
      </w:r>
    </w:p>
    <w:p>
      <w:pPr>
        <w:tabs>
          <w:tab w:val="center" w:pos="6979"/>
        </w:tabs>
        <w:spacing w:line="580" w:lineRule="exact"/>
        <w:ind w:firstLine="560" w:firstLineChars="200"/>
        <w:rPr>
          <w:rFonts w:ascii="仿宋_GB2312" w:eastAsia="仿宋_GB2312"/>
          <w:sz w:val="28"/>
          <w:szCs w:val="28"/>
          <w:highlight w:val="none"/>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年度政府性基金预算财政拨款支出</w:t>
      </w:r>
      <w:r>
        <w:rPr>
          <w:rFonts w:ascii="仿宋_GB2312" w:eastAsia="仿宋_GB2312"/>
          <w:sz w:val="28"/>
          <w:szCs w:val="28"/>
        </w:rPr>
        <w:t>34.55</w:t>
      </w:r>
      <w:r>
        <w:rPr>
          <w:rFonts w:hint="eastAsia" w:ascii="仿宋_GB2312" w:eastAsia="仿宋_GB2312"/>
          <w:sz w:val="28"/>
          <w:szCs w:val="28"/>
        </w:rPr>
        <w:t>万元，主要用于以下方面：其他支出</w:t>
      </w:r>
      <w:r>
        <w:rPr>
          <w:rFonts w:hint="eastAsia" w:ascii="仿宋_GB2312" w:eastAsia="仿宋_GB2312"/>
          <w:sz w:val="28"/>
          <w:szCs w:val="28"/>
          <w:lang w:val="en-US" w:eastAsia="zh-CN"/>
        </w:rPr>
        <w:t>34.55</w:t>
      </w:r>
      <w:r>
        <w:rPr>
          <w:rFonts w:hint="eastAsia" w:ascii="仿宋_GB2312" w:eastAsia="仿宋_GB2312"/>
          <w:sz w:val="28"/>
          <w:szCs w:val="28"/>
        </w:rPr>
        <w:t>万元，占本年财政拨款支出</w:t>
      </w:r>
      <w:r>
        <w:rPr>
          <w:rFonts w:hint="eastAsia" w:ascii="仿宋_GB2312" w:eastAsia="仿宋_GB2312"/>
          <w:sz w:val="28"/>
          <w:szCs w:val="28"/>
          <w:highlight w:val="none"/>
          <w:lang w:val="en-US" w:eastAsia="zh-CN"/>
        </w:rPr>
        <w:t>0.46</w:t>
      </w:r>
      <w:r>
        <w:rPr>
          <w:rFonts w:hint="eastAsia" w:ascii="仿宋_GB2312" w:eastAsia="仿宋_GB2312"/>
          <w:sz w:val="28"/>
          <w:szCs w:val="28"/>
          <w:highlight w:val="none"/>
        </w:rPr>
        <w:t>%。</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（二）政府性基金预算财政拨款支出决算具体情况</w:t>
      </w:r>
    </w:p>
    <w:p>
      <w:pPr>
        <w:autoSpaceDE w:val="0"/>
        <w:autoSpaceDN w:val="0"/>
        <w:adjustRightInd w:val="0"/>
        <w:spacing w:line="580" w:lineRule="exact"/>
        <w:ind w:firstLine="700" w:firstLineChars="250"/>
        <w:jc w:val="left"/>
        <w:rPr>
          <w:rFonts w:ascii="仿宋_GB2312" w:eastAsia="仿宋_GB2312"/>
          <w:sz w:val="28"/>
          <w:szCs w:val="28"/>
        </w:rPr>
      </w:pPr>
      <w:r>
        <w:rPr>
          <w:rFonts w:hint="eastAsia" w:ascii="仿宋_GB2312" w:eastAsia="仿宋_GB2312"/>
          <w:sz w:val="28"/>
          <w:szCs w:val="28"/>
        </w:rPr>
        <w:t>1、“</w:t>
      </w:r>
      <w:r>
        <w:rPr>
          <w:rFonts w:hint="eastAsia" w:ascii="仿宋_GB2312" w:eastAsia="仿宋_GB2312"/>
          <w:sz w:val="28"/>
          <w:szCs w:val="28"/>
          <w:lang w:val="en-US" w:eastAsia="zh-CN"/>
        </w:rPr>
        <w:t>其他支出</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0</w:t>
      </w:r>
      <w:r>
        <w:rPr>
          <w:rFonts w:hint="eastAsia" w:ascii="仿宋_GB2312" w:eastAsia="仿宋_GB2312"/>
          <w:sz w:val="28"/>
          <w:szCs w:val="28"/>
        </w:rPr>
        <w:t>万元</w:t>
      </w:r>
      <w:r>
        <w:rPr>
          <w:rFonts w:hint="eastAsia" w:ascii="仿宋_GB2312" w:eastAsia="仿宋_GB2312"/>
          <w:sz w:val="28"/>
          <w:szCs w:val="28"/>
          <w:lang w:eastAsia="zh-CN"/>
        </w:rPr>
        <w:t>，2024</w:t>
      </w:r>
      <w:r>
        <w:rPr>
          <w:rFonts w:hint="eastAsia" w:ascii="仿宋_GB2312" w:eastAsia="仿宋_GB2312"/>
          <w:sz w:val="28"/>
          <w:szCs w:val="28"/>
        </w:rPr>
        <w:t>年度决算</w:t>
      </w:r>
      <w:r>
        <w:rPr>
          <w:rFonts w:hint="eastAsia" w:ascii="仿宋_GB2312" w:eastAsia="仿宋_GB2312"/>
          <w:sz w:val="28"/>
          <w:szCs w:val="28"/>
          <w:lang w:val="en-US" w:eastAsia="zh-CN"/>
        </w:rPr>
        <w:t>34.55</w:t>
      </w:r>
      <w:r>
        <w:rPr>
          <w:rFonts w:hint="eastAsia" w:ascii="仿宋_GB2312" w:eastAsia="仿宋_GB2312"/>
          <w:sz w:val="28"/>
          <w:szCs w:val="28"/>
        </w:rPr>
        <w:t>万元。其中：</w:t>
      </w:r>
    </w:p>
    <w:p>
      <w:pPr>
        <w:spacing w:line="580" w:lineRule="exact"/>
        <w:ind w:firstLine="560" w:firstLineChars="200"/>
        <w:rPr>
          <w:rFonts w:ascii="仿宋_GB2312" w:eastAsia="仿宋_GB2312"/>
          <w:sz w:val="28"/>
          <w:szCs w:val="28"/>
        </w:rPr>
      </w:pPr>
      <w:r>
        <w:rPr>
          <w:rFonts w:hint="eastAsia" w:ascii="仿宋_GB2312" w:eastAsia="仿宋_GB2312"/>
          <w:sz w:val="28"/>
          <w:szCs w:val="28"/>
          <w:lang w:eastAsia="zh-CN"/>
        </w:rPr>
        <w:t>“</w:t>
      </w:r>
      <w:r>
        <w:rPr>
          <w:rFonts w:hint="eastAsia" w:ascii="仿宋_GB2312" w:eastAsia="仿宋_GB2312"/>
          <w:sz w:val="28"/>
          <w:szCs w:val="28"/>
        </w:rPr>
        <w:t>彩票公益金安排</w:t>
      </w:r>
      <w:bookmarkStart w:id="4" w:name="_GoBack"/>
      <w:bookmarkEnd w:id="4"/>
      <w:r>
        <w:rPr>
          <w:rFonts w:hint="eastAsia" w:ascii="仿宋_GB2312" w:eastAsia="仿宋_GB2312"/>
          <w:sz w:val="28"/>
          <w:szCs w:val="28"/>
        </w:rPr>
        <w:t>的支出”202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0</w:t>
      </w:r>
      <w:r>
        <w:rPr>
          <w:rFonts w:hint="eastAsia" w:ascii="仿宋_GB2312" w:eastAsia="仿宋_GB2312"/>
          <w:sz w:val="28"/>
          <w:szCs w:val="28"/>
        </w:rPr>
        <w:t>万元</w:t>
      </w:r>
      <w:r>
        <w:rPr>
          <w:rFonts w:hint="eastAsia" w:ascii="仿宋_GB2312" w:eastAsia="仿宋_GB2312"/>
          <w:sz w:val="28"/>
          <w:szCs w:val="28"/>
          <w:lang w:eastAsia="zh-CN"/>
        </w:rPr>
        <w:t>，2024</w:t>
      </w:r>
      <w:r>
        <w:rPr>
          <w:rFonts w:hint="eastAsia" w:ascii="仿宋_GB2312" w:eastAsia="仿宋_GB2312"/>
          <w:sz w:val="28"/>
          <w:szCs w:val="28"/>
        </w:rPr>
        <w:t>年度决算</w:t>
      </w:r>
      <w:r>
        <w:rPr>
          <w:rFonts w:hint="eastAsia" w:ascii="仿宋_GB2312" w:eastAsia="仿宋_GB2312"/>
          <w:sz w:val="28"/>
          <w:szCs w:val="28"/>
          <w:lang w:val="en-US" w:eastAsia="zh-CN"/>
        </w:rPr>
        <w:t>34.55</w:t>
      </w:r>
      <w:r>
        <w:rPr>
          <w:rFonts w:hint="eastAsia" w:ascii="仿宋_GB2312" w:eastAsia="仿宋_GB2312"/>
          <w:sz w:val="28"/>
          <w:szCs w:val="28"/>
        </w:rPr>
        <w:t>万元。主要原因：支持青少年体育事业发展，增加了青少年赛事</w:t>
      </w:r>
      <w:r>
        <w:rPr>
          <w:rFonts w:hint="eastAsia" w:ascii="仿宋_GB2312" w:eastAsia="仿宋_GB2312"/>
          <w:sz w:val="28"/>
          <w:szCs w:val="28"/>
          <w:lang w:val="en-US" w:eastAsia="zh-CN"/>
        </w:rPr>
        <w:t>参赛</w:t>
      </w:r>
      <w:r>
        <w:rPr>
          <w:rFonts w:hint="eastAsia" w:ascii="仿宋_GB2312" w:eastAsia="仿宋_GB2312"/>
          <w:sz w:val="28"/>
          <w:szCs w:val="28"/>
        </w:rPr>
        <w:t>经费。</w:t>
      </w:r>
    </w:p>
    <w:p>
      <w:pPr>
        <w:spacing w:line="580" w:lineRule="exact"/>
        <w:ind w:firstLine="560" w:firstLineChars="200"/>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pPr>
        <w:ind w:firstLine="537" w:firstLineChars="192"/>
        <w:rPr>
          <w:rFonts w:ascii="仿宋_GB2312" w:eastAsia="仿宋_GB2312"/>
          <w:sz w:val="28"/>
          <w:szCs w:val="28"/>
        </w:rPr>
      </w:pPr>
      <w:r>
        <w:rPr>
          <w:rFonts w:hint="eastAsia" w:ascii="仿宋_GB2312" w:eastAsia="仿宋_GB2312"/>
          <w:sz w:val="28"/>
          <w:szCs w:val="28"/>
          <w:lang w:val="en-US" w:eastAsia="zh-CN"/>
        </w:rPr>
        <w:t>本单位无此项经费</w:t>
      </w:r>
      <w:r>
        <w:rPr>
          <w:rFonts w:hint="eastAsia" w:ascii="仿宋_GB2312" w:eastAsia="仿宋_GB2312"/>
          <w:sz w:val="28"/>
          <w:szCs w:val="28"/>
        </w:rPr>
        <w:t>。</w:t>
      </w:r>
    </w:p>
    <w:p>
      <w:pPr>
        <w:spacing w:line="580" w:lineRule="exact"/>
        <w:ind w:firstLine="548" w:firstLineChars="196"/>
        <w:rPr>
          <w:rFonts w:hint="eastAsia" w:ascii="黑体" w:eastAsia="黑体"/>
          <w:sz w:val="28"/>
          <w:szCs w:val="28"/>
        </w:rPr>
      </w:pPr>
      <w:r>
        <w:rPr>
          <w:rFonts w:hint="eastAsia" w:ascii="黑体" w:eastAsia="黑体"/>
          <w:b/>
          <w:sz w:val="28"/>
          <w:szCs w:val="28"/>
        </w:rPr>
        <w:t>七、财政拨款基本支出决算情况说明</w:t>
      </w:r>
    </w:p>
    <w:p>
      <w:pPr>
        <w:tabs>
          <w:tab w:val="center" w:pos="6979"/>
        </w:tabs>
        <w:spacing w:line="580" w:lineRule="exact"/>
        <w:ind w:firstLine="548" w:firstLineChars="196"/>
        <w:rPr>
          <w:rFonts w:hint="eastAsia" w:ascii="黑体" w:eastAsia="黑体"/>
          <w:b/>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年度使用一般公共预算财政拨款安排基本支出</w:t>
      </w:r>
      <w:r>
        <w:rPr>
          <w:rFonts w:ascii="仿宋_GB2312" w:eastAsia="仿宋_GB2312"/>
          <w:sz w:val="28"/>
          <w:szCs w:val="28"/>
        </w:rPr>
        <w:t>4</w:t>
      </w:r>
      <w:r>
        <w:rPr>
          <w:rFonts w:hint="eastAsia" w:ascii="仿宋_GB2312" w:eastAsia="仿宋_GB2312"/>
          <w:sz w:val="28"/>
          <w:szCs w:val="28"/>
          <w:lang w:val="en-US" w:eastAsia="zh-CN"/>
        </w:rPr>
        <w:t>,</w:t>
      </w:r>
      <w:r>
        <w:rPr>
          <w:rFonts w:ascii="仿宋_GB2312" w:eastAsia="仿宋_GB2312"/>
          <w:sz w:val="28"/>
          <w:szCs w:val="28"/>
        </w:rPr>
        <w:t>842.83</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pPr>
        <w:autoSpaceDE w:val="0"/>
        <w:autoSpaceDN w:val="0"/>
        <w:adjustRightInd w:val="0"/>
        <w:spacing w:line="580" w:lineRule="exact"/>
        <w:jc w:val="both"/>
        <w:rPr>
          <w:rFonts w:hint="eastAsia" w:ascii="宋体" w:hAnsi="宋体"/>
          <w:b/>
          <w:spacing w:val="40"/>
          <w:sz w:val="32"/>
          <w:szCs w:val="32"/>
        </w:rPr>
      </w:pPr>
      <w:r>
        <w:rPr>
          <w:rFonts w:ascii="仿宋_GB2312" w:eastAsia="仿宋_GB2312"/>
          <w:b/>
          <w:sz w:val="32"/>
          <w:szCs w:val="32"/>
        </w:rPr>
        <w:tab/>
      </w:r>
    </w:p>
    <w:p>
      <w:pPr>
        <w:tabs>
          <w:tab w:val="center" w:pos="6979"/>
        </w:tabs>
        <w:jc w:val="center"/>
        <w:rPr>
          <w:rFonts w:hint="eastAsia"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pPr>
        <w:spacing w:line="560" w:lineRule="exact"/>
        <w:ind w:firstLine="560" w:firstLineChars="200"/>
        <w:rPr>
          <w:rFonts w:hint="eastAsia" w:ascii="黑体" w:eastAsia="黑体"/>
          <w:sz w:val="28"/>
          <w:szCs w:val="28"/>
        </w:rPr>
      </w:pPr>
      <w:r>
        <w:rPr>
          <w:rFonts w:hint="eastAsia" w:ascii="黑体" w:eastAsia="黑体"/>
          <w:sz w:val="28"/>
          <w:szCs w:val="28"/>
        </w:rPr>
        <w:t>一、“三公”经费财政拨款决算情况</w:t>
      </w:r>
    </w:p>
    <w:p>
      <w:pPr>
        <w:spacing w:line="560" w:lineRule="exact"/>
        <w:ind w:firstLine="600"/>
        <w:rPr>
          <w:rFonts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年度“三公”经费财政拨款决算数</w:t>
      </w:r>
      <w:r>
        <w:rPr>
          <w:rFonts w:ascii="仿宋_GB2312" w:eastAsia="仿宋_GB2312"/>
          <w:sz w:val="28"/>
          <w:szCs w:val="28"/>
        </w:rPr>
        <w:t>37.3</w:t>
      </w:r>
      <w:r>
        <w:rPr>
          <w:rFonts w:hint="eastAsia" w:ascii="仿宋_GB2312" w:eastAsia="仿宋_GB2312"/>
          <w:sz w:val="28"/>
          <w:szCs w:val="28"/>
          <w:lang w:val="en-US" w:eastAsia="zh-CN"/>
        </w:rPr>
        <w:t>0</w:t>
      </w:r>
      <w:r>
        <w:rPr>
          <w:rFonts w:hint="eastAsia" w:ascii="仿宋_GB2312" w:eastAsia="仿宋_GB2312"/>
          <w:sz w:val="28"/>
          <w:szCs w:val="28"/>
        </w:rPr>
        <w:t>万元，比</w:t>
      </w:r>
      <w:r>
        <w:rPr>
          <w:rFonts w:hint="eastAsia" w:ascii="仿宋_GB2312" w:eastAsia="仿宋_GB2312"/>
          <w:sz w:val="28"/>
          <w:szCs w:val="28"/>
          <w:lang w:eastAsia="zh-CN"/>
        </w:rPr>
        <w:t>2024</w:t>
      </w:r>
      <w:r>
        <w:rPr>
          <w:rFonts w:hint="eastAsia" w:ascii="仿宋_GB2312" w:eastAsia="仿宋_GB2312"/>
          <w:sz w:val="28"/>
          <w:szCs w:val="28"/>
        </w:rPr>
        <w:t>年度“三公”经费财政拨款年初预算</w:t>
      </w:r>
      <w:r>
        <w:rPr>
          <w:rFonts w:ascii="仿宋_GB2312" w:eastAsia="仿宋_GB2312"/>
          <w:sz w:val="28"/>
          <w:szCs w:val="28"/>
        </w:rPr>
        <w:t>37.3</w:t>
      </w:r>
      <w:r>
        <w:rPr>
          <w:rFonts w:hint="eastAsia" w:ascii="仿宋_GB2312" w:eastAsia="仿宋_GB2312"/>
          <w:sz w:val="28"/>
          <w:szCs w:val="28"/>
          <w:lang w:val="en-US" w:eastAsia="zh-CN"/>
        </w:rPr>
        <w:t>0</w:t>
      </w:r>
      <w:r>
        <w:rPr>
          <w:rFonts w:hint="eastAsia" w:ascii="仿宋_GB2312" w:eastAsia="仿宋_GB2312"/>
          <w:sz w:val="28"/>
          <w:szCs w:val="28"/>
        </w:rPr>
        <w:t>万元增加</w:t>
      </w:r>
      <w:r>
        <w:rPr>
          <w:rFonts w:ascii="仿宋_GB2312" w:eastAsia="仿宋_GB2312"/>
          <w:sz w:val="28"/>
          <w:szCs w:val="28"/>
        </w:rPr>
        <w:t>0</w:t>
      </w:r>
      <w:r>
        <w:rPr>
          <w:rFonts w:hint="eastAsia" w:ascii="仿宋_GB2312" w:eastAsia="仿宋_GB2312"/>
          <w:sz w:val="28"/>
          <w:szCs w:val="28"/>
        </w:rPr>
        <w:t>万元。其中：</w:t>
      </w:r>
    </w:p>
    <w:p>
      <w:pPr>
        <w:spacing w:line="560" w:lineRule="exact"/>
        <w:ind w:firstLine="600"/>
        <w:rPr>
          <w:rFonts w:hint="eastAsia" w:ascii="仿宋_GB2312" w:eastAsia="仿宋_GB2312"/>
          <w:sz w:val="28"/>
          <w:szCs w:val="28"/>
        </w:rPr>
      </w:pPr>
      <w:r>
        <w:rPr>
          <w:rFonts w:hint="eastAsia" w:ascii="仿宋_GB2312" w:eastAsia="仿宋_GB2312"/>
          <w:sz w:val="28"/>
          <w:szCs w:val="28"/>
        </w:rPr>
        <w:t>1.因公出国（境）费用。202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万元，与202</w:t>
      </w:r>
      <w:r>
        <w:rPr>
          <w:rFonts w:hint="eastAsia" w:ascii="仿宋_GB2312" w:eastAsia="仿宋_GB2312"/>
          <w:sz w:val="28"/>
          <w:szCs w:val="28"/>
          <w:lang w:val="en-US" w:eastAsia="zh-CN"/>
        </w:rPr>
        <w:t>4</w:t>
      </w:r>
      <w:r>
        <w:rPr>
          <w:rFonts w:hint="eastAsia" w:ascii="仿宋_GB2312" w:eastAsia="仿宋_GB2312"/>
          <w:sz w:val="28"/>
          <w:szCs w:val="28"/>
        </w:rPr>
        <w:t>年年初预算数0万元一致。</w:t>
      </w:r>
    </w:p>
    <w:p>
      <w:pPr>
        <w:spacing w:line="560" w:lineRule="exact"/>
        <w:ind w:firstLine="600"/>
        <w:rPr>
          <w:rFonts w:hint="eastAsia" w:ascii="仿宋_GB2312" w:eastAsia="仿宋_GB2312"/>
          <w:sz w:val="28"/>
          <w:szCs w:val="28"/>
        </w:rPr>
      </w:pPr>
      <w:r>
        <w:rPr>
          <w:rFonts w:hint="eastAsia" w:ascii="仿宋_GB2312" w:eastAsia="仿宋_GB2312"/>
          <w:sz w:val="28"/>
          <w:szCs w:val="28"/>
        </w:rPr>
        <w:t>2.公务接待费。202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万元，与202</w:t>
      </w:r>
      <w:r>
        <w:rPr>
          <w:rFonts w:hint="eastAsia" w:ascii="仿宋_GB2312" w:eastAsia="仿宋_GB2312"/>
          <w:sz w:val="28"/>
          <w:szCs w:val="28"/>
          <w:lang w:val="en-US" w:eastAsia="zh-CN"/>
        </w:rPr>
        <w:t>4</w:t>
      </w:r>
      <w:r>
        <w:rPr>
          <w:rFonts w:hint="eastAsia" w:ascii="仿宋_GB2312" w:eastAsia="仿宋_GB2312"/>
          <w:sz w:val="28"/>
          <w:szCs w:val="28"/>
        </w:rPr>
        <w:t>年年初预算数0万元一致。</w:t>
      </w:r>
    </w:p>
    <w:p>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3.公务用车购置及运行维护费。202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37.3</w:t>
      </w:r>
      <w:r>
        <w:rPr>
          <w:rFonts w:hint="eastAsia" w:ascii="仿宋_GB2312" w:eastAsia="仿宋_GB2312"/>
          <w:sz w:val="28"/>
          <w:szCs w:val="28"/>
          <w:lang w:val="en-US" w:eastAsia="zh-CN"/>
        </w:rPr>
        <w:t>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37.3</w:t>
      </w:r>
      <w:r>
        <w:rPr>
          <w:rFonts w:hint="eastAsia" w:ascii="仿宋_GB2312" w:eastAsia="仿宋_GB2312"/>
          <w:sz w:val="28"/>
          <w:szCs w:val="28"/>
          <w:lang w:val="en-US" w:eastAsia="zh-CN"/>
        </w:rPr>
        <w:t>0</w:t>
      </w:r>
      <w:r>
        <w:rPr>
          <w:rFonts w:hint="eastAsia" w:ascii="仿宋_GB2312" w:eastAsia="仿宋_GB2312"/>
          <w:sz w:val="28"/>
          <w:szCs w:val="28"/>
        </w:rPr>
        <w:t>万元增加</w:t>
      </w:r>
      <w:r>
        <w:rPr>
          <w:rFonts w:ascii="仿宋_GB2312" w:eastAsia="仿宋_GB2312"/>
          <w:sz w:val="28"/>
          <w:szCs w:val="28"/>
        </w:rPr>
        <w:t>0</w:t>
      </w:r>
      <w:r>
        <w:rPr>
          <w:rFonts w:hint="eastAsia" w:ascii="仿宋_GB2312" w:eastAsia="仿宋_GB2312"/>
          <w:sz w:val="28"/>
          <w:szCs w:val="28"/>
        </w:rPr>
        <w:t>万元。其中，公务用车购置费202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33.78</w:t>
      </w:r>
      <w:r>
        <w:rPr>
          <w:rFonts w:hint="eastAsia" w:ascii="仿宋_GB2312" w:eastAsia="仿宋_GB2312"/>
          <w:sz w:val="28"/>
          <w:szCs w:val="28"/>
        </w:rPr>
        <w:t>万元，主要原因：202</w:t>
      </w:r>
      <w:r>
        <w:rPr>
          <w:rFonts w:hint="eastAsia" w:ascii="仿宋_GB2312" w:eastAsia="仿宋_GB2312"/>
          <w:sz w:val="28"/>
          <w:szCs w:val="28"/>
          <w:lang w:val="en-US" w:eastAsia="zh-CN"/>
        </w:rPr>
        <w:t>4</w:t>
      </w:r>
      <w:r>
        <w:rPr>
          <w:rFonts w:hint="eastAsia" w:ascii="仿宋_GB2312" w:eastAsia="仿宋_GB2312"/>
          <w:sz w:val="28"/>
          <w:szCs w:val="28"/>
        </w:rPr>
        <w:t>年度更新</w:t>
      </w:r>
      <w:r>
        <w:rPr>
          <w:rFonts w:hint="eastAsia" w:ascii="仿宋_GB2312" w:eastAsia="仿宋_GB2312"/>
          <w:sz w:val="28"/>
          <w:szCs w:val="28"/>
          <w:lang w:eastAsia="zh-CN"/>
        </w:rPr>
        <w:t>1</w:t>
      </w:r>
      <w:r>
        <w:rPr>
          <w:rFonts w:hint="eastAsia" w:ascii="仿宋_GB2312" w:eastAsia="仿宋_GB2312"/>
          <w:sz w:val="28"/>
          <w:szCs w:val="28"/>
        </w:rPr>
        <w:t>辆。公务用车运行维护费202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3.53</w:t>
      </w:r>
      <w:r>
        <w:rPr>
          <w:rFonts w:hint="eastAsia" w:ascii="仿宋_GB2312" w:eastAsia="仿宋_GB2312"/>
          <w:sz w:val="28"/>
          <w:szCs w:val="28"/>
        </w:rPr>
        <w:t>万元，主要原因：</w:t>
      </w:r>
      <w:r>
        <w:rPr>
          <w:rFonts w:hint="eastAsia" w:ascii="仿宋_GB2312" w:eastAsia="仿宋_GB2312"/>
          <w:sz w:val="28"/>
          <w:szCs w:val="28"/>
          <w:lang w:val="en-US" w:eastAsia="zh-CN"/>
        </w:rPr>
        <w:t>车辆正常运维</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年度公务用车保有量</w:t>
      </w:r>
      <w:r>
        <w:rPr>
          <w:rFonts w:ascii="仿宋_GB2312" w:eastAsia="仿宋_GB2312"/>
          <w:sz w:val="28"/>
          <w:szCs w:val="28"/>
        </w:rPr>
        <w:t>3</w:t>
      </w:r>
      <w:r>
        <w:rPr>
          <w:rFonts w:hint="eastAsia" w:ascii="仿宋_GB2312" w:eastAsia="仿宋_GB2312"/>
          <w:sz w:val="28"/>
          <w:szCs w:val="28"/>
        </w:rPr>
        <w:t>辆。</w:t>
      </w:r>
    </w:p>
    <w:p>
      <w:pPr>
        <w:tabs>
          <w:tab w:val="center" w:pos="6979"/>
        </w:tabs>
        <w:ind w:firstLine="554" w:firstLineChars="198"/>
        <w:rPr>
          <w:rFonts w:hint="eastAsia" w:ascii="黑体" w:eastAsia="黑体"/>
          <w:sz w:val="28"/>
          <w:szCs w:val="28"/>
        </w:rPr>
      </w:pPr>
      <w:r>
        <w:rPr>
          <w:rFonts w:hint="eastAsia" w:ascii="黑体" w:eastAsia="黑体"/>
          <w:sz w:val="28"/>
          <w:szCs w:val="28"/>
        </w:rPr>
        <w:t>二、机关运行经费支出情况</w:t>
      </w:r>
    </w:p>
    <w:p>
      <w:pPr>
        <w:ind w:firstLine="537" w:firstLineChars="192"/>
        <w:rPr>
          <w:rFonts w:ascii="仿宋_GB2312" w:eastAsia="仿宋_GB2312"/>
          <w:sz w:val="28"/>
          <w:szCs w:val="28"/>
        </w:rPr>
      </w:pPr>
      <w:r>
        <w:rPr>
          <w:rFonts w:hint="eastAsia" w:ascii="仿宋_GB2312" w:eastAsia="仿宋_GB2312"/>
          <w:sz w:val="28"/>
          <w:szCs w:val="28"/>
          <w:lang w:eastAsia="zh-CN"/>
        </w:rPr>
        <w:t>我单位不在机关运行经费统计范围之内。</w:t>
      </w:r>
    </w:p>
    <w:p>
      <w:pPr>
        <w:ind w:left="540"/>
        <w:rPr>
          <w:rFonts w:hint="eastAsia" w:ascii="黑体" w:eastAsia="黑体"/>
          <w:sz w:val="28"/>
          <w:szCs w:val="28"/>
        </w:rPr>
      </w:pPr>
      <w:r>
        <w:rPr>
          <w:rFonts w:hint="eastAsia" w:ascii="黑体" w:eastAsia="黑体"/>
          <w:sz w:val="28"/>
          <w:szCs w:val="28"/>
        </w:rPr>
        <w:t>三、政府采购支出情况</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年度政府采购支出总额</w:t>
      </w:r>
      <w:r>
        <w:rPr>
          <w:rFonts w:ascii="仿宋_GB2312" w:eastAsia="仿宋_GB2312"/>
          <w:sz w:val="28"/>
          <w:szCs w:val="28"/>
        </w:rPr>
        <w:t>630.49</w:t>
      </w:r>
      <w:r>
        <w:rPr>
          <w:rFonts w:hint="eastAsia" w:ascii="仿宋_GB2312" w:eastAsia="仿宋_GB2312"/>
          <w:sz w:val="28"/>
          <w:szCs w:val="28"/>
        </w:rPr>
        <w:t>万元，其中：政府采购货物支出</w:t>
      </w:r>
      <w:r>
        <w:rPr>
          <w:rFonts w:ascii="仿宋_GB2312" w:eastAsia="仿宋_GB2312"/>
          <w:sz w:val="28"/>
          <w:szCs w:val="28"/>
        </w:rPr>
        <w:t>418.99</w:t>
      </w:r>
      <w:r>
        <w:rPr>
          <w:rFonts w:hint="eastAsia" w:ascii="仿宋_GB2312" w:eastAsia="仿宋_GB2312"/>
          <w:sz w:val="28"/>
          <w:szCs w:val="28"/>
        </w:rPr>
        <w:t>万元，政府采购工程支出</w:t>
      </w:r>
      <w:r>
        <w:rPr>
          <w:rFonts w:ascii="仿宋_GB2312" w:eastAsia="仿宋_GB2312"/>
          <w:sz w:val="28"/>
          <w:szCs w:val="28"/>
        </w:rPr>
        <w:t>0</w:t>
      </w:r>
      <w:r>
        <w:rPr>
          <w:rFonts w:hint="eastAsia" w:ascii="仿宋_GB2312" w:eastAsia="仿宋_GB2312"/>
          <w:sz w:val="28"/>
          <w:szCs w:val="28"/>
        </w:rPr>
        <w:t>万元，政府采购服务支出</w:t>
      </w:r>
      <w:r>
        <w:rPr>
          <w:rFonts w:ascii="仿宋_GB2312" w:eastAsia="仿宋_GB2312"/>
          <w:sz w:val="28"/>
          <w:szCs w:val="28"/>
        </w:rPr>
        <w:t>211.5</w:t>
      </w:r>
      <w:r>
        <w:rPr>
          <w:rFonts w:hint="eastAsia" w:ascii="仿宋_GB2312" w:eastAsia="仿宋_GB2312"/>
          <w:sz w:val="28"/>
          <w:szCs w:val="28"/>
          <w:lang w:val="en-US" w:eastAsia="zh-CN"/>
        </w:rPr>
        <w:t>0</w:t>
      </w:r>
      <w:r>
        <w:rPr>
          <w:rFonts w:hint="eastAsia" w:ascii="仿宋_GB2312" w:eastAsia="仿宋_GB2312"/>
          <w:sz w:val="28"/>
          <w:szCs w:val="28"/>
        </w:rPr>
        <w:t>万元。授予中小企业合同金额</w:t>
      </w:r>
      <w:r>
        <w:rPr>
          <w:rFonts w:ascii="仿宋_GB2312" w:eastAsia="仿宋_GB2312"/>
          <w:sz w:val="28"/>
          <w:szCs w:val="28"/>
        </w:rPr>
        <w:t>630.02</w:t>
      </w:r>
      <w:r>
        <w:rPr>
          <w:rFonts w:hint="eastAsia" w:ascii="仿宋_GB2312" w:eastAsia="仿宋_GB2312"/>
          <w:sz w:val="28"/>
          <w:szCs w:val="28"/>
        </w:rPr>
        <w:t>万元，占政府采购支出总额的</w:t>
      </w:r>
      <w:r>
        <w:rPr>
          <w:rFonts w:hint="eastAsia" w:ascii="仿宋_GB2312" w:eastAsia="仿宋_GB2312"/>
          <w:sz w:val="28"/>
          <w:szCs w:val="28"/>
          <w:lang w:eastAsia="zh-CN"/>
        </w:rPr>
        <w:t>99.93</w:t>
      </w:r>
      <w:r>
        <w:rPr>
          <w:rFonts w:hint="eastAsia" w:ascii="仿宋_GB2312" w:eastAsia="仿宋_GB2312"/>
          <w:sz w:val="28"/>
          <w:szCs w:val="28"/>
        </w:rPr>
        <w:t>%，其中：授予小微企业合同金额</w:t>
      </w:r>
      <w:r>
        <w:rPr>
          <w:rFonts w:ascii="仿宋_GB2312" w:eastAsia="仿宋_GB2312"/>
          <w:sz w:val="28"/>
          <w:szCs w:val="28"/>
        </w:rPr>
        <w:t>601.12</w:t>
      </w:r>
      <w:r>
        <w:rPr>
          <w:rFonts w:hint="eastAsia" w:ascii="仿宋_GB2312" w:eastAsia="仿宋_GB2312"/>
          <w:sz w:val="28"/>
          <w:szCs w:val="28"/>
        </w:rPr>
        <w:t>万元，占政府采购支出总额的</w:t>
      </w:r>
      <w:r>
        <w:rPr>
          <w:rFonts w:ascii="仿宋_GB2312" w:eastAsia="仿宋_GB2312"/>
          <w:sz w:val="28"/>
          <w:szCs w:val="28"/>
        </w:rPr>
        <w:t>95.34</w:t>
      </w:r>
      <w:r>
        <w:rPr>
          <w:rFonts w:hint="eastAsia" w:ascii="仿宋_GB2312" w:eastAsia="仿宋_GB2312"/>
          <w:sz w:val="28"/>
          <w:szCs w:val="28"/>
        </w:rPr>
        <w:t>%。</w:t>
      </w:r>
    </w:p>
    <w:p>
      <w:pPr>
        <w:ind w:firstLine="560" w:firstLineChars="200"/>
        <w:rPr>
          <w:rFonts w:hint="eastAsia" w:ascii="黑体" w:eastAsia="黑体"/>
          <w:sz w:val="28"/>
          <w:szCs w:val="28"/>
          <w:highlight w:val="yellow"/>
        </w:rPr>
      </w:pPr>
      <w:r>
        <w:rPr>
          <w:rFonts w:hint="eastAsia" w:ascii="黑体" w:eastAsia="黑体"/>
          <w:sz w:val="28"/>
          <w:szCs w:val="28"/>
          <w:highlight w:val="none"/>
        </w:rPr>
        <w:t>四、国有资产占用情况</w:t>
      </w:r>
    </w:p>
    <w:p>
      <w:pPr>
        <w:ind w:firstLine="560" w:firstLineChars="200"/>
        <w:rPr>
          <w:rFonts w:ascii="仿宋_GB2312" w:eastAsia="仿宋_GB2312"/>
          <w:sz w:val="32"/>
          <w:szCs w:val="32"/>
        </w:rPr>
      </w:pP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12月31日，北京体育职业学院</w:t>
      </w:r>
      <w:r>
        <w:rPr>
          <w:rFonts w:hint="eastAsia" w:ascii="仿宋_GB2312" w:eastAsia="仿宋_GB2312"/>
          <w:sz w:val="28"/>
          <w:szCs w:val="28"/>
          <w:lang w:eastAsia="zh-CN"/>
        </w:rPr>
        <w:t>共有</w:t>
      </w:r>
      <w:r>
        <w:rPr>
          <w:rFonts w:hint="eastAsia" w:ascii="仿宋_GB2312" w:eastAsia="仿宋_GB2312"/>
          <w:sz w:val="28"/>
          <w:szCs w:val="28"/>
        </w:rPr>
        <w:t>车辆</w:t>
      </w:r>
      <w:r>
        <w:rPr>
          <w:rFonts w:hint="eastAsia" w:ascii="仿宋_GB2312" w:eastAsia="仿宋_GB2312"/>
          <w:sz w:val="28"/>
          <w:szCs w:val="28"/>
          <w:lang w:val="en-US" w:eastAsia="zh-CN"/>
        </w:rPr>
        <w:t>3</w:t>
      </w:r>
      <w:r>
        <w:rPr>
          <w:rFonts w:hint="eastAsia" w:ascii="仿宋_GB2312" w:eastAsia="仿宋_GB2312"/>
          <w:sz w:val="28"/>
          <w:szCs w:val="28"/>
        </w:rPr>
        <w:t>台；单位价值100万元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4</w:t>
      </w:r>
      <w:r>
        <w:rPr>
          <w:rFonts w:hint="eastAsia" w:ascii="仿宋_GB2312" w:eastAsia="仿宋_GB2312"/>
          <w:sz w:val="28"/>
          <w:szCs w:val="28"/>
        </w:rPr>
        <w:t>台（套）。</w:t>
      </w:r>
    </w:p>
    <w:p>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ascii="仿宋_GB2312" w:eastAsia="仿宋_GB2312"/>
          <w:sz w:val="28"/>
          <w:szCs w:val="28"/>
        </w:rPr>
        <w:t>政府购买服务决算0</w:t>
      </w:r>
      <w:r>
        <w:rPr>
          <w:rFonts w:hint="eastAsia" w:ascii="仿宋_GB2312" w:eastAsia="仿宋_GB2312"/>
          <w:sz w:val="28"/>
          <w:szCs w:val="28"/>
        </w:rPr>
        <w:t>万元。</w:t>
      </w:r>
    </w:p>
    <w:p>
      <w:pPr>
        <w:ind w:firstLine="560" w:firstLineChars="200"/>
        <w:jc w:val="left"/>
        <w:rPr>
          <w:rFonts w:hint="eastAsia"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pPr>
        <w:ind w:firstLine="560" w:firstLineChars="200"/>
        <w:rPr>
          <w:rFonts w:hint="eastAsia"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pPr>
        <w:ind w:firstLine="560" w:firstLineChars="200"/>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pPr>
        <w:ind w:firstLine="560" w:firstLineChars="200"/>
        <w:rPr>
          <w:rFonts w:hint="eastAsia"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pPr>
        <w:ind w:firstLine="420" w:firstLineChars="150"/>
        <w:rPr>
          <w:rFonts w:hint="eastAsia" w:ascii="仿宋_GB2312" w:eastAsia="仿宋_GB2312"/>
          <w:sz w:val="28"/>
          <w:szCs w:val="28"/>
        </w:rPr>
      </w:pPr>
      <w:r>
        <w:rPr>
          <w:rFonts w:hint="eastAsia" w:ascii="仿宋_GB2312" w:eastAsia="仿宋_GB2312"/>
          <w:sz w:val="28"/>
          <w:szCs w:val="28"/>
          <w:lang w:val="en-US" w:eastAsia="zh-CN"/>
        </w:rPr>
        <w:t>4</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pPr>
        <w:keepNext w:val="0"/>
        <w:keepLines w:val="0"/>
        <w:pageBreakBefore w:val="0"/>
        <w:widowControl w:val="0"/>
        <w:kinsoku/>
        <w:wordWrap/>
        <w:overflowPunct/>
        <w:topLinePunct w:val="0"/>
        <w:autoSpaceDE/>
        <w:autoSpaceDN/>
        <w:bidi w:val="0"/>
        <w:adjustRightInd/>
        <w:snapToGrid/>
        <w:spacing w:line="596" w:lineRule="exact"/>
        <w:ind w:firstLine="420" w:firstLineChars="150"/>
        <w:textAlignment w:val="auto"/>
        <w:rPr>
          <w:rFonts w:hint="eastAsia" w:ascii="仿宋_GB2312" w:eastAsia="仿宋_GB2312"/>
          <w:sz w:val="28"/>
          <w:szCs w:val="28"/>
        </w:rPr>
      </w:pPr>
      <w:r>
        <w:rPr>
          <w:rFonts w:hint="eastAsia" w:ascii="仿宋_GB2312" w:eastAsia="仿宋_GB2312"/>
          <w:sz w:val="28"/>
          <w:szCs w:val="28"/>
          <w:lang w:val="en-US" w:eastAsia="zh-CN"/>
        </w:rPr>
        <w:t>5</w:t>
      </w:r>
      <w:r>
        <w:rPr>
          <w:rFonts w:hint="eastAsia" w:ascii="仿宋_GB2312" w:eastAsia="仿宋_GB2312"/>
          <w:sz w:val="28"/>
          <w:szCs w:val="28"/>
        </w:rPr>
        <w:t>.文化旅游体育与传媒支出（类）体育（款）运动项目管理（项）：反映各项目运动管理中心和运动学校等单位的日常管理支出。</w:t>
      </w:r>
    </w:p>
    <w:p>
      <w:pPr>
        <w:keepNext w:val="0"/>
        <w:keepLines w:val="0"/>
        <w:pageBreakBefore w:val="0"/>
        <w:widowControl w:val="0"/>
        <w:kinsoku/>
        <w:wordWrap/>
        <w:overflowPunct/>
        <w:topLinePunct w:val="0"/>
        <w:autoSpaceDE/>
        <w:autoSpaceDN/>
        <w:bidi w:val="0"/>
        <w:adjustRightInd/>
        <w:snapToGrid/>
        <w:spacing w:line="596" w:lineRule="exact"/>
        <w:ind w:firstLine="420" w:firstLineChars="150"/>
        <w:textAlignment w:val="auto"/>
        <w:rPr>
          <w:rFonts w:hint="eastAsia" w:ascii="仿宋_GB2312" w:eastAsia="仿宋_GB2312"/>
          <w:sz w:val="28"/>
          <w:szCs w:val="28"/>
        </w:rPr>
      </w:pPr>
      <w:r>
        <w:rPr>
          <w:rFonts w:hint="eastAsia" w:ascii="仿宋_GB2312" w:eastAsia="仿宋_GB2312"/>
          <w:sz w:val="28"/>
          <w:szCs w:val="28"/>
          <w:lang w:val="en-US" w:eastAsia="zh-CN"/>
        </w:rPr>
        <w:t>6</w:t>
      </w:r>
      <w:r>
        <w:rPr>
          <w:rFonts w:hint="eastAsia" w:ascii="仿宋_GB2312" w:eastAsia="仿宋_GB2312"/>
          <w:sz w:val="28"/>
          <w:szCs w:val="28"/>
        </w:rPr>
        <w:t>.文化旅游体育与传媒支出（类）体育（款）其他体育支出（项）：反映其他用于体育方面的支出。</w:t>
      </w:r>
    </w:p>
    <w:p>
      <w:pPr>
        <w:keepNext w:val="0"/>
        <w:keepLines w:val="0"/>
        <w:pageBreakBefore w:val="0"/>
        <w:widowControl w:val="0"/>
        <w:kinsoku/>
        <w:wordWrap/>
        <w:overflowPunct/>
        <w:topLinePunct w:val="0"/>
        <w:autoSpaceDE/>
        <w:autoSpaceDN/>
        <w:bidi w:val="0"/>
        <w:adjustRightInd/>
        <w:snapToGrid/>
        <w:spacing w:line="596" w:lineRule="exact"/>
        <w:ind w:firstLine="420" w:firstLineChars="150"/>
        <w:textAlignment w:val="auto"/>
        <w:rPr>
          <w:rFonts w:hint="eastAsia" w:ascii="仿宋_GB2312" w:hAnsi="宋体" w:eastAsia="仿宋_GB2312"/>
          <w:sz w:val="28"/>
          <w:szCs w:val="28"/>
          <w:lang w:val="en-US" w:eastAsia="zh-CN"/>
        </w:rPr>
      </w:pPr>
      <w:r>
        <w:rPr>
          <w:rFonts w:hint="eastAsia" w:ascii="仿宋_GB2312" w:eastAsia="仿宋_GB2312"/>
          <w:sz w:val="28"/>
          <w:szCs w:val="28"/>
          <w:lang w:val="en-US" w:eastAsia="zh-CN"/>
        </w:rPr>
        <w:t>7</w:t>
      </w:r>
      <w:r>
        <w:rPr>
          <w:rFonts w:hint="eastAsia" w:ascii="仿宋_GB2312" w:eastAsia="仿宋_GB2312"/>
          <w:sz w:val="28"/>
          <w:szCs w:val="28"/>
        </w:rPr>
        <w:t>.</w:t>
      </w:r>
      <w:r>
        <w:rPr>
          <w:rFonts w:hint="default" w:ascii="仿宋_GB2312" w:hAnsi="宋体" w:eastAsia="仿宋_GB2312"/>
          <w:sz w:val="28"/>
          <w:szCs w:val="28"/>
          <w:lang w:val="en" w:eastAsia="zh-CN"/>
        </w:rPr>
        <w:t>社会保障和就业支出</w:t>
      </w:r>
      <w:r>
        <w:rPr>
          <w:rFonts w:hint="eastAsia" w:ascii="仿宋_GB2312" w:hAnsi="宋体" w:eastAsia="仿宋_GB2312"/>
          <w:sz w:val="28"/>
          <w:szCs w:val="28"/>
          <w:lang w:val="en" w:eastAsia="zh-CN"/>
        </w:rPr>
        <w:t>（类）</w:t>
      </w:r>
      <w:r>
        <w:rPr>
          <w:rFonts w:hint="eastAsia" w:ascii="仿宋_GB2312" w:hAnsi="宋体" w:eastAsia="仿宋_GB2312"/>
          <w:sz w:val="28"/>
          <w:szCs w:val="28"/>
          <w:lang w:val="en-US" w:eastAsia="zh-CN"/>
        </w:rPr>
        <w:t>行政事业单位养老支出（款）事业单位离退休</w:t>
      </w:r>
      <w:r>
        <w:rPr>
          <w:rFonts w:hint="eastAsia" w:ascii="仿宋_GB2312" w:hAnsi="宋体" w:eastAsia="仿宋_GB2312"/>
          <w:sz w:val="28"/>
          <w:szCs w:val="28"/>
          <w:lang w:val="en" w:eastAsia="zh-CN"/>
        </w:rPr>
        <w:t>（项）</w:t>
      </w:r>
      <w:r>
        <w:rPr>
          <w:rFonts w:hint="eastAsia" w:ascii="仿宋_GB2312" w:hAnsi="宋体" w:eastAsia="仿宋_GB2312"/>
          <w:sz w:val="28"/>
          <w:szCs w:val="28"/>
          <w:lang w:val="en-US" w:eastAsia="zh-CN"/>
        </w:rPr>
        <w:t>：反映事业单位开支的离退休经费。</w:t>
      </w:r>
    </w:p>
    <w:p>
      <w:pPr>
        <w:keepNext w:val="0"/>
        <w:keepLines w:val="0"/>
        <w:pageBreakBefore w:val="0"/>
        <w:widowControl w:val="0"/>
        <w:kinsoku/>
        <w:wordWrap/>
        <w:overflowPunct/>
        <w:topLinePunct w:val="0"/>
        <w:autoSpaceDE/>
        <w:autoSpaceDN/>
        <w:bidi w:val="0"/>
        <w:adjustRightInd/>
        <w:snapToGrid/>
        <w:spacing w:line="596" w:lineRule="exact"/>
        <w:ind w:firstLine="420" w:firstLineChars="150"/>
        <w:textAlignment w:val="auto"/>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8</w:t>
      </w:r>
      <w:r>
        <w:rPr>
          <w:rFonts w:hint="default" w:ascii="仿宋_GB2312" w:hAnsi="宋体" w:eastAsia="仿宋_GB2312"/>
          <w:sz w:val="28"/>
          <w:szCs w:val="28"/>
          <w:lang w:val="en" w:eastAsia="zh-CN"/>
        </w:rPr>
        <w:t>.社会保障和就业支出</w:t>
      </w:r>
      <w:r>
        <w:rPr>
          <w:rFonts w:hint="eastAsia" w:ascii="仿宋_GB2312" w:hAnsi="宋体" w:eastAsia="仿宋_GB2312"/>
          <w:sz w:val="28"/>
          <w:szCs w:val="28"/>
          <w:lang w:val="en" w:eastAsia="zh-CN"/>
        </w:rPr>
        <w:t>（类）</w:t>
      </w:r>
      <w:r>
        <w:rPr>
          <w:rFonts w:hint="eastAsia" w:ascii="仿宋_GB2312" w:hAnsi="宋体" w:eastAsia="仿宋_GB2312"/>
          <w:sz w:val="28"/>
          <w:szCs w:val="28"/>
          <w:lang w:val="en-US" w:eastAsia="zh-CN"/>
        </w:rPr>
        <w:t>行政事业单位养老支出（款）机关事业单位基本养老保险缴费支出</w:t>
      </w:r>
      <w:r>
        <w:rPr>
          <w:rFonts w:hint="eastAsia" w:ascii="仿宋_GB2312" w:hAnsi="宋体" w:eastAsia="仿宋_GB2312"/>
          <w:sz w:val="28"/>
          <w:szCs w:val="28"/>
          <w:lang w:val="en" w:eastAsia="zh-CN"/>
        </w:rPr>
        <w:t>（项）</w:t>
      </w:r>
      <w:r>
        <w:rPr>
          <w:rFonts w:hint="eastAsia" w:ascii="仿宋_GB2312" w:hAnsi="宋体" w:eastAsia="仿宋_GB2312"/>
          <w:sz w:val="28"/>
          <w:szCs w:val="28"/>
          <w:lang w:val="en-US" w:eastAsia="zh-CN"/>
        </w:rPr>
        <w:t>：反映机关事业单位实施养老保险制度由单位缴纳的基本养老保险费支出。</w:t>
      </w:r>
    </w:p>
    <w:p>
      <w:pPr>
        <w:keepNext w:val="0"/>
        <w:keepLines w:val="0"/>
        <w:pageBreakBefore w:val="0"/>
        <w:widowControl w:val="0"/>
        <w:kinsoku/>
        <w:wordWrap/>
        <w:overflowPunct/>
        <w:topLinePunct w:val="0"/>
        <w:autoSpaceDE/>
        <w:autoSpaceDN/>
        <w:bidi w:val="0"/>
        <w:adjustRightInd/>
        <w:snapToGrid/>
        <w:spacing w:line="596" w:lineRule="exact"/>
        <w:ind w:firstLine="420" w:firstLineChars="150"/>
        <w:textAlignment w:val="auto"/>
        <w:rPr>
          <w:rFonts w:hint="eastAsia" w:ascii="仿宋_GB2312" w:hAnsi="宋体" w:eastAsia="仿宋_GB2312"/>
          <w:sz w:val="28"/>
          <w:szCs w:val="28"/>
          <w:lang w:val="en" w:eastAsia="zh-CN"/>
        </w:rPr>
      </w:pPr>
      <w:r>
        <w:rPr>
          <w:rFonts w:hint="eastAsia" w:ascii="仿宋_GB2312" w:hAnsi="宋体" w:eastAsia="仿宋_GB2312"/>
          <w:sz w:val="28"/>
          <w:szCs w:val="28"/>
          <w:lang w:val="en-US" w:eastAsia="zh-CN"/>
        </w:rPr>
        <w:t>9</w:t>
      </w:r>
      <w:r>
        <w:rPr>
          <w:rFonts w:hint="default" w:ascii="仿宋_GB2312" w:hAnsi="宋体" w:eastAsia="仿宋_GB2312"/>
          <w:sz w:val="28"/>
          <w:szCs w:val="28"/>
          <w:lang w:val="en" w:eastAsia="zh-CN"/>
        </w:rPr>
        <w:t>.社会保障和就业支出</w:t>
      </w:r>
      <w:r>
        <w:rPr>
          <w:rFonts w:hint="eastAsia" w:ascii="仿宋_GB2312" w:hAnsi="宋体" w:eastAsia="仿宋_GB2312"/>
          <w:sz w:val="28"/>
          <w:szCs w:val="28"/>
          <w:lang w:val="en" w:eastAsia="zh-CN"/>
        </w:rPr>
        <w:t>（类）</w:t>
      </w:r>
      <w:r>
        <w:rPr>
          <w:rFonts w:hint="eastAsia" w:ascii="仿宋_GB2312" w:hAnsi="宋体" w:eastAsia="仿宋_GB2312"/>
          <w:sz w:val="28"/>
          <w:szCs w:val="28"/>
          <w:lang w:val="en-US" w:eastAsia="zh-CN"/>
        </w:rPr>
        <w:t>行政事业单位养老支出（款）机关事业单位职业年金缴费支出</w:t>
      </w:r>
      <w:r>
        <w:rPr>
          <w:rFonts w:hint="eastAsia" w:ascii="仿宋_GB2312" w:hAnsi="宋体" w:eastAsia="仿宋_GB2312"/>
          <w:sz w:val="28"/>
          <w:szCs w:val="28"/>
          <w:lang w:val="en" w:eastAsia="zh-CN"/>
        </w:rPr>
        <w:t>（项）</w:t>
      </w:r>
      <w:r>
        <w:rPr>
          <w:rFonts w:hint="eastAsia" w:ascii="仿宋_GB2312" w:hAnsi="宋体" w:eastAsia="仿宋_GB2312"/>
          <w:sz w:val="28"/>
          <w:szCs w:val="28"/>
          <w:lang w:val="en-US" w:eastAsia="zh-CN"/>
        </w:rPr>
        <w:t>：</w:t>
      </w:r>
      <w:r>
        <w:rPr>
          <w:rFonts w:hint="eastAsia" w:ascii="仿宋_GB2312" w:hAnsi="宋体" w:eastAsia="仿宋_GB2312"/>
          <w:sz w:val="28"/>
          <w:szCs w:val="28"/>
          <w:lang w:val="en" w:eastAsia="zh-CN"/>
        </w:rPr>
        <w:t>反映机关事业单位实施养老保险制度由单位实际缴纳的职业年金支出</w:t>
      </w:r>
      <w:r>
        <w:rPr>
          <w:rFonts w:hint="eastAsia" w:ascii="仿宋_GB2312" w:hAnsi="宋体" w:eastAsia="仿宋_GB2312"/>
          <w:sz w:val="28"/>
          <w:szCs w:val="28"/>
          <w:highlight w:val="none"/>
          <w:lang w:val="en" w:eastAsia="zh-CN"/>
        </w:rPr>
        <w:t>（含职业年金补记支出）</w:t>
      </w:r>
      <w:r>
        <w:rPr>
          <w:rFonts w:hint="eastAsia" w:ascii="仿宋_GB2312" w:hAnsi="宋体" w:eastAsia="仿宋_GB2312"/>
          <w:sz w:val="28"/>
          <w:szCs w:val="28"/>
          <w:lang w:val="en" w:eastAsia="zh-CN"/>
        </w:rPr>
        <w:t>。</w:t>
      </w:r>
    </w:p>
    <w:p>
      <w:pPr>
        <w:keepNext w:val="0"/>
        <w:keepLines w:val="0"/>
        <w:pageBreakBefore w:val="0"/>
        <w:widowControl w:val="0"/>
        <w:kinsoku/>
        <w:wordWrap/>
        <w:overflowPunct/>
        <w:topLinePunct w:val="0"/>
        <w:autoSpaceDE/>
        <w:autoSpaceDN/>
        <w:bidi w:val="0"/>
        <w:adjustRightInd/>
        <w:snapToGrid/>
        <w:spacing w:line="596" w:lineRule="exact"/>
        <w:ind w:firstLine="420" w:firstLineChars="150"/>
        <w:textAlignment w:val="auto"/>
        <w:rPr>
          <w:rFonts w:hint="eastAsia" w:ascii="仿宋_GB2312" w:eastAsia="仿宋_GB2312"/>
          <w:sz w:val="28"/>
          <w:szCs w:val="28"/>
        </w:rPr>
      </w:pPr>
      <w:r>
        <w:rPr>
          <w:rFonts w:hint="eastAsia" w:ascii="仿宋_GB2312" w:eastAsia="仿宋_GB2312"/>
          <w:sz w:val="28"/>
          <w:szCs w:val="28"/>
          <w:lang w:val="en-US" w:eastAsia="zh-CN"/>
        </w:rPr>
        <w:t>10</w:t>
      </w:r>
      <w:r>
        <w:rPr>
          <w:rFonts w:hint="eastAsia" w:ascii="仿宋_GB2312" w:eastAsia="仿宋_GB2312"/>
          <w:sz w:val="28"/>
          <w:szCs w:val="28"/>
        </w:rPr>
        <w:t>.教育支出（类）职业教育（款）其他职业教育支出（项）：反映用于除初等职业教育、中等职业教育、技校教育、高等职业教育以外的其他用于职业教育方面的支出。</w:t>
      </w:r>
    </w:p>
    <w:p>
      <w:pPr>
        <w:keepNext w:val="0"/>
        <w:keepLines w:val="0"/>
        <w:pageBreakBefore w:val="0"/>
        <w:widowControl w:val="0"/>
        <w:kinsoku/>
        <w:wordWrap/>
        <w:overflowPunct/>
        <w:topLinePunct w:val="0"/>
        <w:autoSpaceDE/>
        <w:autoSpaceDN/>
        <w:bidi w:val="0"/>
        <w:adjustRightInd/>
        <w:snapToGrid/>
        <w:spacing w:line="596" w:lineRule="exact"/>
        <w:ind w:firstLine="420" w:firstLineChars="150"/>
        <w:textAlignment w:val="auto"/>
        <w:rPr>
          <w:rFonts w:hint="eastAsia" w:ascii="仿宋_GB2312" w:eastAsia="仿宋_GB2312"/>
          <w:sz w:val="28"/>
          <w:szCs w:val="28"/>
        </w:rPr>
      </w:pPr>
      <w:r>
        <w:rPr>
          <w:rFonts w:hint="eastAsia" w:ascii="仿宋_GB2312" w:eastAsia="仿宋_GB2312"/>
          <w:sz w:val="28"/>
          <w:szCs w:val="28"/>
          <w:lang w:val="en-US" w:eastAsia="zh-CN"/>
        </w:rPr>
        <w:t>11</w:t>
      </w:r>
      <w:r>
        <w:rPr>
          <w:rFonts w:hint="eastAsia" w:ascii="仿宋_GB2312" w:eastAsia="仿宋_GB2312"/>
          <w:sz w:val="28"/>
          <w:szCs w:val="28"/>
        </w:rPr>
        <w:t>.教育支出（类）进修与培训（款）培训支出（项）：反映各部门安排的用于培训的支出。教育部门的师资培训，党校、行政学院等专业干部教育机构的支出，以及退役士兵、转业士官的培训支出，不在本科目反映。</w:t>
      </w:r>
    </w:p>
    <w:p>
      <w:pPr>
        <w:keepNext w:val="0"/>
        <w:keepLines w:val="0"/>
        <w:pageBreakBefore w:val="0"/>
        <w:widowControl w:val="0"/>
        <w:kinsoku/>
        <w:wordWrap/>
        <w:overflowPunct/>
        <w:topLinePunct w:val="0"/>
        <w:autoSpaceDE/>
        <w:autoSpaceDN/>
        <w:bidi w:val="0"/>
        <w:adjustRightInd/>
        <w:snapToGrid/>
        <w:spacing w:line="596" w:lineRule="exact"/>
        <w:ind w:firstLine="420" w:firstLineChars="150"/>
        <w:textAlignment w:val="auto"/>
        <w:rPr>
          <w:rFonts w:hint="default" w:eastAsia="仿宋_GB2312"/>
          <w:lang w:val="en-US" w:eastAsia="zh-CN"/>
        </w:rPr>
      </w:pPr>
      <w:r>
        <w:rPr>
          <w:rFonts w:hint="eastAsia" w:ascii="仿宋_GB2312" w:eastAsia="仿宋_GB2312"/>
          <w:sz w:val="28"/>
          <w:szCs w:val="28"/>
          <w:lang w:val="en-US" w:eastAsia="zh-CN"/>
        </w:rPr>
        <w:t>12.其他支出（类）彩票公益金安排的支出（款）用于体育事业的彩票公益金支出（项）：反映用于体育事业的彩票公益金支出。</w:t>
      </w:r>
    </w:p>
    <w:p>
      <w:pPr>
        <w:jc w:val="both"/>
        <w:rPr>
          <w:rFonts w:hint="eastAsia" w:ascii="黑体" w:eastAsia="黑体"/>
          <w:sz w:val="32"/>
          <w:szCs w:val="32"/>
        </w:rPr>
      </w:pPr>
    </w:p>
    <w:p>
      <w:pPr>
        <w:tabs>
          <w:tab w:val="center" w:pos="6979"/>
        </w:tabs>
        <w:spacing w:line="380" w:lineRule="exact"/>
        <w:jc w:val="center"/>
        <w:rPr>
          <w:rFonts w:ascii="宋体" w:hAnsi="宋体" w:cs="宋体"/>
          <w:b/>
          <w:bCs/>
          <w:kern w:val="0"/>
          <w:sz w:val="28"/>
          <w:szCs w:val="28"/>
        </w:rPr>
      </w:pPr>
    </w:p>
    <w:p>
      <w:pPr>
        <w:tabs>
          <w:tab w:val="center" w:pos="6979"/>
        </w:tabs>
        <w:spacing w:line="380" w:lineRule="exact"/>
        <w:jc w:val="center"/>
        <w:rPr>
          <w:rFonts w:ascii="宋体" w:hAnsi="宋体" w:cs="宋体"/>
          <w:b/>
          <w:bCs/>
          <w:kern w:val="0"/>
          <w:sz w:val="28"/>
          <w:szCs w:val="28"/>
        </w:rPr>
      </w:pPr>
    </w:p>
    <w:p>
      <w:pPr>
        <w:jc w:val="both"/>
        <w:rPr>
          <w:rFonts w:hint="eastAsia" w:ascii="黑体" w:eastAsia="黑体"/>
          <w:sz w:val="32"/>
          <w:szCs w:val="32"/>
        </w:rPr>
      </w:pPr>
    </w:p>
    <w:p>
      <w:pPr>
        <w:ind w:firstLine="640" w:firstLineChars="200"/>
        <w:jc w:val="center"/>
        <w:rPr>
          <w:rFonts w:hint="eastAsia" w:ascii="黑体" w:eastAsia="黑体"/>
          <w:sz w:val="32"/>
          <w:szCs w:val="32"/>
        </w:rPr>
      </w:pPr>
    </w:p>
    <w:p>
      <w:pPr>
        <w:ind w:firstLine="640" w:firstLineChars="200"/>
        <w:jc w:val="center"/>
        <w:rPr>
          <w:rFonts w:hint="eastAsia" w:ascii="黑体" w:eastAsia="黑体"/>
          <w:sz w:val="32"/>
          <w:szCs w:val="32"/>
        </w:rPr>
      </w:pPr>
      <w:r>
        <w:rPr>
          <w:rFonts w:hint="eastAsia" w:ascii="黑体" w:eastAsia="黑体"/>
          <w:sz w:val="32"/>
          <w:szCs w:val="32"/>
        </w:rPr>
        <w:t>第四部分  202</w:t>
      </w:r>
      <w:r>
        <w:rPr>
          <w:rFonts w:hint="eastAsia" w:ascii="黑体" w:eastAsia="黑体"/>
          <w:sz w:val="32"/>
          <w:szCs w:val="32"/>
          <w:lang w:val="en-US" w:eastAsia="zh-CN"/>
        </w:rPr>
        <w:t>4</w:t>
      </w:r>
      <w:r>
        <w:rPr>
          <w:rFonts w:hint="eastAsia" w:ascii="黑体" w:eastAsia="黑体"/>
          <w:sz w:val="32"/>
          <w:szCs w:val="32"/>
        </w:rPr>
        <w:t>年度</w:t>
      </w:r>
      <w:r>
        <w:rPr>
          <w:rFonts w:hint="eastAsia" w:ascii="黑体" w:eastAsia="黑体"/>
          <w:sz w:val="32"/>
          <w:szCs w:val="32"/>
          <w:lang w:eastAsia="zh-CN"/>
        </w:rPr>
        <w:t>单位</w:t>
      </w:r>
      <w:r>
        <w:rPr>
          <w:rFonts w:hint="eastAsia" w:ascii="黑体" w:eastAsia="黑体"/>
          <w:sz w:val="32"/>
          <w:szCs w:val="32"/>
        </w:rPr>
        <w:t>绩效评价情况</w:t>
      </w:r>
    </w:p>
    <w:p>
      <w:pPr>
        <w:ind w:firstLine="560" w:firstLineChars="200"/>
        <w:rPr>
          <w:rFonts w:hint="eastAsia" w:ascii="黑体" w:eastAsia="黑体"/>
          <w:sz w:val="28"/>
          <w:szCs w:val="28"/>
          <w:highlight w:val="yellow"/>
        </w:rPr>
      </w:pPr>
    </w:p>
    <w:p>
      <w:pPr>
        <w:numPr>
          <w:ilvl w:val="0"/>
          <w:numId w:val="1"/>
        </w:numPr>
        <w:ind w:firstLine="560" w:firstLineChars="200"/>
        <w:rPr>
          <w:rFonts w:ascii="黑体" w:eastAsia="黑体"/>
          <w:sz w:val="28"/>
          <w:szCs w:val="28"/>
        </w:rPr>
      </w:pPr>
      <w:r>
        <w:rPr>
          <w:rFonts w:hint="eastAsia" w:ascii="黑体" w:eastAsia="黑体"/>
          <w:sz w:val="28"/>
          <w:szCs w:val="28"/>
        </w:rPr>
        <w:t>项目</w:t>
      </w:r>
      <w:r>
        <w:rPr>
          <w:rFonts w:ascii="黑体" w:eastAsia="黑体"/>
          <w:sz w:val="28"/>
          <w:szCs w:val="28"/>
        </w:rPr>
        <w:t>支出绩效自评表</w:t>
      </w:r>
      <w:r>
        <w:rPr>
          <w:rFonts w:hint="eastAsia" w:ascii="黑体" w:eastAsia="黑体"/>
          <w:sz w:val="28"/>
          <w:szCs w:val="28"/>
          <w:lang w:eastAsia="zh-CN"/>
        </w:rPr>
        <w:t>（详见附件）</w:t>
      </w:r>
    </w:p>
    <w:p>
      <w:pPr>
        <w:spacing w:line="480" w:lineRule="exact"/>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3</w:t>
    </w:r>
    <w: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5</w:t>
    </w:r>
    <w:r>
      <w:fldChar w:fldCharType="end"/>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7E84BE"/>
    <w:multiLevelType w:val="singleLevel"/>
    <w:tmpl w:val="8D7E84B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NmNzY0YzJmNjQyZWE4Yzk3NGUxMzA3YjIyNTQ0ZWE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F120AB"/>
    <w:rsid w:val="032B5196"/>
    <w:rsid w:val="04C3537C"/>
    <w:rsid w:val="079004AC"/>
    <w:rsid w:val="093822FB"/>
    <w:rsid w:val="0BA148CA"/>
    <w:rsid w:val="0C1165C4"/>
    <w:rsid w:val="0D6D544B"/>
    <w:rsid w:val="0DD136FE"/>
    <w:rsid w:val="0F8E2C57"/>
    <w:rsid w:val="1059665E"/>
    <w:rsid w:val="10AC13BA"/>
    <w:rsid w:val="145A6C1B"/>
    <w:rsid w:val="14B73493"/>
    <w:rsid w:val="167A2FF9"/>
    <w:rsid w:val="18581C69"/>
    <w:rsid w:val="1AEC0734"/>
    <w:rsid w:val="1CE40726"/>
    <w:rsid w:val="1DEF20B0"/>
    <w:rsid w:val="214243FA"/>
    <w:rsid w:val="21AD613C"/>
    <w:rsid w:val="22467189"/>
    <w:rsid w:val="257A14F5"/>
    <w:rsid w:val="27196C26"/>
    <w:rsid w:val="29EF086F"/>
    <w:rsid w:val="2EFFE297"/>
    <w:rsid w:val="301437CA"/>
    <w:rsid w:val="31742323"/>
    <w:rsid w:val="349D1F0A"/>
    <w:rsid w:val="34DD0473"/>
    <w:rsid w:val="364D39D9"/>
    <w:rsid w:val="391F6622"/>
    <w:rsid w:val="3C684897"/>
    <w:rsid w:val="433E495C"/>
    <w:rsid w:val="489F2FD7"/>
    <w:rsid w:val="4AC27CB3"/>
    <w:rsid w:val="4BF72BEF"/>
    <w:rsid w:val="4FA90297"/>
    <w:rsid w:val="4FC41A43"/>
    <w:rsid w:val="51DB3C59"/>
    <w:rsid w:val="550C0952"/>
    <w:rsid w:val="55762E42"/>
    <w:rsid w:val="57A7B272"/>
    <w:rsid w:val="58470068"/>
    <w:rsid w:val="58747CAC"/>
    <w:rsid w:val="5A1720F9"/>
    <w:rsid w:val="5B9C37C2"/>
    <w:rsid w:val="5BA7C654"/>
    <w:rsid w:val="60A54109"/>
    <w:rsid w:val="61D01CDF"/>
    <w:rsid w:val="61FA2891"/>
    <w:rsid w:val="64C0607C"/>
    <w:rsid w:val="65756C86"/>
    <w:rsid w:val="674D385B"/>
    <w:rsid w:val="676F09E1"/>
    <w:rsid w:val="6E1548AC"/>
    <w:rsid w:val="6E2401C4"/>
    <w:rsid w:val="71793A80"/>
    <w:rsid w:val="7357290B"/>
    <w:rsid w:val="798524E4"/>
    <w:rsid w:val="7A7F1C49"/>
    <w:rsid w:val="7B5B7AE6"/>
    <w:rsid w:val="7B7B6628"/>
    <w:rsid w:val="7BA7071E"/>
    <w:rsid w:val="7BDF6DA8"/>
    <w:rsid w:val="7C7EDC1A"/>
    <w:rsid w:val="7CCED98D"/>
    <w:rsid w:val="7CDD07EF"/>
    <w:rsid w:val="7D08410F"/>
    <w:rsid w:val="7DB96DED"/>
    <w:rsid w:val="7DD3AD81"/>
    <w:rsid w:val="7EB40DD0"/>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autoRedefine/>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Normal Indent"/>
    <w:basedOn w:val="1"/>
    <w:autoRedefine/>
    <w:qFormat/>
    <w:uiPriority w:val="0"/>
    <w:pPr>
      <w:ind w:firstLine="200" w:firstLineChars="200"/>
    </w:pPr>
  </w:style>
  <w:style w:type="paragraph" w:styleId="4">
    <w:name w:val="Body Text Indent"/>
    <w:basedOn w:val="1"/>
    <w:autoRedefine/>
    <w:qFormat/>
    <w:uiPriority w:val="0"/>
    <w:pPr>
      <w:ind w:firstLine="645"/>
    </w:pPr>
    <w:rPr>
      <w:rFonts w:ascii="仿宋_GB2312" w:hAnsi="Calibri" w:eastAsia="仿宋_GB2312"/>
      <w:sz w:val="32"/>
      <w:szCs w:val="32"/>
    </w:rPr>
  </w:style>
  <w:style w:type="paragraph" w:styleId="5">
    <w:name w:val="Date"/>
    <w:basedOn w:val="1"/>
    <w:next w:val="1"/>
    <w:autoRedefine/>
    <w:qFormat/>
    <w:uiPriority w:val="0"/>
    <w:pPr>
      <w:ind w:left="100" w:leftChars="2500"/>
    </w:pPr>
  </w:style>
  <w:style w:type="paragraph" w:styleId="6">
    <w:name w:val="Balloon Text"/>
    <w:basedOn w:val="1"/>
    <w:autoRedefine/>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autoRedefine/>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autoRedefine/>
    <w:unhideWhenUsed/>
    <w:qFormat/>
    <w:uiPriority w:val="0"/>
    <w:pPr>
      <w:spacing w:before="100" w:beforeAutospacing="1" w:after="100" w:afterAutospacing="1"/>
      <w:ind w:right="238"/>
      <w:jc w:val="left"/>
    </w:pPr>
    <w:rPr>
      <w:b/>
      <w:kern w:val="0"/>
      <w:sz w:val="24"/>
      <w:szCs w:val="20"/>
    </w:rPr>
  </w:style>
  <w:style w:type="character" w:styleId="12">
    <w:name w:val="Strong"/>
    <w:autoRedefine/>
    <w:qFormat/>
    <w:uiPriority w:val="0"/>
    <w:rPr>
      <w:b/>
    </w:rPr>
  </w:style>
  <w:style w:type="character" w:styleId="13">
    <w:name w:val="page number"/>
    <w:autoRedefine/>
    <w:qFormat/>
    <w:uiPriority w:val="0"/>
  </w:style>
  <w:style w:type="character" w:customStyle="1" w:styleId="14">
    <w:name w:val="页脚 Char"/>
    <w:link w:val="7"/>
    <w:autoRedefine/>
    <w:qFormat/>
    <w:uiPriority w:val="0"/>
    <w:rPr>
      <w:rFonts w:eastAsia="宋体"/>
      <w:kern w:val="2"/>
      <w:sz w:val="18"/>
      <w:szCs w:val="18"/>
      <w:lang w:val="en-US" w:eastAsia="zh-CN" w:bidi="ar-SA"/>
    </w:rPr>
  </w:style>
  <w:style w:type="character" w:customStyle="1" w:styleId="15">
    <w:name w:val="页眉 Char"/>
    <w:link w:val="8"/>
    <w:autoRedefine/>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autoRedefine/>
    <w:qFormat/>
    <w:uiPriority w:val="0"/>
    <w:rPr>
      <w:rFonts w:ascii="Tahoma" w:hAnsi="Tahoma"/>
      <w:sz w:val="24"/>
      <w:szCs w:val="20"/>
    </w:rPr>
  </w:style>
  <w:style w:type="paragraph" w:customStyle="1" w:styleId="17">
    <w:name w:val="Char1 Char Char Char"/>
    <w:basedOn w:val="1"/>
    <w:autoRedefine/>
    <w:qFormat/>
    <w:uiPriority w:val="0"/>
    <w:pPr>
      <w:widowControl/>
      <w:spacing w:after="160" w:line="240" w:lineRule="exact"/>
      <w:jc w:val="left"/>
    </w:pPr>
    <w:rPr>
      <w:szCs w:val="20"/>
    </w:rPr>
  </w:style>
  <w:style w:type="paragraph" w:customStyle="1" w:styleId="18">
    <w:name w:val="Char"/>
    <w:basedOn w:val="1"/>
    <w:autoRedefine/>
    <w:qFormat/>
    <w:uiPriority w:val="0"/>
    <w:rPr>
      <w:rFonts w:ascii="Tahoma" w:hAnsi="Tahoma"/>
      <w:sz w:val="24"/>
      <w:szCs w:val="20"/>
    </w:rPr>
  </w:style>
  <w:style w:type="paragraph" w:customStyle="1" w:styleId="19">
    <w:name w:val="Char Char3 Char Char"/>
    <w:basedOn w:val="1"/>
    <w:autoRedefine/>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endParaRPr lang="zh-CN" altLang="en-US" sz="1400" b="0"/>
          </a:p>
        </c:rich>
      </c:tx>
      <c:layout>
        <c:manualLayout>
          <c:xMode val="edge"/>
          <c:yMode val="edge"/>
          <c:x val="0.328378165801479"/>
          <c:y val="0.00818107444777747"/>
        </c:manualLayout>
      </c:layout>
      <c:overlay val="0"/>
    </c:title>
    <c:autoTitleDeleted val="0"/>
    <c:plotArea>
      <c:layout/>
      <c:pieChart>
        <c:varyColors val="1"/>
        <c:ser>
          <c:idx val="0"/>
          <c:order val="0"/>
          <c:tx>
            <c:strRef>
              <c:f>Sheet1!$B$1</c:f>
              <c:strCache>
                <c:ptCount val="1"/>
                <c:pt idx="0">
                  <c:v>收入</c:v>
                </c:pt>
              </c:strCache>
            </c:strRef>
          </c:tx>
          <c:explosion val="0"/>
          <c:dPt>
            <c:idx val="0"/>
            <c:bubble3D val="0"/>
          </c:dPt>
          <c:dPt>
            <c:idx val="1"/>
            <c:bubble3D val="0"/>
          </c:dPt>
          <c:dPt>
            <c:idx val="2"/>
            <c:bubble3D val="0"/>
          </c:dPt>
          <c:dPt>
            <c:idx val="3"/>
            <c:bubble3D val="0"/>
          </c:dPt>
          <c:dPt>
            <c:idx val="4"/>
            <c:bubble3D val="0"/>
          </c:dPt>
          <c:dPt>
            <c:idx val="5"/>
            <c:bubble3D val="0"/>
          </c:dPt>
          <c:dLbls>
            <c:dLbl>
              <c:idx val="1"/>
              <c:delete val="1"/>
            </c:dLbl>
            <c:dLbl>
              <c:idx val="2"/>
              <c:delete val="1"/>
            </c:dLbl>
            <c:dLbl>
              <c:idx val="3"/>
              <c:delete val="1"/>
            </c:dLbl>
            <c:dLbl>
              <c:idx val="4"/>
              <c:delete val="1"/>
            </c:dLbl>
            <c:dLbl>
              <c:idx val="5"/>
              <c:layout>
                <c:manualLayout>
                  <c:x val="0.017062825474205"/>
                  <c:y val="0.0930155067691212"/>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t>0</a:t>
                    </a:r>
                    <a:r>
                      <a:rPr lang="en-US" altLang="zh-CN"/>
                      <a:t>.86%</a:t>
                    </a:r>
                    <a:endParaRPr lang="en-US" altLang="zh-CN"/>
                  </a:p>
                </c:rich>
              </c:tx>
              <c:dLblPos val="bestFit"/>
              <c:showLegendKey val="0"/>
              <c:showVal val="0"/>
              <c:showCatName val="0"/>
              <c:showSerName val="0"/>
              <c:showPercent val="1"/>
              <c:showBubbleSize val="0"/>
              <c:extLst>
                <c:ext xmlns:c15="http://schemas.microsoft.com/office/drawing/2012/chart" uri="{CE6537A1-D6FC-4f65-9D91-7224C49458BB}">
                  <c15:layout>
                    <c:manualLayout>
                      <c:w val="0.136542394211106"/>
                      <c:h val="0.193073356967548"/>
                    </c:manualLayout>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Sheet1!$A$2:$A$7</c:f>
              <c:strCache>
                <c:ptCount val="6"/>
                <c:pt idx="0">
                  <c:v>财政拨款收入</c:v>
                </c:pt>
                <c:pt idx="1">
                  <c:v>上级补助收入</c:v>
                </c:pt>
                <c:pt idx="2">
                  <c:v>事业收入</c:v>
                </c:pt>
                <c:pt idx="3">
                  <c:v>经营收入</c:v>
                </c:pt>
                <c:pt idx="4">
                  <c:v>附属单位上缴</c:v>
                </c:pt>
                <c:pt idx="5">
                  <c:v>其他收入</c:v>
                </c:pt>
              </c:strCache>
            </c:strRef>
          </c:cat>
          <c:val>
            <c:numRef>
              <c:f>Sheet1!$B$2:$B$7</c:f>
              <c:numCache>
                <c:formatCode>General</c:formatCode>
                <c:ptCount val="6"/>
                <c:pt idx="0">
                  <c:v>7547.33</c:v>
                </c:pt>
                <c:pt idx="1">
                  <c:v>0</c:v>
                </c:pt>
                <c:pt idx="2">
                  <c:v>0</c:v>
                </c:pt>
                <c:pt idx="3">
                  <c:v>0</c:v>
                </c:pt>
                <c:pt idx="4">
                  <c:v>0</c:v>
                </c:pt>
                <c:pt idx="5">
                  <c:v>65.12</c:v>
                </c:pt>
              </c:numCache>
            </c:numRef>
          </c:val>
        </c:ser>
        <c:dLbls>
          <c:showLegendKey val="0"/>
          <c:showVal val="1"/>
          <c:showCatName val="0"/>
          <c:showSerName val="0"/>
          <c:showPercent val="0"/>
          <c:showBubbleSize val="0"/>
          <c:showLeaderLines val="1"/>
        </c:dLbls>
        <c:firstSliceAng val="0"/>
      </c:pieChart>
    </c:plotArea>
    <c:legend>
      <c:legendPos val="r"/>
      <c:legendEntry>
        <c:idx val="1"/>
        <c:delete val="1"/>
      </c:legendEntry>
      <c:legendEntry>
        <c:idx val="2"/>
        <c:delete val="1"/>
      </c:legendEntry>
      <c:legendEntry>
        <c:idx val="3"/>
        <c:delete val="1"/>
      </c:legendEntry>
      <c:legendEntry>
        <c:idx val="4"/>
        <c:delete val="1"/>
      </c:legendEntry>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endParaRPr lang="zh-CN" altLang="en-US">
              <a:solidFill>
                <a:schemeClr val="tx1"/>
              </a:solidFill>
            </a:endParaRPr>
          </a:p>
        </c:rich>
      </c:tx>
      <c:layout/>
      <c:overlay val="0"/>
      <c:spPr>
        <a:noFill/>
        <a:ln>
          <a:noFill/>
        </a:ln>
        <a:effectLst/>
      </c:spPr>
    </c:title>
    <c:autoTitleDeleted val="0"/>
    <c:plotArea>
      <c:layout/>
      <c:pieChart>
        <c:varyColors val="1"/>
        <c:ser>
          <c:idx val="0"/>
          <c:order val="0"/>
          <c:tx>
            <c:strRef>
              <c:f>Sheet0!$B$1</c:f>
              <c:strCache>
                <c:ptCount val="1"/>
                <c:pt idx="0">
                  <c:v>支出</c:v>
                </c:pt>
              </c:strCache>
            </c:strRef>
          </c:tx>
          <c:explosion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2"/>
              <c:delete val="1"/>
            </c:dLbl>
            <c:dLbl>
              <c:idx val="3"/>
              <c:delete val="1"/>
            </c:dLbl>
            <c:dLbl>
              <c:idx val="4"/>
              <c:delete val="1"/>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4897.09</c:v>
                </c:pt>
                <c:pt idx="1">
                  <c:v>2684.3</c:v>
                </c:pt>
                <c:pt idx="2">
                  <c:v>0</c:v>
                </c:pt>
                <c:pt idx="3">
                  <c:v>0</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2"/>
        <c:delete val="1"/>
      </c:legendEntry>
      <c:legendEntry>
        <c:idx val="3"/>
        <c:delete val="1"/>
      </c:legendEntry>
      <c:legendEntry>
        <c:idx val="4"/>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chart>
  <c:spPr>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268</Words>
  <Characters>286</Characters>
  <Lines>44</Lines>
  <Paragraphs>12</Paragraphs>
  <TotalTime>38</TotalTime>
  <ScaleCrop>false</ScaleCrop>
  <LinksUpToDate>false</LinksUpToDate>
  <CharactersWithSpaces>298</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ying</cp:lastModifiedBy>
  <cp:lastPrinted>2020-08-07T11:39:00Z</cp:lastPrinted>
  <dcterms:modified xsi:type="dcterms:W3CDTF">2025-09-10T09:50:55Z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9E6E64E2BAE846E38B8FC0345CE54C84_13</vt:lpwstr>
  </property>
  <property fmtid="{D5CDD505-2E9C-101B-9397-08002B2CF9AE}" pid="4" name="KSOTemplateDocerSaveRecord">
    <vt:lpwstr>eyJoZGlkIjoiZDViYTJhYmUwZDdmMDdmOWU4ZTViNzZhYmM0NmFiNmMiLCJ1c2VySWQiOiIyNTkxMTU4NDAifQ==</vt:lpwstr>
  </property>
</Properties>
</file>