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23DA1">
      <w:pPr>
        <w:jc w:val="center"/>
        <w:rPr>
          <w:rFonts w:ascii="仿宋_GB2312" w:eastAsia="仿宋_GB2312"/>
          <w:b/>
          <w:color w:val="auto"/>
          <w:sz w:val="32"/>
          <w:szCs w:val="32"/>
        </w:rPr>
      </w:pPr>
    </w:p>
    <w:p w14:paraId="1F70B845">
      <w:pPr>
        <w:jc w:val="center"/>
        <w:rPr>
          <w:rFonts w:ascii="黑体" w:eastAsia="黑体"/>
          <w:color w:val="auto"/>
          <w:sz w:val="72"/>
          <w:szCs w:val="72"/>
        </w:rPr>
      </w:pPr>
    </w:p>
    <w:p w14:paraId="5D74B122">
      <w:pPr>
        <w:jc w:val="center"/>
        <w:rPr>
          <w:rFonts w:ascii="黑体" w:eastAsia="黑体"/>
          <w:color w:val="auto"/>
          <w:sz w:val="72"/>
          <w:szCs w:val="72"/>
        </w:rPr>
      </w:pPr>
    </w:p>
    <w:p w14:paraId="3E3B7CE5">
      <w:pPr>
        <w:jc w:val="center"/>
        <w:rPr>
          <w:rFonts w:ascii="黑体" w:eastAsia="黑体"/>
          <w:color w:val="auto"/>
          <w:sz w:val="72"/>
          <w:szCs w:val="72"/>
        </w:rPr>
      </w:pPr>
    </w:p>
    <w:p w14:paraId="64F60A11">
      <w:pPr>
        <w:jc w:val="center"/>
        <w:rPr>
          <w:rFonts w:ascii="黑体" w:eastAsia="黑体"/>
          <w:color w:val="auto"/>
          <w:sz w:val="72"/>
          <w:szCs w:val="72"/>
        </w:rPr>
      </w:pPr>
    </w:p>
    <w:p w14:paraId="2AB53D99">
      <w:pPr>
        <w:jc w:val="center"/>
        <w:rPr>
          <w:rFonts w:ascii="黑体" w:eastAsia="黑体"/>
          <w:color w:val="auto"/>
          <w:sz w:val="72"/>
          <w:szCs w:val="72"/>
        </w:rPr>
      </w:pPr>
      <w:r>
        <w:rPr>
          <w:rFonts w:hint="eastAsia" w:ascii="黑体" w:eastAsia="黑体"/>
          <w:color w:val="auto"/>
          <w:sz w:val="72"/>
          <w:szCs w:val="72"/>
        </w:rPr>
        <w:t>2024年度</w:t>
      </w:r>
      <w:r>
        <w:rPr>
          <w:rFonts w:hint="eastAsia" w:ascii="黑体" w:eastAsia="黑体"/>
          <w:color w:val="auto"/>
          <w:sz w:val="72"/>
          <w:szCs w:val="72"/>
          <w:lang w:val="en-US" w:eastAsia="zh-CN"/>
        </w:rPr>
        <w:t>单位</w:t>
      </w:r>
      <w:r>
        <w:rPr>
          <w:rFonts w:hint="eastAsia" w:ascii="黑体" w:eastAsia="黑体"/>
          <w:color w:val="auto"/>
          <w:sz w:val="72"/>
          <w:szCs w:val="72"/>
        </w:rPr>
        <w:t>决算（公开</w:t>
      </w:r>
      <w:r>
        <w:rPr>
          <w:rFonts w:ascii="黑体" w:eastAsia="黑体"/>
          <w:color w:val="auto"/>
          <w:sz w:val="72"/>
          <w:szCs w:val="72"/>
        </w:rPr>
        <w:t>）</w:t>
      </w:r>
    </w:p>
    <w:p w14:paraId="6D0747DF">
      <w:pPr>
        <w:jc w:val="center"/>
        <w:rPr>
          <w:rFonts w:ascii="黑体" w:eastAsia="黑体"/>
          <w:color w:val="auto"/>
          <w:sz w:val="52"/>
          <w:szCs w:val="52"/>
        </w:rPr>
      </w:pPr>
    </w:p>
    <w:p w14:paraId="10D21084">
      <w:pPr>
        <w:jc w:val="center"/>
        <w:rPr>
          <w:rFonts w:ascii="黑体" w:eastAsia="黑体"/>
          <w:color w:val="auto"/>
          <w:sz w:val="52"/>
          <w:szCs w:val="52"/>
        </w:rPr>
      </w:pPr>
    </w:p>
    <w:p w14:paraId="1C3787B9">
      <w:pPr>
        <w:jc w:val="center"/>
        <w:rPr>
          <w:rFonts w:ascii="黑体" w:eastAsia="黑体"/>
          <w:color w:val="auto"/>
          <w:sz w:val="52"/>
          <w:szCs w:val="52"/>
        </w:rPr>
      </w:pPr>
    </w:p>
    <w:p w14:paraId="45CCB7A5">
      <w:pPr>
        <w:jc w:val="center"/>
        <w:rPr>
          <w:rFonts w:ascii="黑体" w:eastAsia="黑体"/>
          <w:color w:val="auto"/>
          <w:sz w:val="52"/>
          <w:szCs w:val="52"/>
        </w:rPr>
      </w:pPr>
    </w:p>
    <w:p w14:paraId="1CBC5981">
      <w:pPr>
        <w:jc w:val="center"/>
        <w:rPr>
          <w:rFonts w:ascii="黑体" w:eastAsia="黑体"/>
          <w:color w:val="auto"/>
          <w:sz w:val="32"/>
          <w:szCs w:val="32"/>
        </w:rPr>
      </w:pPr>
    </w:p>
    <w:p w14:paraId="5144F166">
      <w:pPr>
        <w:spacing w:line="500" w:lineRule="exact"/>
        <w:ind w:firstLine="645"/>
        <w:jc w:val="center"/>
        <w:rPr>
          <w:rFonts w:ascii="宋体" w:hAnsi="宋体" w:cs="宋体"/>
          <w:b/>
          <w:bCs/>
          <w:color w:val="auto"/>
          <w:kern w:val="0"/>
          <w:sz w:val="44"/>
          <w:szCs w:val="36"/>
        </w:rPr>
      </w:pPr>
      <w:r>
        <w:rPr>
          <w:rFonts w:hint="eastAsia" w:ascii="宋体" w:hAnsi="宋体" w:cs="宋体"/>
          <w:b/>
          <w:bCs/>
          <w:color w:val="auto"/>
          <w:kern w:val="0"/>
          <w:sz w:val="44"/>
          <w:szCs w:val="36"/>
        </w:rPr>
        <w:t>目    录</w:t>
      </w:r>
    </w:p>
    <w:p w14:paraId="734FB2FC">
      <w:pPr>
        <w:spacing w:line="500" w:lineRule="exact"/>
        <w:ind w:firstLine="645"/>
        <w:jc w:val="center"/>
        <w:rPr>
          <w:rFonts w:ascii="宋体" w:hAnsi="宋体" w:cs="宋体"/>
          <w:b/>
          <w:bCs/>
          <w:color w:val="auto"/>
          <w:kern w:val="0"/>
          <w:sz w:val="36"/>
          <w:szCs w:val="36"/>
        </w:rPr>
      </w:pPr>
    </w:p>
    <w:p w14:paraId="531C90B2">
      <w:pPr>
        <w:tabs>
          <w:tab w:val="center" w:pos="6979"/>
        </w:tabs>
        <w:spacing w:line="500" w:lineRule="exact"/>
        <w:ind w:firstLine="1600" w:firstLineChars="400"/>
        <w:jc w:val="left"/>
        <w:rPr>
          <w:rFonts w:ascii="宋体" w:hAnsi="宋体" w:cs="宋体"/>
          <w:bCs/>
          <w:color w:val="auto"/>
          <w:spacing w:val="40"/>
          <w:kern w:val="0"/>
          <w:sz w:val="32"/>
          <w:szCs w:val="32"/>
        </w:rPr>
      </w:pPr>
      <w:r>
        <w:rPr>
          <w:rFonts w:hint="eastAsia" w:ascii="宋体" w:hAnsi="宋体" w:cs="宋体"/>
          <w:bCs/>
          <w:color w:val="auto"/>
          <w:spacing w:val="40"/>
          <w:kern w:val="0"/>
          <w:sz w:val="32"/>
          <w:szCs w:val="32"/>
        </w:rPr>
        <w:t>第一部分 2024年度</w:t>
      </w:r>
      <w:r>
        <w:rPr>
          <w:rFonts w:hint="eastAsia" w:ascii="宋体" w:hAnsi="宋体" w:cs="宋体"/>
          <w:bCs/>
          <w:color w:val="auto"/>
          <w:spacing w:val="40"/>
          <w:kern w:val="0"/>
          <w:sz w:val="32"/>
          <w:szCs w:val="32"/>
          <w:lang w:val="en-US" w:eastAsia="zh-CN"/>
        </w:rPr>
        <w:t>单位</w:t>
      </w:r>
      <w:r>
        <w:rPr>
          <w:rFonts w:hint="eastAsia" w:ascii="宋体" w:hAnsi="宋体" w:cs="宋体"/>
          <w:bCs/>
          <w:color w:val="auto"/>
          <w:spacing w:val="40"/>
          <w:kern w:val="0"/>
          <w:sz w:val="32"/>
          <w:szCs w:val="32"/>
        </w:rPr>
        <w:t>决算报表</w:t>
      </w:r>
    </w:p>
    <w:p w14:paraId="79312B32">
      <w:pPr>
        <w:tabs>
          <w:tab w:val="center" w:pos="6979"/>
        </w:tabs>
        <w:spacing w:line="500" w:lineRule="exact"/>
        <w:ind w:firstLine="2400" w:firstLineChars="600"/>
        <w:jc w:val="left"/>
        <w:rPr>
          <w:rFonts w:ascii="仿宋_GB2312" w:hAnsi="仿宋" w:eastAsia="仿宋_GB2312"/>
          <w:color w:val="auto"/>
          <w:spacing w:val="40"/>
          <w:sz w:val="32"/>
          <w:szCs w:val="32"/>
        </w:rPr>
      </w:pPr>
      <w:r>
        <w:rPr>
          <w:rFonts w:hint="eastAsia" w:ascii="仿宋_GB2312" w:hAnsi="仿宋" w:eastAsia="仿宋_GB2312" w:cs="宋体"/>
          <w:bCs/>
          <w:color w:val="auto"/>
          <w:spacing w:val="40"/>
          <w:kern w:val="0"/>
          <w:sz w:val="32"/>
          <w:szCs w:val="32"/>
        </w:rPr>
        <w:t>一、收入支出决算总表</w:t>
      </w:r>
    </w:p>
    <w:p w14:paraId="646BBA34">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二、收入决算表</w:t>
      </w:r>
    </w:p>
    <w:p w14:paraId="29776809">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三、支出决算表</w:t>
      </w:r>
    </w:p>
    <w:p w14:paraId="05D1B7C7">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四、财政拨款收入支出决算总表</w:t>
      </w:r>
    </w:p>
    <w:p w14:paraId="55B7C6EA">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五、一般公共预算财政拨款支出决算表</w:t>
      </w:r>
    </w:p>
    <w:p w14:paraId="2CBF1AA2">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六、一般公共预算财政拨款</w:t>
      </w:r>
      <w:r>
        <w:rPr>
          <w:rFonts w:ascii="仿宋_GB2312" w:hAnsi="仿宋" w:eastAsia="仿宋_GB2312" w:cs="宋体"/>
          <w:bCs/>
          <w:color w:val="auto"/>
          <w:spacing w:val="40"/>
          <w:kern w:val="0"/>
          <w:sz w:val="32"/>
          <w:szCs w:val="32"/>
        </w:rPr>
        <w:t>基本支出决算表</w:t>
      </w:r>
    </w:p>
    <w:p w14:paraId="6D24E310">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七</w:t>
      </w:r>
      <w:r>
        <w:rPr>
          <w:rFonts w:ascii="仿宋_GB2312" w:hAnsi="仿宋" w:eastAsia="仿宋_GB2312" w:cs="宋体"/>
          <w:bCs/>
          <w:color w:val="auto"/>
          <w:spacing w:val="40"/>
          <w:kern w:val="0"/>
          <w:sz w:val="32"/>
          <w:szCs w:val="32"/>
        </w:rPr>
        <w:t>、</w:t>
      </w:r>
      <w:r>
        <w:rPr>
          <w:rFonts w:hint="eastAsia" w:ascii="仿宋_GB2312" w:hAnsi="仿宋" w:eastAsia="仿宋_GB2312" w:cs="宋体"/>
          <w:bCs/>
          <w:color w:val="auto"/>
          <w:spacing w:val="40"/>
          <w:kern w:val="0"/>
          <w:sz w:val="32"/>
          <w:szCs w:val="32"/>
        </w:rPr>
        <w:t>政府性基金预算财政拨款收入支出决算表</w:t>
      </w:r>
    </w:p>
    <w:p w14:paraId="691DD5A8">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八、</w:t>
      </w:r>
      <w:r>
        <w:rPr>
          <w:rFonts w:ascii="仿宋_GB2312" w:hAnsi="仿宋" w:eastAsia="仿宋_GB2312" w:cs="宋体"/>
          <w:bCs/>
          <w:color w:val="auto"/>
          <w:spacing w:val="40"/>
          <w:kern w:val="0"/>
          <w:sz w:val="32"/>
          <w:szCs w:val="32"/>
        </w:rPr>
        <w:t>政府性基金</w:t>
      </w:r>
      <w:r>
        <w:rPr>
          <w:rFonts w:hint="eastAsia" w:ascii="仿宋_GB2312" w:hAnsi="仿宋" w:eastAsia="仿宋_GB2312" w:cs="宋体"/>
          <w:bCs/>
          <w:color w:val="auto"/>
          <w:spacing w:val="40"/>
          <w:kern w:val="0"/>
          <w:sz w:val="32"/>
          <w:szCs w:val="32"/>
        </w:rPr>
        <w:t>预算</w:t>
      </w:r>
      <w:r>
        <w:rPr>
          <w:rFonts w:ascii="仿宋_GB2312" w:hAnsi="仿宋" w:eastAsia="仿宋_GB2312" w:cs="宋体"/>
          <w:bCs/>
          <w:color w:val="auto"/>
          <w:spacing w:val="40"/>
          <w:kern w:val="0"/>
          <w:sz w:val="32"/>
          <w:szCs w:val="32"/>
        </w:rPr>
        <w:t>财政拨款基本支出决算表</w:t>
      </w:r>
    </w:p>
    <w:p w14:paraId="5B256DD0">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九、国有资本经营预算财政拨款支出决算表</w:t>
      </w:r>
    </w:p>
    <w:p w14:paraId="1A0EA527">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十、财政拨款“三公”经费支出决算表</w:t>
      </w:r>
    </w:p>
    <w:p w14:paraId="224FFCE6">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十一、政府采购情况表</w:t>
      </w:r>
    </w:p>
    <w:p w14:paraId="38E53501">
      <w:pPr>
        <w:tabs>
          <w:tab w:val="center" w:pos="6979"/>
        </w:tabs>
        <w:spacing w:line="500" w:lineRule="exact"/>
        <w:ind w:firstLine="2400" w:firstLineChars="600"/>
        <w:jc w:val="left"/>
        <w:rPr>
          <w:rFonts w:ascii="仿宋_GB2312" w:hAnsi="仿宋" w:eastAsia="仿宋_GB2312" w:cs="宋体"/>
          <w:bCs/>
          <w:color w:val="auto"/>
          <w:spacing w:val="40"/>
          <w:kern w:val="0"/>
          <w:sz w:val="32"/>
          <w:szCs w:val="32"/>
        </w:rPr>
      </w:pPr>
      <w:r>
        <w:rPr>
          <w:rFonts w:hint="eastAsia" w:ascii="仿宋_GB2312" w:hAnsi="仿宋" w:eastAsia="仿宋_GB2312" w:cs="宋体"/>
          <w:bCs/>
          <w:color w:val="auto"/>
          <w:spacing w:val="40"/>
          <w:kern w:val="0"/>
          <w:sz w:val="32"/>
          <w:szCs w:val="32"/>
        </w:rPr>
        <w:t>十二、政府购买服务决算公开情况表</w:t>
      </w:r>
    </w:p>
    <w:p w14:paraId="5D3B9025">
      <w:pPr>
        <w:tabs>
          <w:tab w:val="center" w:pos="6979"/>
        </w:tabs>
        <w:spacing w:line="500" w:lineRule="exact"/>
        <w:ind w:firstLine="1600" w:firstLineChars="400"/>
        <w:jc w:val="left"/>
        <w:rPr>
          <w:rFonts w:ascii="宋体" w:hAnsi="宋体" w:cs="宋体"/>
          <w:bCs/>
          <w:color w:val="auto"/>
          <w:spacing w:val="40"/>
          <w:kern w:val="0"/>
          <w:sz w:val="32"/>
          <w:szCs w:val="32"/>
        </w:rPr>
      </w:pPr>
      <w:r>
        <w:rPr>
          <w:rFonts w:hint="eastAsia" w:ascii="宋体" w:hAnsi="宋体" w:cs="宋体"/>
          <w:bCs/>
          <w:color w:val="auto"/>
          <w:spacing w:val="40"/>
          <w:kern w:val="0"/>
          <w:sz w:val="32"/>
          <w:szCs w:val="32"/>
        </w:rPr>
        <w:t xml:space="preserve">第二部分 </w:t>
      </w:r>
      <w:r>
        <w:rPr>
          <w:rFonts w:hint="eastAsia" w:ascii="宋体" w:hAnsi="宋体"/>
          <w:color w:val="auto"/>
          <w:spacing w:val="40"/>
          <w:sz w:val="32"/>
          <w:szCs w:val="32"/>
        </w:rPr>
        <w:t>2024年度</w:t>
      </w:r>
      <w:r>
        <w:rPr>
          <w:rFonts w:hint="eastAsia" w:ascii="宋体" w:hAnsi="宋体"/>
          <w:color w:val="auto"/>
          <w:spacing w:val="40"/>
          <w:sz w:val="32"/>
          <w:szCs w:val="32"/>
          <w:lang w:val="en-US" w:eastAsia="zh-CN"/>
        </w:rPr>
        <w:t>单位</w:t>
      </w:r>
      <w:r>
        <w:rPr>
          <w:rFonts w:hint="eastAsia" w:ascii="宋体" w:hAnsi="宋体"/>
          <w:color w:val="auto"/>
          <w:spacing w:val="40"/>
          <w:sz w:val="32"/>
          <w:szCs w:val="32"/>
        </w:rPr>
        <w:t>决算说明</w:t>
      </w:r>
    </w:p>
    <w:p w14:paraId="513553D2">
      <w:pPr>
        <w:tabs>
          <w:tab w:val="center" w:pos="6979"/>
        </w:tabs>
        <w:spacing w:line="500" w:lineRule="exact"/>
        <w:ind w:firstLine="1600" w:firstLineChars="400"/>
        <w:jc w:val="left"/>
        <w:rPr>
          <w:rFonts w:ascii="宋体" w:hAnsi="宋体" w:cs="宋体"/>
          <w:color w:val="auto"/>
          <w:spacing w:val="40"/>
          <w:kern w:val="0"/>
          <w:sz w:val="32"/>
          <w:szCs w:val="32"/>
        </w:rPr>
      </w:pPr>
      <w:r>
        <w:rPr>
          <w:rFonts w:hint="eastAsia" w:ascii="宋体" w:hAnsi="宋体" w:cs="宋体"/>
          <w:bCs/>
          <w:color w:val="auto"/>
          <w:spacing w:val="40"/>
          <w:kern w:val="0"/>
          <w:sz w:val="32"/>
          <w:szCs w:val="32"/>
        </w:rPr>
        <w:t xml:space="preserve">第三部分 </w:t>
      </w:r>
      <w:r>
        <w:rPr>
          <w:rFonts w:hint="eastAsia" w:ascii="宋体" w:hAnsi="宋体"/>
          <w:color w:val="auto"/>
          <w:spacing w:val="40"/>
          <w:sz w:val="32"/>
          <w:szCs w:val="32"/>
        </w:rPr>
        <w:t>2024年度</w:t>
      </w:r>
      <w:r>
        <w:rPr>
          <w:rFonts w:hint="eastAsia" w:ascii="宋体" w:hAnsi="宋体" w:cs="宋体"/>
          <w:color w:val="auto"/>
          <w:spacing w:val="40"/>
          <w:kern w:val="0"/>
          <w:sz w:val="32"/>
          <w:szCs w:val="32"/>
        </w:rPr>
        <w:t>其他重要事项的情况说明</w:t>
      </w:r>
    </w:p>
    <w:p w14:paraId="3F724ED8">
      <w:pPr>
        <w:tabs>
          <w:tab w:val="center" w:pos="6979"/>
        </w:tabs>
        <w:spacing w:line="500" w:lineRule="exact"/>
        <w:ind w:firstLine="1600" w:firstLineChars="400"/>
        <w:jc w:val="left"/>
        <w:rPr>
          <w:rFonts w:ascii="宋体" w:hAnsi="宋体" w:cs="宋体"/>
          <w:color w:val="auto"/>
          <w:spacing w:val="40"/>
          <w:kern w:val="0"/>
          <w:sz w:val="36"/>
          <w:szCs w:val="32"/>
        </w:rPr>
      </w:pPr>
      <w:r>
        <w:rPr>
          <w:rFonts w:hint="eastAsia" w:ascii="宋体" w:hAnsi="宋体" w:cs="宋体"/>
          <w:color w:val="auto"/>
          <w:spacing w:val="40"/>
          <w:kern w:val="0"/>
          <w:sz w:val="32"/>
          <w:szCs w:val="32"/>
        </w:rPr>
        <w:t>第四部分 2024年度</w:t>
      </w:r>
      <w:r>
        <w:rPr>
          <w:rFonts w:hint="eastAsia" w:ascii="宋体" w:hAnsi="宋体" w:cs="宋体"/>
          <w:color w:val="auto"/>
          <w:spacing w:val="40"/>
          <w:kern w:val="0"/>
          <w:sz w:val="32"/>
          <w:szCs w:val="32"/>
          <w:lang w:val="en-US" w:eastAsia="zh-CN"/>
        </w:rPr>
        <w:t>单位</w:t>
      </w:r>
      <w:r>
        <w:rPr>
          <w:rFonts w:hint="eastAsia" w:ascii="宋体" w:hAnsi="宋体" w:cs="宋体"/>
          <w:color w:val="auto"/>
          <w:spacing w:val="40"/>
          <w:kern w:val="0"/>
          <w:sz w:val="32"/>
          <w:szCs w:val="32"/>
        </w:rPr>
        <w:t>绩效评价情况</w:t>
      </w:r>
    </w:p>
    <w:p w14:paraId="281FE8C8">
      <w:pPr>
        <w:tabs>
          <w:tab w:val="center" w:pos="6979"/>
        </w:tabs>
        <w:spacing w:before="156" w:beforeLines="50" w:after="156" w:afterLines="50"/>
        <w:jc w:val="center"/>
        <w:rPr>
          <w:rFonts w:ascii="宋体" w:hAnsi="宋体" w:cs="宋体"/>
          <w:b/>
          <w:bCs/>
          <w:color w:val="auto"/>
          <w:spacing w:val="40"/>
          <w:kern w:val="0"/>
          <w:sz w:val="32"/>
          <w:szCs w:val="32"/>
        </w:rPr>
      </w:pPr>
    </w:p>
    <w:p w14:paraId="44B3C03C">
      <w:pPr>
        <w:tabs>
          <w:tab w:val="center" w:pos="6979"/>
        </w:tabs>
        <w:spacing w:before="156" w:beforeLines="50" w:after="156" w:afterLines="50"/>
        <w:jc w:val="center"/>
        <w:rPr>
          <w:rFonts w:ascii="宋体" w:hAnsi="宋体" w:cs="宋体"/>
          <w:b/>
          <w:bCs/>
          <w:color w:val="auto"/>
          <w:spacing w:val="40"/>
          <w:kern w:val="0"/>
          <w:sz w:val="32"/>
          <w:szCs w:val="32"/>
        </w:rPr>
      </w:pPr>
    </w:p>
    <w:p w14:paraId="01C119EA">
      <w:pPr>
        <w:tabs>
          <w:tab w:val="center" w:pos="6979"/>
        </w:tabs>
        <w:spacing w:before="156" w:beforeLines="50" w:after="156" w:afterLines="50"/>
        <w:jc w:val="center"/>
        <w:rPr>
          <w:rFonts w:ascii="宋体" w:hAnsi="宋体" w:cs="宋体"/>
          <w:b/>
          <w:bCs/>
          <w:color w:val="auto"/>
          <w:spacing w:val="40"/>
          <w:kern w:val="0"/>
          <w:sz w:val="32"/>
          <w:szCs w:val="32"/>
        </w:rPr>
      </w:pPr>
    </w:p>
    <w:p w14:paraId="4B7830FE">
      <w:pPr>
        <w:tabs>
          <w:tab w:val="center" w:pos="6979"/>
        </w:tabs>
        <w:spacing w:before="156" w:beforeLines="50" w:after="156" w:afterLines="50"/>
        <w:jc w:val="center"/>
        <w:rPr>
          <w:rFonts w:ascii="宋体" w:hAnsi="宋体" w:cs="宋体"/>
          <w:b/>
          <w:bCs/>
          <w:color w:val="auto"/>
          <w:spacing w:val="40"/>
          <w:kern w:val="0"/>
          <w:sz w:val="32"/>
          <w:szCs w:val="32"/>
        </w:rPr>
      </w:pPr>
    </w:p>
    <w:p w14:paraId="56FD27E4">
      <w:pPr>
        <w:tabs>
          <w:tab w:val="center" w:pos="6979"/>
        </w:tabs>
        <w:spacing w:before="156" w:beforeLines="50" w:after="156" w:afterLines="50"/>
        <w:jc w:val="center"/>
        <w:rPr>
          <w:rFonts w:ascii="宋体" w:hAnsi="宋体" w:cs="宋体"/>
          <w:b/>
          <w:bCs/>
          <w:color w:val="auto"/>
          <w:spacing w:val="40"/>
          <w:kern w:val="0"/>
          <w:sz w:val="32"/>
          <w:szCs w:val="32"/>
        </w:rPr>
      </w:pPr>
    </w:p>
    <w:p w14:paraId="15385850">
      <w:pPr>
        <w:tabs>
          <w:tab w:val="center" w:pos="6979"/>
        </w:tabs>
        <w:spacing w:before="156" w:beforeLines="50" w:after="156" w:afterLines="50"/>
        <w:jc w:val="center"/>
        <w:rPr>
          <w:rFonts w:ascii="宋体" w:hAnsi="宋体" w:cs="宋体"/>
          <w:b/>
          <w:bCs/>
          <w:color w:val="auto"/>
          <w:spacing w:val="40"/>
          <w:kern w:val="0"/>
          <w:sz w:val="32"/>
          <w:szCs w:val="32"/>
        </w:rPr>
      </w:pPr>
      <w:r>
        <w:rPr>
          <w:rFonts w:hint="eastAsia" w:ascii="宋体" w:hAnsi="宋体" w:cs="宋体"/>
          <w:b/>
          <w:bCs/>
          <w:color w:val="auto"/>
          <w:spacing w:val="40"/>
          <w:kern w:val="0"/>
          <w:sz w:val="44"/>
          <w:szCs w:val="44"/>
        </w:rPr>
        <w:t>第一部分 2024年度</w:t>
      </w:r>
      <w:r>
        <w:rPr>
          <w:rFonts w:hint="eastAsia" w:ascii="宋体" w:hAnsi="宋体" w:cs="宋体"/>
          <w:b/>
          <w:bCs/>
          <w:color w:val="auto"/>
          <w:spacing w:val="40"/>
          <w:kern w:val="0"/>
          <w:sz w:val="44"/>
          <w:szCs w:val="44"/>
          <w:lang w:val="en-US" w:eastAsia="zh-CN"/>
        </w:rPr>
        <w:t>单位</w:t>
      </w:r>
      <w:r>
        <w:rPr>
          <w:rFonts w:hint="eastAsia" w:ascii="宋体" w:hAnsi="宋体" w:cs="宋体"/>
          <w:b/>
          <w:bCs/>
          <w:color w:val="auto"/>
          <w:spacing w:val="40"/>
          <w:kern w:val="0"/>
          <w:sz w:val="44"/>
          <w:szCs w:val="44"/>
        </w:rPr>
        <w:t>决算报表</w:t>
      </w:r>
    </w:p>
    <w:p w14:paraId="67F8CAB5">
      <w:pPr>
        <w:pStyle w:val="2"/>
        <w:rPr>
          <w:b w:val="0"/>
          <w:bCs w:val="0"/>
          <w:color w:val="auto"/>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color w:val="auto"/>
          <w:sz w:val="28"/>
          <w:szCs w:val="28"/>
        </w:rPr>
        <w:t xml:space="preserve">   </w:t>
      </w:r>
      <w:r>
        <w:rPr>
          <w:rFonts w:hint="eastAsia" w:ascii="仿宋_GB2312" w:eastAsia="仿宋_GB2312"/>
          <w:b w:val="0"/>
          <w:bCs w:val="0"/>
          <w:color w:val="auto"/>
          <w:sz w:val="28"/>
          <w:szCs w:val="28"/>
        </w:rPr>
        <w:t>报表详见附件。</w:t>
      </w:r>
    </w:p>
    <w:p w14:paraId="275678EE">
      <w:pPr>
        <w:tabs>
          <w:tab w:val="center" w:pos="6979"/>
        </w:tabs>
        <w:spacing w:before="156" w:beforeLines="50" w:after="156" w:afterLines="50"/>
        <w:jc w:val="center"/>
        <w:rPr>
          <w:rFonts w:ascii="宋体" w:hAnsi="宋体"/>
          <w:b/>
          <w:color w:val="auto"/>
          <w:sz w:val="32"/>
          <w:szCs w:val="32"/>
        </w:rPr>
      </w:pPr>
      <w:r>
        <w:rPr>
          <w:rFonts w:hint="eastAsia" w:ascii="宋体" w:hAnsi="宋体" w:cs="宋体"/>
          <w:b/>
          <w:bCs/>
          <w:color w:val="auto"/>
          <w:spacing w:val="40"/>
          <w:kern w:val="0"/>
          <w:sz w:val="32"/>
          <w:szCs w:val="32"/>
        </w:rPr>
        <w:t xml:space="preserve">第二部分 </w:t>
      </w:r>
      <w:r>
        <w:rPr>
          <w:rFonts w:hint="eastAsia" w:ascii="宋体" w:hAnsi="宋体"/>
          <w:b/>
          <w:color w:val="auto"/>
          <w:spacing w:val="40"/>
          <w:sz w:val="32"/>
          <w:szCs w:val="32"/>
        </w:rPr>
        <w:t>2024年度</w:t>
      </w:r>
      <w:r>
        <w:rPr>
          <w:rFonts w:hint="eastAsia" w:ascii="宋体" w:hAnsi="宋体"/>
          <w:b/>
          <w:color w:val="auto"/>
          <w:spacing w:val="40"/>
          <w:sz w:val="32"/>
          <w:szCs w:val="32"/>
          <w:lang w:val="en-US" w:eastAsia="zh-CN"/>
        </w:rPr>
        <w:t>单位</w:t>
      </w:r>
      <w:r>
        <w:rPr>
          <w:rFonts w:hint="eastAsia" w:ascii="宋体" w:hAnsi="宋体"/>
          <w:b/>
          <w:color w:val="auto"/>
          <w:spacing w:val="40"/>
          <w:sz w:val="32"/>
          <w:szCs w:val="32"/>
        </w:rPr>
        <w:t>决算说明</w:t>
      </w:r>
    </w:p>
    <w:p w14:paraId="51320F9B">
      <w:pPr>
        <w:tabs>
          <w:tab w:val="center" w:pos="6979"/>
        </w:tabs>
        <w:spacing w:line="580" w:lineRule="exact"/>
        <w:ind w:firstLine="548" w:firstLineChars="196"/>
        <w:rPr>
          <w:rFonts w:ascii="黑体" w:eastAsia="黑体"/>
          <w:b/>
          <w:color w:val="auto"/>
          <w:sz w:val="28"/>
          <w:szCs w:val="28"/>
          <w:highlight w:val="green"/>
        </w:rPr>
      </w:pPr>
      <w:r>
        <w:rPr>
          <w:rFonts w:hint="eastAsia" w:ascii="黑体" w:eastAsia="黑体"/>
          <w:b/>
          <w:color w:val="auto"/>
          <w:sz w:val="28"/>
          <w:szCs w:val="28"/>
        </w:rPr>
        <w:t>一、单位基本情况</w:t>
      </w:r>
    </w:p>
    <w:p w14:paraId="73D9DB2D">
      <w:pPr>
        <w:tabs>
          <w:tab w:val="center" w:pos="6979"/>
        </w:tabs>
        <w:spacing w:line="580" w:lineRule="exact"/>
        <w:ind w:firstLine="560" w:firstLineChars="200"/>
        <w:rPr>
          <w:rFonts w:ascii="仿宋_GB2312" w:eastAsia="仿宋_GB2312" w:cs="仿宋_GB2312"/>
          <w:color w:val="auto"/>
          <w:sz w:val="28"/>
          <w:szCs w:val="28"/>
        </w:rPr>
      </w:pPr>
      <w:r>
        <w:rPr>
          <w:rFonts w:hint="eastAsia" w:ascii="仿宋_GB2312" w:eastAsia="仿宋_GB2312"/>
          <w:color w:val="auto"/>
          <w:sz w:val="28"/>
          <w:szCs w:val="28"/>
        </w:rPr>
        <w:t>（一</w:t>
      </w:r>
      <w:r>
        <w:rPr>
          <w:rFonts w:ascii="仿宋_GB2312" w:eastAsia="仿宋_GB2312"/>
          <w:color w:val="auto"/>
          <w:sz w:val="28"/>
          <w:szCs w:val="28"/>
        </w:rPr>
        <w:t>）</w:t>
      </w:r>
      <w:r>
        <w:rPr>
          <w:rFonts w:hint="eastAsia" w:ascii="仿宋_GB2312" w:hAnsi="Calibri" w:eastAsia="仿宋_GB2312" w:cs="仿宋_GB2312"/>
          <w:color w:val="auto"/>
          <w:sz w:val="28"/>
          <w:szCs w:val="28"/>
          <w:lang w:bidi="ar"/>
        </w:rPr>
        <w:t>单位机构设置：根据《中共北京市委机构编制委员会关于市体育局所属事业单位改革有关事项的批复》文件核定，北京市体育科学研究所为北京市体育局直属正处级事业单位，本所内设机构为九室二科，即办公室、科技办公室、竞技体育研究一室、竞技体育研究二室、竞技体育研究三室、竞技体育研究四室、中心实验室、群众体育研究室、体能训练研究室、行政科、财务科。</w:t>
      </w:r>
    </w:p>
    <w:p w14:paraId="5002C249">
      <w:pPr>
        <w:tabs>
          <w:tab w:val="center" w:pos="6979"/>
        </w:tabs>
        <w:spacing w:line="580" w:lineRule="exact"/>
        <w:ind w:firstLine="560" w:firstLineChars="200"/>
        <w:rPr>
          <w:color w:val="auto"/>
        </w:rPr>
      </w:pPr>
      <w:r>
        <w:rPr>
          <w:rFonts w:hint="eastAsia" w:ascii="仿宋_GB2312" w:eastAsia="仿宋_GB2312"/>
          <w:color w:val="auto"/>
          <w:sz w:val="28"/>
          <w:szCs w:val="28"/>
        </w:rPr>
        <w:t>（二</w:t>
      </w:r>
      <w:r>
        <w:rPr>
          <w:rFonts w:ascii="仿宋_GB2312" w:eastAsia="仿宋_GB2312"/>
          <w:color w:val="auto"/>
          <w:sz w:val="28"/>
          <w:szCs w:val="28"/>
        </w:rPr>
        <w:t>）</w:t>
      </w:r>
      <w:r>
        <w:rPr>
          <w:rFonts w:hint="eastAsia" w:ascii="仿宋_GB2312" w:hAnsi="Calibri" w:eastAsia="仿宋_GB2312" w:cs="仿宋_GB2312"/>
          <w:color w:val="auto"/>
          <w:sz w:val="28"/>
          <w:szCs w:val="28"/>
          <w:lang w:bidi="ar"/>
        </w:rPr>
        <w:t>单位职责：承担运动训练科学研究和科技服务工作；承担体育科技成果的应用和转化工作；承担国民体质监测和体质健康研究相关工作；开展体育科技宣传和科普工作；承担北京体育科学学会日常工作。</w:t>
      </w:r>
    </w:p>
    <w:p w14:paraId="6340622F">
      <w:pPr>
        <w:tabs>
          <w:tab w:val="center" w:pos="6979"/>
        </w:tabs>
        <w:spacing w:line="580" w:lineRule="exact"/>
        <w:rPr>
          <w:rFonts w:ascii="黑体" w:eastAsia="黑体"/>
          <w:b/>
          <w:color w:val="auto"/>
          <w:sz w:val="28"/>
          <w:szCs w:val="28"/>
        </w:rPr>
      </w:pPr>
      <w:r>
        <w:rPr>
          <w:rFonts w:hint="eastAsia" w:ascii="仿宋_GB2312" w:eastAsia="仿宋_GB2312"/>
          <w:b/>
          <w:color w:val="auto"/>
          <w:sz w:val="32"/>
          <w:szCs w:val="32"/>
        </w:rPr>
        <w:t xml:space="preserve">   </w:t>
      </w:r>
      <w:r>
        <w:rPr>
          <w:rFonts w:hint="eastAsia" w:ascii="黑体" w:eastAsia="黑体"/>
          <w:b/>
          <w:color w:val="auto"/>
          <w:sz w:val="28"/>
          <w:szCs w:val="28"/>
        </w:rPr>
        <w:t>二、收入支出决算总体情况说明</w:t>
      </w:r>
    </w:p>
    <w:p w14:paraId="48151865">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2024年度收、</w:t>
      </w:r>
      <w:r>
        <w:rPr>
          <w:rFonts w:ascii="仿宋_GB2312" w:eastAsia="仿宋_GB2312"/>
          <w:color w:val="auto"/>
          <w:sz w:val="28"/>
          <w:szCs w:val="28"/>
        </w:rPr>
        <w:t>支</w:t>
      </w:r>
      <w:r>
        <w:rPr>
          <w:rFonts w:hint="eastAsia" w:ascii="仿宋_GB2312" w:eastAsia="仿宋_GB2312"/>
          <w:color w:val="auto"/>
          <w:sz w:val="28"/>
          <w:szCs w:val="28"/>
        </w:rPr>
        <w:t>总计</w:t>
      </w:r>
      <w:r>
        <w:rPr>
          <w:rFonts w:ascii="仿宋_GB2312" w:eastAsia="仿宋_GB2312"/>
          <w:color w:val="auto"/>
          <w:sz w:val="28"/>
          <w:szCs w:val="28"/>
        </w:rPr>
        <w:t>3156.68</w:t>
      </w:r>
      <w:r>
        <w:rPr>
          <w:rFonts w:hint="eastAsia" w:ascii="仿宋_GB2312" w:eastAsia="仿宋_GB2312"/>
          <w:color w:val="auto"/>
          <w:sz w:val="28"/>
          <w:szCs w:val="28"/>
        </w:rPr>
        <w:t>万元，</w:t>
      </w:r>
      <w:r>
        <w:rPr>
          <w:rFonts w:ascii="仿宋_GB2312" w:eastAsia="仿宋_GB2312"/>
          <w:color w:val="auto"/>
          <w:sz w:val="28"/>
          <w:szCs w:val="28"/>
        </w:rPr>
        <w:t>比上年增加</w:t>
      </w:r>
      <w:r>
        <w:rPr>
          <w:rFonts w:hint="eastAsia" w:ascii="仿宋_GB2312" w:eastAsia="仿宋_GB2312"/>
          <w:color w:val="auto"/>
          <w:sz w:val="28"/>
          <w:szCs w:val="28"/>
        </w:rPr>
        <w:t>84.74万元，增长2.76%。</w:t>
      </w:r>
    </w:p>
    <w:p w14:paraId="1ECB1748">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（一</w:t>
      </w:r>
      <w:r>
        <w:rPr>
          <w:rFonts w:ascii="仿宋_GB2312" w:eastAsia="仿宋_GB2312"/>
          <w:color w:val="auto"/>
          <w:sz w:val="28"/>
          <w:szCs w:val="28"/>
        </w:rPr>
        <w:t>）</w:t>
      </w:r>
      <w:r>
        <w:rPr>
          <w:rFonts w:hint="eastAsia" w:ascii="仿宋_GB2312" w:eastAsia="仿宋_GB2312"/>
          <w:color w:val="auto"/>
          <w:sz w:val="28"/>
          <w:szCs w:val="28"/>
        </w:rPr>
        <w:t>收入决算</w:t>
      </w:r>
      <w:r>
        <w:rPr>
          <w:rFonts w:ascii="仿宋_GB2312" w:eastAsia="仿宋_GB2312"/>
          <w:color w:val="auto"/>
          <w:sz w:val="28"/>
          <w:szCs w:val="28"/>
        </w:rPr>
        <w:t>说明</w:t>
      </w:r>
    </w:p>
    <w:p w14:paraId="5640737E">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2024年度本年收入合计</w:t>
      </w:r>
      <w:r>
        <w:rPr>
          <w:rFonts w:ascii="仿宋_GB2312" w:eastAsia="仿宋_GB2312"/>
          <w:color w:val="auto"/>
          <w:sz w:val="28"/>
          <w:szCs w:val="28"/>
        </w:rPr>
        <w:t>3052.55</w:t>
      </w:r>
      <w:r>
        <w:rPr>
          <w:rFonts w:hint="eastAsia" w:ascii="仿宋_GB2312" w:eastAsia="仿宋_GB2312"/>
          <w:color w:val="auto"/>
          <w:sz w:val="28"/>
          <w:szCs w:val="28"/>
        </w:rPr>
        <w:t>万元，</w:t>
      </w:r>
      <w:r>
        <w:rPr>
          <w:rFonts w:ascii="仿宋_GB2312" w:eastAsia="仿宋_GB2312"/>
          <w:color w:val="auto"/>
          <w:sz w:val="28"/>
          <w:szCs w:val="28"/>
        </w:rPr>
        <w:t>比上年增加</w:t>
      </w:r>
      <w:r>
        <w:rPr>
          <w:rFonts w:hint="eastAsia" w:ascii="仿宋_GB2312" w:eastAsia="仿宋_GB2312"/>
          <w:color w:val="auto"/>
          <w:sz w:val="28"/>
          <w:szCs w:val="28"/>
        </w:rPr>
        <w:t>262.2</w:t>
      </w:r>
      <w:r>
        <w:rPr>
          <w:rFonts w:ascii="仿宋_GB2312" w:eastAsia="仿宋_GB2312"/>
          <w:color w:val="auto"/>
          <w:sz w:val="28"/>
          <w:szCs w:val="28"/>
        </w:rPr>
        <w:t>2</w:t>
      </w:r>
      <w:r>
        <w:rPr>
          <w:rFonts w:hint="eastAsia" w:ascii="仿宋_GB2312" w:eastAsia="仿宋_GB2312"/>
          <w:color w:val="auto"/>
          <w:sz w:val="28"/>
          <w:szCs w:val="28"/>
        </w:rPr>
        <w:t>万元，增长9.40%。</w:t>
      </w:r>
    </w:p>
    <w:p w14:paraId="392E491B">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1.财政拨款收入</w:t>
      </w:r>
      <w:r>
        <w:rPr>
          <w:rFonts w:ascii="仿宋_GB2312" w:eastAsia="仿宋_GB2312"/>
          <w:color w:val="auto"/>
          <w:sz w:val="28"/>
          <w:szCs w:val="28"/>
        </w:rPr>
        <w:t>3046.5</w:t>
      </w:r>
      <w:r>
        <w:rPr>
          <w:rFonts w:hint="eastAsia" w:ascii="仿宋_GB2312" w:eastAsia="仿宋_GB2312"/>
          <w:color w:val="auto"/>
          <w:sz w:val="28"/>
          <w:szCs w:val="28"/>
        </w:rPr>
        <w:t>0万元，占收入合计的99.80%。其中：一般公共预算财政拨款收入</w:t>
      </w:r>
      <w:r>
        <w:rPr>
          <w:rFonts w:ascii="仿宋_GB2312" w:eastAsia="仿宋_GB2312"/>
          <w:color w:val="auto"/>
          <w:sz w:val="28"/>
          <w:szCs w:val="28"/>
        </w:rPr>
        <w:t>3026.5</w:t>
      </w:r>
      <w:r>
        <w:rPr>
          <w:rFonts w:hint="eastAsia" w:ascii="仿宋_GB2312" w:eastAsia="仿宋_GB2312"/>
          <w:color w:val="auto"/>
          <w:sz w:val="28"/>
          <w:szCs w:val="28"/>
        </w:rPr>
        <w:t>0万元，占收入合计的99.15%；政府性基金预算财政拨款收入</w:t>
      </w:r>
      <w:r>
        <w:rPr>
          <w:rFonts w:ascii="仿宋_GB2312" w:eastAsia="仿宋_GB2312"/>
          <w:color w:val="auto"/>
          <w:sz w:val="28"/>
          <w:szCs w:val="28"/>
        </w:rPr>
        <w:t>20</w:t>
      </w:r>
      <w:r>
        <w:rPr>
          <w:rFonts w:hint="eastAsia" w:ascii="仿宋_GB2312" w:eastAsia="仿宋_GB2312"/>
          <w:color w:val="auto"/>
          <w:sz w:val="28"/>
          <w:szCs w:val="28"/>
        </w:rPr>
        <w:t>万元，占收入合计的0.6</w:t>
      </w:r>
      <w:r>
        <w:rPr>
          <w:rFonts w:ascii="仿宋_GB2312" w:eastAsia="仿宋_GB2312"/>
          <w:color w:val="auto"/>
          <w:sz w:val="28"/>
          <w:szCs w:val="28"/>
        </w:rPr>
        <w:t>5</w:t>
      </w:r>
      <w:r>
        <w:rPr>
          <w:rFonts w:hint="eastAsia" w:ascii="仿宋_GB2312" w:eastAsia="仿宋_GB2312"/>
          <w:color w:val="auto"/>
          <w:sz w:val="28"/>
          <w:szCs w:val="28"/>
        </w:rPr>
        <w:t>%；国有资本经营预算财政拨款收入</w:t>
      </w:r>
      <w:r>
        <w:rPr>
          <w:rFonts w:ascii="仿宋_GB2312" w:eastAsia="仿宋_GB2312"/>
          <w:color w:val="auto"/>
          <w:sz w:val="28"/>
          <w:szCs w:val="28"/>
        </w:rPr>
        <w:t>0</w:t>
      </w:r>
      <w:r>
        <w:rPr>
          <w:rFonts w:hint="eastAsia" w:ascii="仿宋_GB2312" w:eastAsia="仿宋_GB2312"/>
          <w:color w:val="auto"/>
          <w:sz w:val="28"/>
          <w:szCs w:val="28"/>
        </w:rPr>
        <w:t>万元，占收入合计的0%；</w:t>
      </w:r>
    </w:p>
    <w:p w14:paraId="3F5EAC91">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2.上级补助收入</w:t>
      </w:r>
      <w:r>
        <w:rPr>
          <w:rFonts w:ascii="仿宋_GB2312" w:eastAsia="仿宋_GB2312"/>
          <w:color w:val="auto"/>
          <w:sz w:val="28"/>
          <w:szCs w:val="28"/>
        </w:rPr>
        <w:t>0</w:t>
      </w:r>
      <w:r>
        <w:rPr>
          <w:rFonts w:hint="eastAsia" w:ascii="仿宋_GB2312" w:eastAsia="仿宋_GB2312"/>
          <w:color w:val="auto"/>
          <w:sz w:val="28"/>
          <w:szCs w:val="28"/>
        </w:rPr>
        <w:t>万元，占收入合计的0%；</w:t>
      </w:r>
    </w:p>
    <w:p w14:paraId="5788FC31">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3.事业收入</w:t>
      </w:r>
      <w:r>
        <w:rPr>
          <w:rFonts w:ascii="仿宋_GB2312" w:eastAsia="仿宋_GB2312"/>
          <w:color w:val="auto"/>
          <w:sz w:val="28"/>
          <w:szCs w:val="28"/>
        </w:rPr>
        <w:t>0</w:t>
      </w:r>
      <w:r>
        <w:rPr>
          <w:rFonts w:hint="eastAsia" w:ascii="仿宋_GB2312" w:eastAsia="仿宋_GB2312"/>
          <w:color w:val="auto"/>
          <w:sz w:val="28"/>
          <w:szCs w:val="28"/>
        </w:rPr>
        <w:t>万元，占收入合计的0%；</w:t>
      </w:r>
    </w:p>
    <w:p w14:paraId="208C9BA9">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4.经营收入</w:t>
      </w:r>
      <w:r>
        <w:rPr>
          <w:rFonts w:ascii="仿宋_GB2312" w:eastAsia="仿宋_GB2312"/>
          <w:color w:val="auto"/>
          <w:sz w:val="28"/>
          <w:szCs w:val="28"/>
        </w:rPr>
        <w:t>0</w:t>
      </w:r>
      <w:r>
        <w:rPr>
          <w:rFonts w:hint="eastAsia" w:ascii="仿宋_GB2312" w:eastAsia="仿宋_GB2312"/>
          <w:color w:val="auto"/>
          <w:sz w:val="28"/>
          <w:szCs w:val="28"/>
        </w:rPr>
        <w:t>万元，占收入合计的0%；</w:t>
      </w:r>
    </w:p>
    <w:p w14:paraId="286DB84E">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5.附属单位上缴收入</w:t>
      </w:r>
      <w:r>
        <w:rPr>
          <w:rFonts w:ascii="仿宋_GB2312" w:eastAsia="仿宋_GB2312"/>
          <w:color w:val="auto"/>
          <w:sz w:val="28"/>
          <w:szCs w:val="28"/>
        </w:rPr>
        <w:t>0</w:t>
      </w:r>
      <w:r>
        <w:rPr>
          <w:rFonts w:hint="eastAsia" w:ascii="仿宋_GB2312" w:eastAsia="仿宋_GB2312"/>
          <w:color w:val="auto"/>
          <w:sz w:val="28"/>
          <w:szCs w:val="28"/>
        </w:rPr>
        <w:t>万元，占收入合计的0%；</w:t>
      </w:r>
    </w:p>
    <w:p w14:paraId="3873799B">
      <w:pPr>
        <w:tabs>
          <w:tab w:val="center" w:pos="6979"/>
        </w:tabs>
        <w:spacing w:line="580" w:lineRule="exact"/>
        <w:ind w:firstLine="560" w:firstLineChars="200"/>
        <w:rPr>
          <w:rFonts w:ascii="仿宋_GB2312" w:eastAsia="仿宋_GB2312" w:cs="Droid Sans"/>
          <w:color w:val="auto"/>
          <w:sz w:val="32"/>
          <w:szCs w:val="32"/>
          <w:highlight w:val="green"/>
        </w:rPr>
      </w:pPr>
      <w:r>
        <w:rPr>
          <w:rFonts w:hint="eastAsia" w:ascii="仿宋_GB2312" w:eastAsia="仿宋_GB2312"/>
          <w:color w:val="auto"/>
          <w:sz w:val="28"/>
          <w:szCs w:val="28"/>
        </w:rPr>
        <w:t>6.其他收入</w:t>
      </w:r>
      <w:r>
        <w:rPr>
          <w:rFonts w:ascii="仿宋_GB2312" w:eastAsia="仿宋_GB2312"/>
          <w:color w:val="auto"/>
          <w:sz w:val="28"/>
          <w:szCs w:val="28"/>
        </w:rPr>
        <w:t>6.05</w:t>
      </w:r>
      <w:r>
        <w:rPr>
          <w:rFonts w:hint="eastAsia" w:ascii="仿宋_GB2312" w:eastAsia="仿宋_GB2312"/>
          <w:color w:val="auto"/>
          <w:sz w:val="28"/>
          <w:szCs w:val="28"/>
        </w:rPr>
        <w:t>万元，占收入合计的0.2</w:t>
      </w:r>
      <w:r>
        <w:rPr>
          <w:rFonts w:ascii="仿宋_GB2312" w:eastAsia="仿宋_GB2312"/>
          <w:color w:val="auto"/>
          <w:sz w:val="28"/>
          <w:szCs w:val="28"/>
        </w:rPr>
        <w:t>0</w:t>
      </w:r>
      <w:r>
        <w:rPr>
          <w:rFonts w:hint="eastAsia" w:ascii="仿宋_GB2312" w:eastAsia="仿宋_GB2312"/>
          <w:color w:val="auto"/>
          <w:sz w:val="28"/>
          <w:szCs w:val="28"/>
        </w:rPr>
        <w:t>%。</w:t>
      </w:r>
    </w:p>
    <w:p w14:paraId="398965CE">
      <w:pPr>
        <w:pStyle w:val="2"/>
        <w:jc w:val="center"/>
        <w:rPr>
          <w:color w:val="auto"/>
        </w:rPr>
      </w:pPr>
      <w:r>
        <w:rPr>
          <w:rFonts w:hint="eastAsia" w:ascii="仿宋_GB2312" w:eastAsia="仿宋_GB2312"/>
          <w:color w:val="auto"/>
          <w:sz w:val="32"/>
        </w:rPr>
        <w:t>图1：收入决算</w:t>
      </w:r>
    </w:p>
    <w:p w14:paraId="47EFCE7A">
      <w:pPr>
        <w:pStyle w:val="3"/>
        <w:ind w:firstLine="420"/>
        <w:jc w:val="center"/>
        <w:rPr>
          <w:color w:val="auto"/>
        </w:rPr>
      </w:pPr>
      <w:r>
        <w:rPr>
          <w:rFonts w:ascii="Calibri" w:hAnsi="Calibri"/>
          <w:color w:val="auto"/>
        </w:rPr>
        <w:drawing>
          <wp:inline distT="0" distB="0" distL="114300" distR="114300">
            <wp:extent cx="4476750" cy="2276475"/>
            <wp:effectExtent l="0" t="0" r="0" b="9525"/>
            <wp:docPr id="2" name="图表 1"/>
            <wp:cNvGraphicFramePr/>
            <a:graphic xmlns:a="http://schemas.openxmlformats.org/drawingml/2006/main">
              <a:graphicData uri="http://schemas.openxmlformats.org/drawingml/2006/picture">
                <pic:pic xmlns:pic="http://schemas.openxmlformats.org/drawingml/2006/picture">
                  <pic:nvPicPr>
                    <pic:cNvPr id="2" name="图表 1"/>
                    <pic:cNvPicPr/>
                  </pic:nvPicPr>
                  <pic:blipFill>
                    <a:blip r:embed="rId7"/>
                    <a:stretch>
                      <a:fillRect/>
                    </a:stretch>
                  </pic:blipFill>
                  <pic:spPr>
                    <a:xfrm>
                      <a:off x="0" y="0"/>
                      <a:ext cx="4476750" cy="2276475"/>
                    </a:xfrm>
                    <a:prstGeom prst="rect">
                      <a:avLst/>
                    </a:prstGeom>
                    <a:noFill/>
                    <a:ln>
                      <a:noFill/>
                    </a:ln>
                  </pic:spPr>
                </pic:pic>
              </a:graphicData>
            </a:graphic>
          </wp:inline>
        </w:drawing>
      </w:r>
    </w:p>
    <w:p w14:paraId="76949316">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（二</w:t>
      </w:r>
      <w:r>
        <w:rPr>
          <w:rFonts w:ascii="仿宋_GB2312" w:eastAsia="仿宋_GB2312"/>
          <w:color w:val="auto"/>
          <w:sz w:val="28"/>
          <w:szCs w:val="28"/>
        </w:rPr>
        <w:t>）</w:t>
      </w:r>
      <w:r>
        <w:rPr>
          <w:rFonts w:hint="eastAsia" w:ascii="仿宋_GB2312" w:eastAsia="仿宋_GB2312"/>
          <w:color w:val="auto"/>
          <w:sz w:val="28"/>
          <w:szCs w:val="28"/>
        </w:rPr>
        <w:t>支出决算</w:t>
      </w:r>
      <w:r>
        <w:rPr>
          <w:rFonts w:ascii="仿宋_GB2312" w:eastAsia="仿宋_GB2312"/>
          <w:color w:val="auto"/>
          <w:sz w:val="28"/>
          <w:szCs w:val="28"/>
        </w:rPr>
        <w:t>说明</w:t>
      </w:r>
    </w:p>
    <w:p w14:paraId="1A2D5565">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2024年度本年支出合计</w:t>
      </w:r>
      <w:r>
        <w:rPr>
          <w:rFonts w:ascii="仿宋_GB2312" w:eastAsia="仿宋_GB2312"/>
          <w:color w:val="auto"/>
          <w:sz w:val="28"/>
          <w:szCs w:val="28"/>
        </w:rPr>
        <w:t>2949.49</w:t>
      </w:r>
      <w:r>
        <w:rPr>
          <w:rFonts w:hint="eastAsia" w:ascii="仿宋_GB2312" w:eastAsia="仿宋_GB2312"/>
          <w:color w:val="auto"/>
          <w:sz w:val="28"/>
          <w:szCs w:val="28"/>
        </w:rPr>
        <w:t>万元，</w:t>
      </w:r>
      <w:r>
        <w:rPr>
          <w:rFonts w:ascii="仿宋_GB2312" w:eastAsia="仿宋_GB2312"/>
          <w:color w:val="auto"/>
          <w:sz w:val="28"/>
          <w:szCs w:val="28"/>
        </w:rPr>
        <w:t>比上年</w:t>
      </w:r>
      <w:r>
        <w:rPr>
          <w:rFonts w:hint="eastAsia" w:ascii="仿宋_GB2312" w:eastAsia="仿宋_GB2312"/>
          <w:color w:val="auto"/>
          <w:sz w:val="28"/>
          <w:szCs w:val="28"/>
        </w:rPr>
        <w:t>减少15.10万元，减少0.51%，其中：基本支出</w:t>
      </w:r>
      <w:r>
        <w:rPr>
          <w:rFonts w:ascii="仿宋_GB2312" w:eastAsia="仿宋_GB2312"/>
          <w:color w:val="auto"/>
          <w:sz w:val="28"/>
          <w:szCs w:val="28"/>
        </w:rPr>
        <w:t>2163.99</w:t>
      </w:r>
      <w:r>
        <w:rPr>
          <w:rFonts w:hint="eastAsia" w:ascii="仿宋_GB2312" w:eastAsia="仿宋_GB2312"/>
          <w:color w:val="auto"/>
          <w:sz w:val="28"/>
          <w:szCs w:val="28"/>
        </w:rPr>
        <w:t>万元，占支出合计的73.37%；项目支出</w:t>
      </w:r>
      <w:r>
        <w:rPr>
          <w:rFonts w:ascii="仿宋_GB2312" w:eastAsia="仿宋_GB2312"/>
          <w:color w:val="auto"/>
          <w:sz w:val="28"/>
          <w:szCs w:val="28"/>
        </w:rPr>
        <w:t>785.50</w:t>
      </w:r>
      <w:r>
        <w:rPr>
          <w:rFonts w:hint="eastAsia" w:ascii="仿宋_GB2312" w:eastAsia="仿宋_GB2312"/>
          <w:color w:val="auto"/>
          <w:sz w:val="28"/>
          <w:szCs w:val="28"/>
        </w:rPr>
        <w:t>万元，占支出合计的26.63%;上缴上级支出</w:t>
      </w:r>
      <w:r>
        <w:rPr>
          <w:rFonts w:ascii="仿宋_GB2312" w:eastAsia="仿宋_GB2312"/>
          <w:color w:val="auto"/>
          <w:sz w:val="28"/>
          <w:szCs w:val="28"/>
        </w:rPr>
        <w:t>0</w:t>
      </w:r>
      <w:r>
        <w:rPr>
          <w:rFonts w:hint="eastAsia" w:ascii="仿宋_GB2312" w:eastAsia="仿宋_GB2312"/>
          <w:color w:val="auto"/>
          <w:sz w:val="28"/>
          <w:szCs w:val="28"/>
        </w:rPr>
        <w:t>万元，占支出合计的0%；经营支出</w:t>
      </w:r>
      <w:r>
        <w:rPr>
          <w:rFonts w:ascii="仿宋_GB2312" w:eastAsia="仿宋_GB2312"/>
          <w:color w:val="auto"/>
          <w:sz w:val="28"/>
          <w:szCs w:val="28"/>
        </w:rPr>
        <w:t>0</w:t>
      </w:r>
      <w:r>
        <w:rPr>
          <w:rFonts w:hint="eastAsia" w:ascii="仿宋_GB2312" w:eastAsia="仿宋_GB2312"/>
          <w:color w:val="auto"/>
          <w:sz w:val="28"/>
          <w:szCs w:val="28"/>
        </w:rPr>
        <w:t>万元，占支出合计的0%；对附属单位补助支出</w:t>
      </w:r>
      <w:r>
        <w:rPr>
          <w:rFonts w:ascii="仿宋_GB2312" w:eastAsia="仿宋_GB2312"/>
          <w:color w:val="auto"/>
          <w:sz w:val="28"/>
          <w:szCs w:val="28"/>
        </w:rPr>
        <w:t>0</w:t>
      </w:r>
      <w:r>
        <w:rPr>
          <w:rFonts w:hint="eastAsia" w:ascii="仿宋_GB2312" w:eastAsia="仿宋_GB2312"/>
          <w:color w:val="auto"/>
          <w:sz w:val="28"/>
          <w:szCs w:val="28"/>
        </w:rPr>
        <w:t>万元，占支出合计的0%。</w:t>
      </w:r>
    </w:p>
    <w:p w14:paraId="1B16419B">
      <w:pPr>
        <w:pStyle w:val="2"/>
        <w:ind w:firstLine="642"/>
        <w:jc w:val="center"/>
        <w:rPr>
          <w:rFonts w:ascii="仿宋_GB2312" w:eastAsia="仿宋_GB2312"/>
          <w:color w:val="auto"/>
          <w:sz w:val="32"/>
        </w:rPr>
      </w:pPr>
      <w:r>
        <w:rPr>
          <w:rFonts w:hint="eastAsia" w:ascii="仿宋_GB2312" w:eastAsia="仿宋_GB2312"/>
          <w:color w:val="auto"/>
          <w:sz w:val="32"/>
        </w:rPr>
        <w:t>图2：基本支出和项目支出情况</w:t>
      </w:r>
    </w:p>
    <w:p w14:paraId="024BA163">
      <w:pPr>
        <w:jc w:val="center"/>
        <w:rPr>
          <w:rFonts w:ascii="黑体" w:eastAsia="黑体"/>
          <w:b/>
          <w:color w:val="auto"/>
          <w:sz w:val="28"/>
          <w:szCs w:val="28"/>
        </w:rPr>
      </w:pPr>
      <w:r>
        <w:rPr>
          <w:rFonts w:ascii="Calibri" w:hAnsi="Calibri"/>
          <w:color w:val="auto"/>
        </w:rPr>
        <w:drawing>
          <wp:inline distT="0" distB="0" distL="114300" distR="114300">
            <wp:extent cx="5086350" cy="2705100"/>
            <wp:effectExtent l="0" t="0" r="0" b="0"/>
            <wp:docPr id="3" name="图表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表 3"/>
                    <pic:cNvPicPr>
                      <a:picLocks noChangeAspect="1"/>
                    </pic:cNvPicPr>
                  </pic:nvPicPr>
                  <pic:blipFill>
                    <a:blip r:embed="rId8"/>
                    <a:stretch>
                      <a:fillRect/>
                    </a:stretch>
                  </pic:blipFill>
                  <pic:spPr>
                    <a:xfrm>
                      <a:off x="0" y="0"/>
                      <a:ext cx="5086350" cy="2705100"/>
                    </a:xfrm>
                    <a:prstGeom prst="rect">
                      <a:avLst/>
                    </a:prstGeom>
                    <a:noFill/>
                    <a:ln>
                      <a:noFill/>
                    </a:ln>
                  </pic:spPr>
                </pic:pic>
              </a:graphicData>
            </a:graphic>
          </wp:inline>
        </w:drawing>
      </w:r>
    </w:p>
    <w:p w14:paraId="74B87682">
      <w:pPr>
        <w:tabs>
          <w:tab w:val="center" w:pos="6979"/>
        </w:tabs>
        <w:spacing w:line="580" w:lineRule="exact"/>
        <w:ind w:firstLine="548" w:firstLineChars="196"/>
        <w:rPr>
          <w:rFonts w:ascii="黑体" w:eastAsia="黑体"/>
          <w:b/>
          <w:color w:val="auto"/>
          <w:sz w:val="28"/>
          <w:szCs w:val="28"/>
        </w:rPr>
      </w:pPr>
      <w:r>
        <w:rPr>
          <w:rFonts w:hint="eastAsia" w:ascii="黑体" w:eastAsia="黑体"/>
          <w:b/>
          <w:color w:val="auto"/>
          <w:sz w:val="28"/>
          <w:szCs w:val="28"/>
        </w:rPr>
        <w:t>三</w:t>
      </w:r>
      <w:r>
        <w:rPr>
          <w:rFonts w:ascii="黑体" w:eastAsia="黑体"/>
          <w:b/>
          <w:color w:val="auto"/>
          <w:sz w:val="28"/>
          <w:szCs w:val="28"/>
        </w:rPr>
        <w:t>、财政拨款</w:t>
      </w:r>
      <w:r>
        <w:rPr>
          <w:rFonts w:hint="eastAsia" w:ascii="黑体" w:eastAsia="黑体"/>
          <w:b/>
          <w:color w:val="auto"/>
          <w:sz w:val="28"/>
          <w:szCs w:val="28"/>
        </w:rPr>
        <w:t>收入支出决算</w:t>
      </w:r>
      <w:r>
        <w:rPr>
          <w:rFonts w:ascii="黑体" w:eastAsia="黑体"/>
          <w:b/>
          <w:color w:val="auto"/>
          <w:sz w:val="28"/>
          <w:szCs w:val="28"/>
        </w:rPr>
        <w:t>总体情况说明</w:t>
      </w:r>
    </w:p>
    <w:p w14:paraId="4F103067">
      <w:pPr>
        <w:tabs>
          <w:tab w:val="center" w:pos="6979"/>
        </w:tabs>
        <w:spacing w:line="580" w:lineRule="exact"/>
        <w:ind w:firstLine="570"/>
        <w:rPr>
          <w:rFonts w:ascii="仿宋_GB2312" w:eastAsia="仿宋_GB2312"/>
          <w:color w:val="auto"/>
          <w:sz w:val="28"/>
          <w:szCs w:val="28"/>
        </w:rPr>
      </w:pPr>
      <w:r>
        <w:rPr>
          <w:rFonts w:hint="eastAsia" w:ascii="仿宋_GB2312" w:eastAsia="仿宋_GB2312"/>
          <w:color w:val="auto"/>
          <w:sz w:val="28"/>
          <w:szCs w:val="28"/>
        </w:rPr>
        <w:t>2024年度财政拨款收、</w:t>
      </w:r>
      <w:r>
        <w:rPr>
          <w:rFonts w:ascii="仿宋_GB2312" w:eastAsia="仿宋_GB2312"/>
          <w:color w:val="auto"/>
          <w:sz w:val="28"/>
          <w:szCs w:val="28"/>
        </w:rPr>
        <w:t>支</w:t>
      </w:r>
      <w:r>
        <w:rPr>
          <w:rFonts w:hint="eastAsia" w:ascii="仿宋_GB2312" w:eastAsia="仿宋_GB2312"/>
          <w:color w:val="auto"/>
          <w:sz w:val="28"/>
          <w:szCs w:val="28"/>
        </w:rPr>
        <w:t>总计</w:t>
      </w:r>
      <w:r>
        <w:rPr>
          <w:rFonts w:ascii="仿宋_GB2312" w:eastAsia="仿宋_GB2312"/>
          <w:color w:val="auto"/>
          <w:sz w:val="28"/>
          <w:szCs w:val="28"/>
        </w:rPr>
        <w:t>3046.5</w:t>
      </w:r>
      <w:r>
        <w:rPr>
          <w:rFonts w:hint="eastAsia" w:ascii="仿宋_GB2312" w:eastAsia="仿宋_GB2312"/>
          <w:color w:val="auto"/>
          <w:sz w:val="28"/>
          <w:szCs w:val="28"/>
        </w:rPr>
        <w:t>0万元，比上年</w:t>
      </w:r>
      <w:r>
        <w:rPr>
          <w:rFonts w:ascii="仿宋_GB2312" w:eastAsia="仿宋_GB2312"/>
          <w:color w:val="auto"/>
          <w:sz w:val="28"/>
          <w:szCs w:val="28"/>
        </w:rPr>
        <w:t>增加</w:t>
      </w:r>
      <w:r>
        <w:rPr>
          <w:rFonts w:hint="eastAsia" w:ascii="仿宋_GB2312" w:eastAsia="仿宋_GB2312"/>
          <w:color w:val="auto"/>
          <w:sz w:val="28"/>
          <w:szCs w:val="28"/>
        </w:rPr>
        <w:t>98.25万元，增长3.33%。主要原因：</w:t>
      </w:r>
      <w:r>
        <w:rPr>
          <w:rFonts w:hint="eastAsia" w:ascii="仿宋_GB2312" w:hAnsi="Calibri" w:eastAsia="仿宋_GB2312" w:cs="仿宋_GB2312"/>
          <w:color w:val="auto"/>
          <w:sz w:val="28"/>
          <w:szCs w:val="28"/>
          <w:lang w:bidi="ar"/>
        </w:rPr>
        <w:t>本年新增国民体质监测</w:t>
      </w:r>
      <w:r>
        <w:rPr>
          <w:rFonts w:hint="eastAsia" w:ascii="仿宋_GB2312" w:hAnsi="Calibri" w:eastAsia="仿宋_GB2312" w:cs="仿宋_GB2312"/>
          <w:color w:val="auto"/>
          <w:sz w:val="28"/>
          <w:szCs w:val="28"/>
          <w:lang w:val="en-US" w:eastAsia="zh-CN" w:bidi="ar"/>
        </w:rPr>
        <w:t>相关工作任务</w:t>
      </w:r>
      <w:r>
        <w:rPr>
          <w:rFonts w:hint="eastAsia" w:ascii="仿宋_GB2312" w:hAnsi="Calibri" w:eastAsia="仿宋_GB2312" w:cs="仿宋_GB2312"/>
          <w:color w:val="auto"/>
          <w:sz w:val="28"/>
          <w:szCs w:val="28"/>
          <w:lang w:bidi="ar"/>
        </w:rPr>
        <w:t>。</w:t>
      </w:r>
    </w:p>
    <w:p w14:paraId="7247445F">
      <w:pPr>
        <w:tabs>
          <w:tab w:val="center" w:pos="6979"/>
        </w:tabs>
        <w:spacing w:line="580" w:lineRule="exact"/>
        <w:ind w:firstLine="548" w:firstLineChars="196"/>
        <w:rPr>
          <w:rFonts w:ascii="黑体" w:eastAsia="黑体"/>
          <w:b/>
          <w:color w:val="auto"/>
          <w:sz w:val="28"/>
          <w:szCs w:val="28"/>
        </w:rPr>
      </w:pPr>
      <w:r>
        <w:rPr>
          <w:rFonts w:hint="eastAsia" w:ascii="黑体" w:eastAsia="黑体"/>
          <w:b/>
          <w:color w:val="auto"/>
          <w:sz w:val="28"/>
          <w:szCs w:val="28"/>
        </w:rPr>
        <w:t>四、一般公共预算财政拨款支出决算情况说明</w:t>
      </w:r>
    </w:p>
    <w:p w14:paraId="022C8435">
      <w:pPr>
        <w:autoSpaceDE w:val="0"/>
        <w:autoSpaceDN w:val="0"/>
        <w:adjustRightInd w:val="0"/>
        <w:spacing w:line="58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（一）一般公共预算财政拨款支出决算总体情况</w:t>
      </w:r>
    </w:p>
    <w:p w14:paraId="452CE4AE">
      <w:pPr>
        <w:tabs>
          <w:tab w:val="center" w:pos="6979"/>
        </w:tabs>
        <w:spacing w:line="58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rPr>
        <w:t>2024年度一般公共预算财政拨款支出</w:t>
      </w:r>
      <w:r>
        <w:rPr>
          <w:rFonts w:ascii="仿宋_GB2312" w:eastAsia="仿宋_GB2312"/>
          <w:color w:val="auto"/>
          <w:sz w:val="28"/>
          <w:szCs w:val="28"/>
        </w:rPr>
        <w:t>2923.43</w:t>
      </w:r>
      <w:r>
        <w:rPr>
          <w:rFonts w:hint="eastAsia" w:ascii="仿宋_GB2312" w:eastAsia="仿宋_GB2312"/>
          <w:color w:val="auto"/>
          <w:sz w:val="28"/>
          <w:szCs w:val="28"/>
        </w:rPr>
        <w:t>万元，主要用于以下方面</w:t>
      </w:r>
      <w:r>
        <w:rPr>
          <w:rFonts w:hint="eastAsia" w:ascii="仿宋_GB2312" w:eastAsia="仿宋_GB2312"/>
          <w:color w:val="auto"/>
          <w:sz w:val="28"/>
          <w:szCs w:val="28"/>
          <w:highlight w:val="none"/>
        </w:rPr>
        <w:t>：</w:t>
      </w:r>
      <w:r>
        <w:rPr>
          <w:rFonts w:hint="eastAsia" w:ascii="仿宋_GB2312" w:hAnsi="Calibri" w:eastAsia="仿宋_GB2312"/>
          <w:color w:val="auto"/>
          <w:sz w:val="28"/>
          <w:szCs w:val="28"/>
          <w:lang w:bidi="ar"/>
        </w:rPr>
        <w:t>教育支出2.34万元，占本年财政拨款支出0.08%；科学技术支出2,337.65万</w:t>
      </w:r>
      <w:r>
        <w:rPr>
          <w:rFonts w:hint="eastAsia" w:ascii="仿宋_GB2312" w:hAnsi="Calibri" w:eastAsia="仿宋_GB2312"/>
          <w:color w:val="auto"/>
          <w:sz w:val="28"/>
          <w:szCs w:val="28"/>
          <w:highlight w:val="none"/>
          <w:lang w:bidi="ar"/>
        </w:rPr>
        <w:t>元，占本年财政拨款支出7</w:t>
      </w:r>
      <w:r>
        <w:rPr>
          <w:rFonts w:hint="eastAsia" w:ascii="仿宋_GB2312" w:hAnsi="Calibri" w:eastAsia="仿宋_GB2312"/>
          <w:color w:val="auto"/>
          <w:sz w:val="28"/>
          <w:szCs w:val="28"/>
          <w:highlight w:val="none"/>
          <w:lang w:val="en-US" w:eastAsia="zh-CN" w:bidi="ar"/>
        </w:rPr>
        <w:t>9</w:t>
      </w:r>
      <w:r>
        <w:rPr>
          <w:rFonts w:hint="eastAsia" w:ascii="仿宋_GB2312" w:hAnsi="Calibri" w:eastAsia="仿宋_GB2312"/>
          <w:color w:val="auto"/>
          <w:sz w:val="28"/>
          <w:szCs w:val="28"/>
          <w:highlight w:val="none"/>
          <w:lang w:bidi="ar"/>
        </w:rPr>
        <w:t>.</w:t>
      </w:r>
      <w:r>
        <w:rPr>
          <w:rFonts w:hint="eastAsia" w:ascii="仿宋_GB2312" w:hAnsi="Calibri" w:eastAsia="仿宋_GB2312"/>
          <w:color w:val="auto"/>
          <w:sz w:val="28"/>
          <w:szCs w:val="28"/>
          <w:highlight w:val="none"/>
          <w:lang w:val="en-US" w:eastAsia="zh-CN" w:bidi="ar"/>
        </w:rPr>
        <w:t>42</w:t>
      </w:r>
      <w:r>
        <w:rPr>
          <w:rFonts w:hint="eastAsia" w:ascii="仿宋_GB2312" w:hAnsi="Calibri" w:eastAsia="仿宋_GB2312"/>
          <w:color w:val="auto"/>
          <w:sz w:val="28"/>
          <w:szCs w:val="28"/>
          <w:highlight w:val="none"/>
          <w:lang w:bidi="ar"/>
        </w:rPr>
        <w:t>%；文化旅游体育</w:t>
      </w:r>
      <w:r>
        <w:rPr>
          <w:rFonts w:hint="eastAsia" w:ascii="仿宋_GB2312" w:hAnsi="Calibri" w:eastAsia="仿宋_GB2312"/>
          <w:color w:val="auto"/>
          <w:sz w:val="28"/>
          <w:szCs w:val="28"/>
          <w:lang w:bidi="ar"/>
        </w:rPr>
        <w:t>与传媒支出583.44万元，占本年</w:t>
      </w:r>
      <w:r>
        <w:rPr>
          <w:rFonts w:hint="eastAsia" w:ascii="仿宋_GB2312" w:hAnsi="Calibri" w:eastAsia="仿宋_GB2312"/>
          <w:color w:val="auto"/>
          <w:sz w:val="28"/>
          <w:szCs w:val="28"/>
          <w:highlight w:val="none"/>
          <w:lang w:bidi="ar"/>
        </w:rPr>
        <w:t>财政拨款支出19.</w:t>
      </w:r>
      <w:r>
        <w:rPr>
          <w:rFonts w:hint="eastAsia" w:ascii="仿宋_GB2312" w:hAnsi="Calibri" w:eastAsia="仿宋_GB2312"/>
          <w:color w:val="auto"/>
          <w:sz w:val="28"/>
          <w:szCs w:val="28"/>
          <w:highlight w:val="none"/>
          <w:lang w:val="en-US" w:eastAsia="zh-CN" w:bidi="ar"/>
        </w:rPr>
        <w:t>82</w:t>
      </w:r>
      <w:r>
        <w:rPr>
          <w:rFonts w:hint="eastAsia" w:ascii="仿宋_GB2312" w:hAnsi="Calibri" w:eastAsia="仿宋_GB2312"/>
          <w:color w:val="auto"/>
          <w:sz w:val="28"/>
          <w:szCs w:val="28"/>
          <w:highlight w:val="none"/>
          <w:lang w:bidi="ar"/>
        </w:rPr>
        <w:t>%。</w:t>
      </w:r>
    </w:p>
    <w:p w14:paraId="6708916F">
      <w:pPr>
        <w:autoSpaceDE w:val="0"/>
        <w:autoSpaceDN w:val="0"/>
        <w:adjustRightInd w:val="0"/>
        <w:spacing w:line="58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（二）一般公共预算财政拨款支出决算具体情况</w:t>
      </w:r>
    </w:p>
    <w:p w14:paraId="6321D58C">
      <w:pPr>
        <w:autoSpaceDE w:val="0"/>
        <w:autoSpaceDN w:val="0"/>
        <w:adjustRightInd w:val="0"/>
        <w:spacing w:line="58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hAnsi="Calibri" w:eastAsia="仿宋_GB2312"/>
          <w:color w:val="auto"/>
          <w:sz w:val="28"/>
          <w:szCs w:val="28"/>
          <w:lang w:bidi="ar"/>
        </w:rPr>
        <w:t>教育支出</w:t>
      </w:r>
      <w:r>
        <w:rPr>
          <w:rFonts w:hint="eastAsia" w:ascii="仿宋_GB2312" w:eastAsia="仿宋_GB2312"/>
          <w:color w:val="auto"/>
          <w:sz w:val="28"/>
          <w:szCs w:val="28"/>
        </w:rPr>
        <w:t>”2024年度年初预算2.34万元，2024年度决算2.34万元，完成年初预算的100%。</w:t>
      </w:r>
    </w:p>
    <w:p w14:paraId="701CC7F6">
      <w:pPr>
        <w:autoSpaceDE w:val="0"/>
        <w:autoSpaceDN w:val="0"/>
        <w:adjustRightInd w:val="0"/>
        <w:spacing w:line="580" w:lineRule="exact"/>
        <w:jc w:val="left"/>
        <w:rPr>
          <w:rFonts w:ascii="仿宋_GB2312" w:eastAsia="仿宋_GB2312"/>
          <w:color w:val="auto"/>
          <w:sz w:val="28"/>
          <w:szCs w:val="28"/>
        </w:rPr>
      </w:pPr>
      <w:r>
        <w:rPr>
          <w:rFonts w:hint="eastAsia" w:ascii="仿宋_GB2312" w:eastAsia="仿宋_GB2312"/>
          <w:color w:val="auto"/>
          <w:sz w:val="28"/>
          <w:szCs w:val="28"/>
        </w:rPr>
        <w:t>其中：</w:t>
      </w:r>
    </w:p>
    <w:p w14:paraId="05A67FFD">
      <w:pPr>
        <w:spacing w:line="58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hAnsi="Calibri" w:eastAsia="仿宋_GB2312"/>
          <w:color w:val="auto"/>
          <w:sz w:val="28"/>
          <w:szCs w:val="28"/>
          <w:lang w:bidi="ar"/>
        </w:rPr>
        <w:t>进修及培训</w:t>
      </w:r>
      <w:r>
        <w:rPr>
          <w:rFonts w:hint="eastAsia" w:ascii="仿宋_GB2312" w:eastAsia="仿宋_GB2312"/>
          <w:color w:val="auto"/>
          <w:sz w:val="28"/>
          <w:szCs w:val="28"/>
        </w:rPr>
        <w:t>”2024年度年初预算2.34万元，2024年度决算2.34万元，完成年初预算的100%。</w:t>
      </w:r>
    </w:p>
    <w:p w14:paraId="654ABE24">
      <w:pPr>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2、“</w:t>
      </w:r>
      <w:r>
        <w:rPr>
          <w:rFonts w:hint="eastAsia" w:ascii="仿宋_GB2312" w:hAnsi="Calibri" w:eastAsia="仿宋_GB2312"/>
          <w:color w:val="auto"/>
          <w:sz w:val="28"/>
          <w:szCs w:val="28"/>
          <w:lang w:bidi="ar"/>
        </w:rPr>
        <w:t>科学技术支出</w:t>
      </w:r>
      <w:r>
        <w:rPr>
          <w:rFonts w:hint="eastAsia" w:ascii="仿宋_GB2312" w:eastAsia="仿宋_GB2312"/>
          <w:color w:val="auto"/>
          <w:sz w:val="28"/>
          <w:szCs w:val="28"/>
        </w:rPr>
        <w:t>”2024年度年初预算2438.66万元，2024年度决算2337.65万元，完成年初预算的95.86%。其中：</w:t>
      </w:r>
    </w:p>
    <w:p w14:paraId="6D85BF94">
      <w:pPr>
        <w:spacing w:line="580" w:lineRule="exact"/>
        <w:ind w:firstLine="560" w:firstLineChars="200"/>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rPr>
        <w:t>“</w:t>
      </w:r>
      <w:r>
        <w:rPr>
          <w:rFonts w:hint="eastAsia" w:ascii="仿宋_GB2312" w:hAnsi="Calibri" w:eastAsia="仿宋_GB2312"/>
          <w:color w:val="auto"/>
          <w:sz w:val="28"/>
          <w:szCs w:val="28"/>
          <w:lang w:bidi="ar"/>
        </w:rPr>
        <w:t>应</w:t>
      </w:r>
      <w:r>
        <w:rPr>
          <w:rFonts w:hint="eastAsia" w:ascii="仿宋_GB2312" w:hAnsi="Calibri" w:eastAsia="仿宋_GB2312"/>
          <w:color w:val="auto"/>
          <w:sz w:val="28"/>
          <w:szCs w:val="28"/>
          <w:highlight w:val="none"/>
          <w:lang w:bidi="ar"/>
        </w:rPr>
        <w:t>用研究</w:t>
      </w:r>
      <w:r>
        <w:rPr>
          <w:rFonts w:hint="eastAsia" w:ascii="仿宋_GB2312" w:eastAsia="仿宋_GB2312"/>
          <w:color w:val="auto"/>
          <w:sz w:val="28"/>
          <w:szCs w:val="28"/>
          <w:highlight w:val="none"/>
        </w:rPr>
        <w:t>”2024年度年初预算2438.66万元，2024年度决算2337.65万元，完成年初预算的95.86%。主要原因：</w:t>
      </w:r>
      <w:r>
        <w:rPr>
          <w:rFonts w:hint="default" w:ascii="仿宋_GB2312" w:eastAsia="仿宋_GB2312"/>
          <w:color w:val="auto"/>
          <w:sz w:val="28"/>
          <w:szCs w:val="28"/>
          <w:highlight w:val="none"/>
        </w:rPr>
        <w:t>年度内人员变动</w:t>
      </w:r>
      <w:r>
        <w:rPr>
          <w:rFonts w:hint="eastAsia" w:ascii="仿宋_GB2312" w:eastAsia="仿宋_GB2312"/>
          <w:color w:val="auto"/>
          <w:sz w:val="28"/>
          <w:szCs w:val="28"/>
          <w:highlight w:val="none"/>
          <w:lang w:val="en-US" w:eastAsia="zh-CN"/>
        </w:rPr>
        <w:t>。</w:t>
      </w:r>
      <w:bookmarkStart w:id="0" w:name="_GoBack"/>
      <w:bookmarkEnd w:id="0"/>
    </w:p>
    <w:p w14:paraId="3385AD03">
      <w:pPr>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3、“</w:t>
      </w:r>
      <w:r>
        <w:rPr>
          <w:rFonts w:hint="eastAsia" w:ascii="仿宋_GB2312" w:hAnsi="Calibri" w:eastAsia="仿宋_GB2312"/>
          <w:color w:val="auto"/>
          <w:sz w:val="28"/>
          <w:szCs w:val="28"/>
          <w:lang w:bidi="ar"/>
        </w:rPr>
        <w:t>文化旅游体育与传媒支出</w:t>
      </w:r>
      <w:r>
        <w:rPr>
          <w:rFonts w:hint="eastAsia" w:ascii="仿宋_GB2312" w:eastAsia="仿宋_GB2312"/>
          <w:color w:val="auto"/>
          <w:sz w:val="28"/>
          <w:szCs w:val="28"/>
        </w:rPr>
        <w:t>”2024年度年初预算605.74万元，2024年度决算583.44万元，完成年初预算的96.32%。其中：</w:t>
      </w:r>
    </w:p>
    <w:p w14:paraId="041B26F1">
      <w:pPr>
        <w:spacing w:line="580" w:lineRule="exact"/>
        <w:ind w:firstLine="560" w:firstLineChars="200"/>
        <w:rPr>
          <w:rFonts w:ascii="仿宋_GB2312" w:hAnsi="Calibri" w:eastAsia="仿宋_GB2312"/>
          <w:color w:val="auto"/>
          <w:sz w:val="28"/>
          <w:szCs w:val="28"/>
          <w:lang w:bidi="ar"/>
        </w:rPr>
      </w:pPr>
      <w:r>
        <w:rPr>
          <w:rFonts w:hint="eastAsia" w:ascii="仿宋_GB2312" w:hAnsi="Calibri" w:eastAsia="仿宋_GB2312"/>
          <w:color w:val="auto"/>
          <w:sz w:val="28"/>
          <w:szCs w:val="28"/>
          <w:lang w:bidi="ar"/>
        </w:rPr>
        <w:t>“体育”2024年度年初预算605.74万元，2024年度决算583.44万元，完成年初预算的96.32%。主要原因：</w:t>
      </w:r>
      <w:r>
        <w:rPr>
          <w:rFonts w:hint="eastAsia" w:ascii="仿宋_GB2312" w:hAnsi="Calibri" w:eastAsia="仿宋_GB2312" w:cs="仿宋_GB2312"/>
          <w:color w:val="auto"/>
          <w:sz w:val="28"/>
          <w:szCs w:val="28"/>
          <w:lang w:bidi="ar"/>
        </w:rPr>
        <w:t>厉行</w:t>
      </w:r>
      <w:r>
        <w:rPr>
          <w:rFonts w:hint="eastAsia" w:ascii="仿宋_GB2312" w:hAnsi="Calibri" w:eastAsia="仿宋_GB2312" w:cs="仿宋_GB2312"/>
          <w:color w:val="auto"/>
          <w:sz w:val="28"/>
          <w:szCs w:val="28"/>
          <w:lang w:val="en-US" w:eastAsia="zh-CN" w:bidi="ar"/>
        </w:rPr>
        <w:t>勤俭</w:t>
      </w:r>
      <w:r>
        <w:rPr>
          <w:rFonts w:hint="eastAsia" w:ascii="仿宋_GB2312" w:hAnsi="Calibri" w:eastAsia="仿宋_GB2312" w:cs="仿宋_GB2312"/>
          <w:color w:val="auto"/>
          <w:sz w:val="28"/>
          <w:szCs w:val="28"/>
          <w:lang w:bidi="ar"/>
        </w:rPr>
        <w:t>节约</w:t>
      </w:r>
      <w:r>
        <w:rPr>
          <w:rFonts w:hint="eastAsia" w:ascii="仿宋_GB2312" w:hAnsi="Calibri" w:eastAsia="仿宋_GB2312" w:cs="仿宋_GB2312"/>
          <w:color w:val="auto"/>
          <w:sz w:val="28"/>
          <w:szCs w:val="28"/>
          <w:lang w:val="en-US" w:eastAsia="zh-CN" w:bidi="ar"/>
        </w:rPr>
        <w:t>要求</w:t>
      </w:r>
      <w:r>
        <w:rPr>
          <w:rFonts w:hint="eastAsia" w:ascii="仿宋_GB2312" w:hAnsi="Calibri" w:eastAsia="仿宋_GB2312" w:cs="仿宋_GB2312"/>
          <w:color w:val="auto"/>
          <w:sz w:val="28"/>
          <w:szCs w:val="28"/>
          <w:highlight w:val="none"/>
          <w:lang w:bidi="ar"/>
        </w:rPr>
        <w:t>，</w:t>
      </w:r>
      <w:r>
        <w:rPr>
          <w:rFonts w:hint="eastAsia" w:ascii="仿宋_GB2312" w:hAnsi="Calibri" w:eastAsia="仿宋_GB2312" w:cs="仿宋_GB2312"/>
          <w:color w:val="auto"/>
          <w:sz w:val="28"/>
          <w:szCs w:val="28"/>
          <w:highlight w:val="none"/>
          <w:lang w:val="en-US" w:eastAsia="zh-CN" w:bidi="ar"/>
        </w:rPr>
        <w:t>压缩培训费、差旅费</w:t>
      </w:r>
      <w:r>
        <w:rPr>
          <w:rFonts w:hint="eastAsia" w:ascii="仿宋_GB2312" w:hAnsi="Calibri" w:eastAsia="仿宋_GB2312"/>
          <w:color w:val="auto"/>
          <w:sz w:val="28"/>
          <w:szCs w:val="28"/>
          <w:highlight w:val="none"/>
          <w:lang w:bidi="ar"/>
        </w:rPr>
        <w:t>。</w:t>
      </w:r>
    </w:p>
    <w:p w14:paraId="4E536C4C">
      <w:pPr>
        <w:spacing w:line="580" w:lineRule="exact"/>
        <w:ind w:firstLine="560" w:firstLineChars="200"/>
        <w:rPr>
          <w:rFonts w:ascii="仿宋_GB2312" w:eastAsia="仿宋_GB2312"/>
          <w:color w:val="auto"/>
          <w:sz w:val="28"/>
          <w:szCs w:val="28"/>
        </w:rPr>
      </w:pPr>
      <w:r>
        <w:rPr>
          <w:rFonts w:hint="eastAsia" w:ascii="黑体" w:eastAsia="黑体"/>
          <w:b/>
          <w:color w:val="auto"/>
          <w:sz w:val="28"/>
          <w:szCs w:val="28"/>
        </w:rPr>
        <w:t>五、政府性基金预算财政拨款支出决算情况说明</w:t>
      </w:r>
    </w:p>
    <w:p w14:paraId="36798D86">
      <w:pPr>
        <w:autoSpaceDE w:val="0"/>
        <w:autoSpaceDN w:val="0"/>
        <w:adjustRightInd w:val="0"/>
        <w:spacing w:line="58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（一）政府性基金预算财政拨款支出决算总体情况</w:t>
      </w:r>
    </w:p>
    <w:p w14:paraId="5C73838C">
      <w:pPr>
        <w:tabs>
          <w:tab w:val="center" w:pos="6979"/>
        </w:tabs>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2024年度政府性基金预算财政拨款支出</w:t>
      </w:r>
      <w:r>
        <w:rPr>
          <w:rFonts w:ascii="仿宋_GB2312" w:eastAsia="仿宋_GB2312"/>
          <w:color w:val="auto"/>
          <w:sz w:val="28"/>
          <w:szCs w:val="28"/>
        </w:rPr>
        <w:t>20</w:t>
      </w:r>
      <w:r>
        <w:rPr>
          <w:rFonts w:hint="eastAsia" w:ascii="仿宋_GB2312" w:eastAsia="仿宋_GB2312"/>
          <w:color w:val="auto"/>
          <w:sz w:val="28"/>
          <w:szCs w:val="28"/>
        </w:rPr>
        <w:t>万元，主要用于以下方面：</w:t>
      </w:r>
      <w:r>
        <w:rPr>
          <w:rFonts w:hint="eastAsia" w:ascii="仿宋_GB2312" w:hAnsi="Calibri" w:eastAsia="仿宋_GB2312" w:cs="仿宋_GB2312"/>
          <w:color w:val="auto"/>
          <w:sz w:val="28"/>
          <w:szCs w:val="28"/>
          <w:lang w:bidi="ar"/>
        </w:rPr>
        <w:t>其他支出20万</w:t>
      </w:r>
      <w:r>
        <w:rPr>
          <w:rFonts w:hint="eastAsia" w:ascii="仿宋_GB2312" w:hAnsi="Calibri" w:eastAsia="仿宋_GB2312" w:cs="仿宋_GB2312"/>
          <w:color w:val="auto"/>
          <w:sz w:val="28"/>
          <w:szCs w:val="28"/>
          <w:highlight w:val="none"/>
          <w:lang w:bidi="ar"/>
        </w:rPr>
        <w:t>元，占本年财政拨款支出</w:t>
      </w:r>
      <w:r>
        <w:rPr>
          <w:rFonts w:hint="eastAsia" w:ascii="仿宋_GB2312" w:hAnsi="Calibri" w:eastAsia="仿宋_GB2312" w:cs="仿宋_GB2312"/>
          <w:color w:val="auto"/>
          <w:sz w:val="28"/>
          <w:szCs w:val="28"/>
          <w:highlight w:val="none"/>
          <w:lang w:val="en-US" w:eastAsia="zh-CN" w:bidi="ar"/>
        </w:rPr>
        <w:t>0.68</w:t>
      </w:r>
      <w:r>
        <w:rPr>
          <w:rFonts w:hint="eastAsia" w:ascii="仿宋_GB2312" w:hAnsi="Calibri" w:eastAsia="仿宋_GB2312" w:cs="仿宋_GB2312"/>
          <w:color w:val="auto"/>
          <w:sz w:val="28"/>
          <w:szCs w:val="28"/>
          <w:highlight w:val="none"/>
          <w:lang w:bidi="ar"/>
        </w:rPr>
        <w:t>%。</w:t>
      </w:r>
    </w:p>
    <w:p w14:paraId="44D4725F">
      <w:pPr>
        <w:autoSpaceDE w:val="0"/>
        <w:autoSpaceDN w:val="0"/>
        <w:adjustRightInd w:val="0"/>
        <w:spacing w:line="58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（二）政府性基金预算财政拨款支出决算具体情况</w:t>
      </w:r>
    </w:p>
    <w:p w14:paraId="7FFA03F2">
      <w:pPr>
        <w:autoSpaceDE w:val="0"/>
        <w:autoSpaceDN w:val="0"/>
        <w:adjustRightInd w:val="0"/>
        <w:spacing w:line="580" w:lineRule="exact"/>
        <w:ind w:firstLine="700" w:firstLineChars="250"/>
        <w:jc w:val="left"/>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hAnsi="Calibri" w:eastAsia="仿宋_GB2312"/>
          <w:color w:val="auto"/>
          <w:sz w:val="28"/>
          <w:szCs w:val="28"/>
          <w:lang w:bidi="ar"/>
        </w:rPr>
        <w:t>其他支出</w:t>
      </w:r>
      <w:r>
        <w:rPr>
          <w:rFonts w:hint="eastAsia" w:ascii="仿宋_GB2312" w:eastAsia="仿宋_GB2312"/>
          <w:color w:val="auto"/>
          <w:sz w:val="28"/>
          <w:szCs w:val="28"/>
        </w:rPr>
        <w:t>”</w:t>
      </w:r>
      <w:r>
        <w:rPr>
          <w:rFonts w:hint="eastAsia" w:ascii="仿宋_GB2312" w:eastAsia="仿宋_GB2312"/>
          <w:color w:val="auto"/>
          <w:spacing w:val="10"/>
          <w:kern w:val="0"/>
          <w:sz w:val="28"/>
          <w:szCs w:val="28"/>
          <w:fitText w:val="6160" w:id="-659317503"/>
        </w:rPr>
        <w:t>2024年度年初预算0万元，</w:t>
      </w:r>
      <w:r>
        <w:rPr>
          <w:rFonts w:hint="eastAsia" w:ascii="仿宋_GB2312" w:hAnsi="Calibri" w:eastAsia="仿宋_GB2312" w:cs="仿宋_GB2312"/>
          <w:color w:val="auto"/>
          <w:spacing w:val="10"/>
          <w:kern w:val="0"/>
          <w:sz w:val="28"/>
          <w:szCs w:val="28"/>
          <w:fitText w:val="6160" w:id="-659317503"/>
          <w:lang w:bidi="ar"/>
        </w:rPr>
        <w:t>2024年度决算2</w:t>
      </w:r>
      <w:r>
        <w:rPr>
          <w:rFonts w:ascii="仿宋_GB2312" w:hAnsi="Calibri" w:eastAsia="仿宋_GB2312" w:cs="仿宋_GB2312"/>
          <w:color w:val="auto"/>
          <w:spacing w:val="10"/>
          <w:kern w:val="0"/>
          <w:sz w:val="28"/>
          <w:szCs w:val="28"/>
          <w:fitText w:val="6160" w:id="-659317503"/>
          <w:lang w:bidi="ar"/>
        </w:rPr>
        <w:t>0</w:t>
      </w:r>
      <w:r>
        <w:rPr>
          <w:rFonts w:hint="eastAsia" w:ascii="仿宋_GB2312" w:hAnsi="Calibri" w:eastAsia="仿宋_GB2312" w:cs="仿宋_GB2312"/>
          <w:color w:val="auto"/>
          <w:spacing w:val="10"/>
          <w:kern w:val="0"/>
          <w:sz w:val="28"/>
          <w:szCs w:val="28"/>
          <w:fitText w:val="6160" w:id="-659317503"/>
          <w:lang w:bidi="ar"/>
        </w:rPr>
        <w:t>万</w:t>
      </w:r>
      <w:r>
        <w:rPr>
          <w:rFonts w:hint="eastAsia" w:ascii="仿宋_GB2312" w:hAnsi="Calibri" w:eastAsia="仿宋_GB2312" w:cs="仿宋_GB2312"/>
          <w:color w:val="auto"/>
          <w:spacing w:val="15"/>
          <w:kern w:val="0"/>
          <w:sz w:val="28"/>
          <w:szCs w:val="28"/>
          <w:fitText w:val="6160" w:id="-659317503"/>
          <w:lang w:bidi="ar"/>
        </w:rPr>
        <w:t>元</w:t>
      </w:r>
      <w:r>
        <w:rPr>
          <w:rFonts w:hint="eastAsia" w:ascii="仿宋_GB2312" w:eastAsia="仿宋_GB2312"/>
          <w:color w:val="auto"/>
          <w:sz w:val="28"/>
          <w:szCs w:val="28"/>
        </w:rPr>
        <w:t>。其中：</w:t>
      </w:r>
    </w:p>
    <w:p w14:paraId="1D5EE64F">
      <w:pPr>
        <w:spacing w:line="58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w:t>
      </w:r>
      <w:r>
        <w:rPr>
          <w:rFonts w:hint="eastAsia" w:ascii="仿宋_GB2312" w:hAnsi="Calibri" w:eastAsia="仿宋_GB2312"/>
          <w:color w:val="auto"/>
          <w:sz w:val="28"/>
          <w:szCs w:val="28"/>
          <w:lang w:bidi="ar"/>
        </w:rPr>
        <w:t>彩票公益金安排的支出</w:t>
      </w:r>
      <w:r>
        <w:rPr>
          <w:rFonts w:hint="eastAsia" w:ascii="仿宋_GB2312" w:eastAsia="仿宋_GB2312"/>
          <w:color w:val="auto"/>
          <w:sz w:val="28"/>
          <w:szCs w:val="28"/>
        </w:rPr>
        <w:t>”2024年度年初预算0万元，2024年度决算20万元。主要原因：</w:t>
      </w:r>
      <w:r>
        <w:rPr>
          <w:rFonts w:hint="eastAsia" w:ascii="仿宋_GB2312" w:hAnsi="Calibri" w:eastAsia="仿宋_GB2312"/>
          <w:color w:val="auto"/>
          <w:sz w:val="28"/>
          <w:szCs w:val="28"/>
          <w:lang w:bidi="ar"/>
        </w:rPr>
        <w:t>本年新增国民体质监测</w:t>
      </w:r>
      <w:r>
        <w:rPr>
          <w:rFonts w:hint="eastAsia" w:ascii="仿宋_GB2312" w:hAnsi="Calibri" w:eastAsia="仿宋_GB2312"/>
          <w:color w:val="auto"/>
          <w:sz w:val="28"/>
          <w:szCs w:val="28"/>
          <w:lang w:val="en-US" w:eastAsia="zh-CN" w:bidi="ar"/>
        </w:rPr>
        <w:t>相关工作任务</w:t>
      </w:r>
      <w:r>
        <w:rPr>
          <w:rFonts w:hint="eastAsia" w:ascii="仿宋_GB2312" w:eastAsia="仿宋_GB2312"/>
          <w:color w:val="auto"/>
          <w:sz w:val="28"/>
          <w:szCs w:val="28"/>
        </w:rPr>
        <w:t>。</w:t>
      </w:r>
    </w:p>
    <w:p w14:paraId="5EC797E0">
      <w:pPr>
        <w:spacing w:line="580" w:lineRule="exact"/>
        <w:ind w:firstLine="560" w:firstLineChars="200"/>
        <w:rPr>
          <w:rFonts w:ascii="黑体" w:eastAsia="黑体"/>
          <w:b/>
          <w:color w:val="auto"/>
          <w:sz w:val="28"/>
          <w:szCs w:val="28"/>
        </w:rPr>
      </w:pPr>
      <w:r>
        <w:rPr>
          <w:rFonts w:hint="eastAsia" w:ascii="黑体" w:eastAsia="黑体"/>
          <w:b/>
          <w:color w:val="auto"/>
          <w:sz w:val="28"/>
          <w:szCs w:val="28"/>
        </w:rPr>
        <w:t>六、国有资本经营预算财</w:t>
      </w:r>
      <w:r>
        <w:rPr>
          <w:rFonts w:ascii="黑体" w:eastAsia="黑体"/>
          <w:b/>
          <w:color w:val="auto"/>
          <w:sz w:val="28"/>
          <w:szCs w:val="28"/>
        </w:rPr>
        <w:t>政拨款</w:t>
      </w:r>
      <w:r>
        <w:rPr>
          <w:rFonts w:hint="eastAsia" w:ascii="黑体" w:eastAsia="黑体"/>
          <w:b/>
          <w:color w:val="auto"/>
          <w:sz w:val="28"/>
          <w:szCs w:val="28"/>
        </w:rPr>
        <w:t>收支情况</w:t>
      </w:r>
    </w:p>
    <w:p w14:paraId="555C5ED6">
      <w:pPr>
        <w:ind w:firstLine="614" w:firstLineChars="192"/>
        <w:rPr>
          <w:rFonts w:ascii="仿宋_GB2312" w:eastAsia="仿宋_GB2312"/>
          <w:color w:val="auto"/>
          <w:sz w:val="28"/>
          <w:szCs w:val="28"/>
        </w:rPr>
      </w:pPr>
      <w:r>
        <w:rPr>
          <w:rFonts w:hint="default" w:ascii="仿宋_GB2312" w:hAnsi="仿宋_GB2312" w:eastAsia="仿宋_GB2312" w:cs="仿宋_GB2312"/>
          <w:color w:val="auto"/>
          <w:sz w:val="32"/>
          <w:szCs w:val="32"/>
          <w:lang w:val="en-US" w:eastAsia="zh-CN"/>
        </w:rPr>
        <w:t>本单位无此项经费</w:t>
      </w:r>
      <w:r>
        <w:rPr>
          <w:rFonts w:hint="eastAsia" w:ascii="仿宋_GB2312" w:eastAsia="仿宋_GB2312"/>
          <w:color w:val="auto"/>
          <w:sz w:val="28"/>
          <w:szCs w:val="28"/>
        </w:rPr>
        <w:t>。</w:t>
      </w:r>
    </w:p>
    <w:p w14:paraId="5EB5036F">
      <w:pPr>
        <w:spacing w:line="580" w:lineRule="exact"/>
        <w:ind w:firstLine="548" w:firstLineChars="196"/>
        <w:rPr>
          <w:rFonts w:ascii="黑体" w:eastAsia="黑体"/>
          <w:color w:val="auto"/>
          <w:sz w:val="28"/>
          <w:szCs w:val="28"/>
        </w:rPr>
      </w:pPr>
      <w:r>
        <w:rPr>
          <w:rFonts w:hint="eastAsia" w:ascii="黑体" w:eastAsia="黑体"/>
          <w:b/>
          <w:color w:val="auto"/>
          <w:sz w:val="28"/>
          <w:szCs w:val="28"/>
        </w:rPr>
        <w:t>七、财政拨款基本支出决算情况说明</w:t>
      </w:r>
    </w:p>
    <w:p w14:paraId="3BB9C40F">
      <w:pPr>
        <w:tabs>
          <w:tab w:val="center" w:pos="6979"/>
        </w:tabs>
        <w:spacing w:line="580" w:lineRule="exact"/>
        <w:ind w:firstLine="548" w:firstLineChars="196"/>
        <w:rPr>
          <w:rFonts w:ascii="黑体" w:eastAsia="黑体"/>
          <w:b/>
          <w:color w:val="auto"/>
          <w:sz w:val="28"/>
          <w:szCs w:val="28"/>
        </w:rPr>
      </w:pPr>
      <w:r>
        <w:rPr>
          <w:rFonts w:hint="eastAsia" w:ascii="仿宋_GB2312" w:eastAsia="仿宋_GB2312"/>
          <w:color w:val="auto"/>
          <w:sz w:val="28"/>
          <w:szCs w:val="28"/>
        </w:rPr>
        <w:t>2024年度使用一般公共预算财政拨款安排基本支出</w:t>
      </w:r>
      <w:r>
        <w:rPr>
          <w:rFonts w:ascii="仿宋_GB2312" w:eastAsia="仿宋_GB2312"/>
          <w:color w:val="auto"/>
          <w:sz w:val="28"/>
          <w:szCs w:val="28"/>
        </w:rPr>
        <w:t>2157.94</w:t>
      </w:r>
      <w:r>
        <w:rPr>
          <w:rFonts w:hint="eastAsia" w:ascii="仿宋_GB2312" w:eastAsia="仿宋_GB2312"/>
          <w:color w:val="auto"/>
          <w:sz w:val="28"/>
          <w:szCs w:val="28"/>
        </w:rPr>
        <w:t>万元，使用政府性基金财政拨款安排基本支出</w:t>
      </w:r>
      <w:r>
        <w:rPr>
          <w:rFonts w:ascii="仿宋_GB2312" w:eastAsia="仿宋_GB2312"/>
          <w:color w:val="auto"/>
          <w:sz w:val="28"/>
          <w:szCs w:val="28"/>
        </w:rPr>
        <w:t>0</w:t>
      </w:r>
      <w:r>
        <w:rPr>
          <w:rFonts w:hint="eastAsia" w:ascii="仿宋_GB2312" w:eastAsia="仿宋_GB2312"/>
          <w:color w:val="auto"/>
          <w:sz w:val="28"/>
          <w:szCs w:val="28"/>
        </w:rPr>
        <w:t>万元，（1）工资福利支出包括基本工资</w:t>
      </w:r>
      <w:r>
        <w:rPr>
          <w:rFonts w:ascii="仿宋_GB2312" w:eastAsia="仿宋_GB2312"/>
          <w:color w:val="auto"/>
          <w:sz w:val="28"/>
          <w:szCs w:val="28"/>
        </w:rPr>
        <w:t>、津贴补贴、奖金、伙食补助费、绩效工资、</w:t>
      </w:r>
      <w:r>
        <w:rPr>
          <w:rFonts w:hint="eastAsia" w:ascii="仿宋_GB2312" w:eastAsia="仿宋_GB2312"/>
          <w:color w:val="auto"/>
          <w:sz w:val="28"/>
          <w:szCs w:val="28"/>
        </w:rPr>
        <w:t>其他</w:t>
      </w:r>
      <w:r>
        <w:rPr>
          <w:rFonts w:ascii="仿宋_GB2312" w:eastAsia="仿宋_GB2312"/>
          <w:color w:val="auto"/>
          <w:sz w:val="28"/>
          <w:szCs w:val="28"/>
        </w:rPr>
        <w:t>社会保障缴费、其他工资福利</w:t>
      </w:r>
      <w:r>
        <w:rPr>
          <w:rFonts w:hint="eastAsia" w:ascii="仿宋_GB2312" w:eastAsia="仿宋_GB2312"/>
          <w:color w:val="auto"/>
          <w:sz w:val="28"/>
          <w:szCs w:val="28"/>
        </w:rPr>
        <w:t>等</w:t>
      </w:r>
      <w:r>
        <w:rPr>
          <w:rFonts w:ascii="仿宋_GB2312" w:eastAsia="仿宋_GB2312"/>
          <w:color w:val="auto"/>
          <w:sz w:val="28"/>
          <w:szCs w:val="28"/>
        </w:rPr>
        <w:t>支出</w:t>
      </w:r>
      <w:r>
        <w:rPr>
          <w:rFonts w:hint="eastAsia" w:ascii="仿宋_GB2312" w:eastAsia="仿宋_GB2312"/>
          <w:color w:val="auto"/>
          <w:sz w:val="28"/>
          <w:szCs w:val="28"/>
        </w:rPr>
        <w:t>；（2）商品和服务支出包括</w:t>
      </w:r>
      <w:r>
        <w:rPr>
          <w:rFonts w:ascii="仿宋_GB2312" w:eastAsia="仿宋_GB2312"/>
          <w:color w:val="auto"/>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color w:val="auto"/>
          <w:sz w:val="28"/>
          <w:szCs w:val="28"/>
        </w:rPr>
        <w:t>等</w:t>
      </w:r>
      <w:r>
        <w:rPr>
          <w:rFonts w:ascii="仿宋_GB2312" w:eastAsia="仿宋_GB2312"/>
          <w:color w:val="auto"/>
          <w:sz w:val="28"/>
          <w:szCs w:val="28"/>
        </w:rPr>
        <w:t>支出</w:t>
      </w:r>
      <w:r>
        <w:rPr>
          <w:rFonts w:hint="eastAsia" w:ascii="仿宋_GB2312" w:eastAsia="仿宋_GB2312"/>
          <w:color w:val="auto"/>
          <w:sz w:val="28"/>
          <w:szCs w:val="28"/>
        </w:rPr>
        <w:t>；（3）对个人和家庭补助支出包括</w:t>
      </w:r>
      <w:r>
        <w:rPr>
          <w:rFonts w:ascii="仿宋_GB2312" w:eastAsia="仿宋_GB2312"/>
          <w:color w:val="auto"/>
          <w:sz w:val="28"/>
          <w:szCs w:val="28"/>
        </w:rPr>
        <w:t>离休费、退休费、抚恤金、生活补助、</w:t>
      </w:r>
      <w:r>
        <w:rPr>
          <w:rFonts w:hint="eastAsia" w:ascii="仿宋_GB2312" w:eastAsia="仿宋_GB2312"/>
          <w:color w:val="auto"/>
          <w:sz w:val="28"/>
          <w:szCs w:val="28"/>
        </w:rPr>
        <w:t>救济费</w:t>
      </w:r>
      <w:r>
        <w:rPr>
          <w:rFonts w:ascii="仿宋_GB2312" w:eastAsia="仿宋_GB2312"/>
          <w:color w:val="auto"/>
          <w:sz w:val="28"/>
          <w:szCs w:val="28"/>
        </w:rPr>
        <w:t>、医疗费</w:t>
      </w:r>
      <w:r>
        <w:rPr>
          <w:rFonts w:hint="eastAsia" w:ascii="仿宋_GB2312" w:eastAsia="仿宋_GB2312"/>
          <w:color w:val="auto"/>
          <w:sz w:val="28"/>
          <w:szCs w:val="28"/>
        </w:rPr>
        <w:t>补助</w:t>
      </w:r>
      <w:r>
        <w:rPr>
          <w:rFonts w:ascii="仿宋_GB2312" w:eastAsia="仿宋_GB2312"/>
          <w:color w:val="auto"/>
          <w:sz w:val="28"/>
          <w:szCs w:val="28"/>
        </w:rPr>
        <w:t>、助学金、奖励金</w:t>
      </w:r>
      <w:r>
        <w:rPr>
          <w:rFonts w:hint="eastAsia" w:ascii="仿宋_GB2312" w:eastAsia="仿宋_GB2312"/>
          <w:color w:val="auto"/>
          <w:sz w:val="28"/>
          <w:szCs w:val="28"/>
        </w:rPr>
        <w:t>、</w:t>
      </w:r>
      <w:r>
        <w:rPr>
          <w:rFonts w:ascii="仿宋_GB2312" w:eastAsia="仿宋_GB2312"/>
          <w:color w:val="auto"/>
          <w:sz w:val="28"/>
          <w:szCs w:val="28"/>
        </w:rPr>
        <w:t>其他对个人和家庭的补助</w:t>
      </w:r>
      <w:r>
        <w:rPr>
          <w:rFonts w:hint="eastAsia" w:ascii="仿宋_GB2312" w:eastAsia="仿宋_GB2312"/>
          <w:color w:val="auto"/>
          <w:sz w:val="28"/>
          <w:szCs w:val="28"/>
        </w:rPr>
        <w:t>等</w:t>
      </w:r>
      <w:r>
        <w:rPr>
          <w:rFonts w:ascii="仿宋_GB2312" w:eastAsia="仿宋_GB2312"/>
          <w:color w:val="auto"/>
          <w:sz w:val="28"/>
          <w:szCs w:val="28"/>
        </w:rPr>
        <w:t>支出</w:t>
      </w:r>
      <w:r>
        <w:rPr>
          <w:rFonts w:hint="eastAsia" w:ascii="仿宋_GB2312" w:eastAsia="仿宋_GB2312"/>
          <w:color w:val="auto"/>
          <w:sz w:val="28"/>
          <w:szCs w:val="28"/>
        </w:rPr>
        <w:t>。（4）其他资本性支出包括</w:t>
      </w:r>
      <w:r>
        <w:rPr>
          <w:rFonts w:ascii="仿宋_GB2312" w:eastAsia="仿宋_GB2312"/>
          <w:color w:val="auto"/>
          <w:sz w:val="28"/>
          <w:szCs w:val="28"/>
        </w:rPr>
        <w:t>办公设备购置、专用设备购置</w:t>
      </w:r>
      <w:r>
        <w:rPr>
          <w:rFonts w:hint="eastAsia" w:ascii="仿宋_GB2312" w:eastAsia="仿宋_GB2312"/>
          <w:color w:val="auto"/>
          <w:sz w:val="28"/>
          <w:szCs w:val="28"/>
        </w:rPr>
        <w:t>等</w:t>
      </w:r>
      <w:r>
        <w:rPr>
          <w:rFonts w:ascii="仿宋_GB2312" w:eastAsia="仿宋_GB2312"/>
          <w:color w:val="auto"/>
          <w:sz w:val="28"/>
          <w:szCs w:val="28"/>
        </w:rPr>
        <w:t>。</w:t>
      </w:r>
    </w:p>
    <w:p w14:paraId="0AB26CFA">
      <w:pPr>
        <w:autoSpaceDE w:val="0"/>
        <w:autoSpaceDN w:val="0"/>
        <w:adjustRightInd w:val="0"/>
        <w:spacing w:line="580" w:lineRule="exact"/>
        <w:rPr>
          <w:rFonts w:ascii="仿宋_GB2312" w:eastAsia="仿宋_GB2312"/>
          <w:b/>
          <w:color w:val="auto"/>
          <w:sz w:val="32"/>
          <w:szCs w:val="32"/>
        </w:rPr>
      </w:pPr>
      <w:r>
        <w:rPr>
          <w:rFonts w:ascii="仿宋_GB2312" w:eastAsia="仿宋_GB2312"/>
          <w:b/>
          <w:color w:val="auto"/>
          <w:sz w:val="32"/>
          <w:szCs w:val="32"/>
        </w:rPr>
        <w:tab/>
      </w:r>
    </w:p>
    <w:p w14:paraId="13A17B25">
      <w:pPr>
        <w:pStyle w:val="2"/>
        <w:rPr>
          <w:color w:val="auto"/>
        </w:rPr>
      </w:pPr>
    </w:p>
    <w:p w14:paraId="4FE70358">
      <w:pPr>
        <w:tabs>
          <w:tab w:val="center" w:pos="6979"/>
        </w:tabs>
        <w:jc w:val="center"/>
        <w:rPr>
          <w:rFonts w:ascii="宋体" w:hAnsi="宋体" w:cs="宋体"/>
          <w:b/>
          <w:color w:val="auto"/>
          <w:spacing w:val="40"/>
          <w:kern w:val="0"/>
          <w:sz w:val="32"/>
          <w:szCs w:val="32"/>
        </w:rPr>
      </w:pPr>
      <w:r>
        <w:rPr>
          <w:rFonts w:hint="eastAsia" w:ascii="宋体" w:hAnsi="宋体" w:cs="宋体"/>
          <w:b/>
          <w:bCs/>
          <w:color w:val="auto"/>
          <w:spacing w:val="40"/>
          <w:kern w:val="0"/>
          <w:sz w:val="32"/>
          <w:szCs w:val="32"/>
        </w:rPr>
        <w:t>第三部分</w:t>
      </w:r>
      <w:r>
        <w:rPr>
          <w:rFonts w:hint="eastAsia" w:ascii="宋体" w:hAnsi="宋体"/>
          <w:b/>
          <w:color w:val="auto"/>
          <w:spacing w:val="40"/>
          <w:sz w:val="32"/>
          <w:szCs w:val="32"/>
        </w:rPr>
        <w:t>2024年度</w:t>
      </w:r>
      <w:r>
        <w:rPr>
          <w:rFonts w:hint="eastAsia" w:ascii="宋体" w:hAnsi="宋体" w:cs="宋体"/>
          <w:b/>
          <w:color w:val="auto"/>
          <w:spacing w:val="40"/>
          <w:kern w:val="0"/>
          <w:sz w:val="32"/>
          <w:szCs w:val="32"/>
        </w:rPr>
        <w:t>其他重要事项的情况说明</w:t>
      </w:r>
    </w:p>
    <w:p w14:paraId="4D3BBDB1">
      <w:pPr>
        <w:spacing w:line="560" w:lineRule="exact"/>
        <w:ind w:firstLine="560" w:firstLineChars="200"/>
        <w:rPr>
          <w:rFonts w:ascii="黑体" w:eastAsia="黑体"/>
          <w:color w:val="auto"/>
          <w:sz w:val="28"/>
          <w:szCs w:val="28"/>
          <w:highlight w:val="none"/>
        </w:rPr>
      </w:pPr>
      <w:r>
        <w:rPr>
          <w:rFonts w:hint="eastAsia" w:ascii="黑体" w:eastAsia="黑体"/>
          <w:color w:val="auto"/>
          <w:sz w:val="28"/>
          <w:szCs w:val="28"/>
          <w:highlight w:val="none"/>
        </w:rPr>
        <w:t>一、“三公”经费财政拨款决算情况</w:t>
      </w:r>
    </w:p>
    <w:p w14:paraId="321AA6BD">
      <w:pPr>
        <w:spacing w:line="560" w:lineRule="exact"/>
        <w:ind w:firstLine="600"/>
        <w:rPr>
          <w:rFonts w:ascii="仿宋_GB2312" w:eastAsia="仿宋_GB2312"/>
          <w:color w:val="auto"/>
          <w:sz w:val="28"/>
          <w:szCs w:val="28"/>
          <w:highlight w:val="none"/>
        </w:rPr>
      </w:pPr>
      <w:r>
        <w:rPr>
          <w:rFonts w:hint="eastAsia" w:ascii="仿宋_GB2312" w:eastAsia="仿宋_GB2312"/>
          <w:color w:val="auto"/>
          <w:sz w:val="28"/>
          <w:szCs w:val="28"/>
          <w:highlight w:val="none"/>
        </w:rPr>
        <w:t>2024年度“三公”经费财政拨款决算数</w:t>
      </w:r>
      <w:r>
        <w:rPr>
          <w:rFonts w:ascii="仿宋_GB2312" w:eastAsia="仿宋_GB2312"/>
          <w:color w:val="auto"/>
          <w:sz w:val="28"/>
          <w:szCs w:val="28"/>
          <w:highlight w:val="none"/>
        </w:rPr>
        <w:t>4.23</w:t>
      </w:r>
      <w:r>
        <w:rPr>
          <w:rFonts w:hint="eastAsia" w:ascii="仿宋_GB2312" w:eastAsia="仿宋_GB2312"/>
          <w:color w:val="auto"/>
          <w:sz w:val="28"/>
          <w:szCs w:val="28"/>
          <w:highlight w:val="none"/>
        </w:rPr>
        <w:t>万元，与2024年度“三公”经费财政拨款年初预算</w:t>
      </w:r>
      <w:r>
        <w:rPr>
          <w:rFonts w:hint="eastAsia" w:ascii="仿宋_GB2312" w:eastAsia="仿宋_GB2312"/>
          <w:color w:val="auto"/>
          <w:sz w:val="28"/>
          <w:szCs w:val="28"/>
          <w:highlight w:val="none"/>
          <w:lang w:val="en-US" w:eastAsia="zh-CN"/>
        </w:rPr>
        <w:t>数持平</w:t>
      </w:r>
      <w:r>
        <w:rPr>
          <w:rFonts w:hint="eastAsia" w:ascii="仿宋_GB2312" w:eastAsia="仿宋_GB2312"/>
          <w:color w:val="auto"/>
          <w:sz w:val="28"/>
          <w:szCs w:val="28"/>
          <w:highlight w:val="none"/>
        </w:rPr>
        <w:t>。其中：</w:t>
      </w:r>
    </w:p>
    <w:p w14:paraId="37237E21">
      <w:pPr>
        <w:spacing w:line="560" w:lineRule="exact"/>
        <w:ind w:firstLine="600"/>
        <w:rPr>
          <w:rFonts w:ascii="仿宋_GB2312" w:eastAsia="仿宋_GB2312"/>
          <w:color w:val="auto"/>
          <w:sz w:val="28"/>
          <w:szCs w:val="28"/>
          <w:highlight w:val="none"/>
        </w:rPr>
      </w:pPr>
      <w:r>
        <w:rPr>
          <w:rFonts w:hint="eastAsia" w:ascii="仿宋_GB2312" w:eastAsia="仿宋_GB2312"/>
          <w:color w:val="auto"/>
          <w:sz w:val="28"/>
          <w:szCs w:val="28"/>
          <w:highlight w:val="none"/>
        </w:rPr>
        <w:t>1.因公出国（境）费用。本单位无此项支出。</w:t>
      </w:r>
    </w:p>
    <w:p w14:paraId="21951F30">
      <w:pPr>
        <w:spacing w:line="560" w:lineRule="exact"/>
        <w:ind w:firstLine="600"/>
        <w:rPr>
          <w:rFonts w:ascii="仿宋_GB2312" w:eastAsia="仿宋_GB2312"/>
          <w:color w:val="auto"/>
          <w:sz w:val="28"/>
          <w:szCs w:val="28"/>
          <w:highlight w:val="none"/>
        </w:rPr>
      </w:pPr>
      <w:r>
        <w:rPr>
          <w:rFonts w:hint="eastAsia" w:ascii="仿宋_GB2312" w:eastAsia="仿宋_GB2312"/>
          <w:color w:val="auto"/>
          <w:sz w:val="28"/>
          <w:szCs w:val="28"/>
          <w:highlight w:val="none"/>
        </w:rPr>
        <w:t>2.公务接待费。本单位无此项支出。</w:t>
      </w:r>
    </w:p>
    <w:p w14:paraId="7C030D8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3.公务用车购置及运行维护费。2024年度决算数</w:t>
      </w:r>
      <w:r>
        <w:rPr>
          <w:rFonts w:ascii="仿宋_GB2312" w:eastAsia="仿宋_GB2312"/>
          <w:color w:val="auto"/>
          <w:sz w:val="28"/>
          <w:szCs w:val="28"/>
          <w:highlight w:val="none"/>
        </w:rPr>
        <w:t>4.23</w:t>
      </w:r>
      <w:r>
        <w:rPr>
          <w:rFonts w:hint="eastAsia" w:ascii="仿宋_GB2312" w:eastAsia="仿宋_GB2312"/>
          <w:color w:val="auto"/>
          <w:sz w:val="28"/>
          <w:szCs w:val="28"/>
          <w:highlight w:val="none"/>
        </w:rPr>
        <w:t>万元，与2024年度年初预算数</w:t>
      </w:r>
      <w:r>
        <w:rPr>
          <w:rFonts w:hint="eastAsia" w:ascii="仿宋_GB2312" w:eastAsia="仿宋_GB2312"/>
          <w:color w:val="auto"/>
          <w:sz w:val="28"/>
          <w:szCs w:val="28"/>
          <w:highlight w:val="none"/>
          <w:lang w:val="en-US" w:eastAsia="zh-CN"/>
        </w:rPr>
        <w:t>持平</w:t>
      </w:r>
      <w:r>
        <w:rPr>
          <w:rFonts w:hint="eastAsia" w:ascii="仿宋_GB2312" w:eastAsia="仿宋_GB2312"/>
          <w:color w:val="auto"/>
          <w:sz w:val="28"/>
          <w:szCs w:val="28"/>
          <w:highlight w:val="none"/>
        </w:rPr>
        <w:t>。其中，公务用车购置费，</w:t>
      </w:r>
      <w:r>
        <w:rPr>
          <w:rFonts w:hint="eastAsia" w:ascii="仿宋_GB2312" w:eastAsia="仿宋_GB2312"/>
          <w:color w:val="auto"/>
          <w:sz w:val="28"/>
          <w:szCs w:val="28"/>
          <w:highlight w:val="none"/>
          <w:lang w:val="en-US" w:eastAsia="zh-CN"/>
        </w:rPr>
        <w:t>本单位无此项支出。</w:t>
      </w:r>
      <w:r>
        <w:rPr>
          <w:rFonts w:hint="eastAsia" w:ascii="仿宋_GB2312" w:eastAsia="仿宋_GB2312"/>
          <w:color w:val="auto"/>
          <w:sz w:val="28"/>
          <w:szCs w:val="28"/>
          <w:highlight w:val="none"/>
        </w:rPr>
        <w:t>公务用车运行维护费2024年度决算数4.23万元，与2024年度年初预算数</w:t>
      </w:r>
      <w:r>
        <w:rPr>
          <w:rFonts w:hint="eastAsia" w:ascii="仿宋_GB2312" w:eastAsia="仿宋_GB2312"/>
          <w:color w:val="auto"/>
          <w:sz w:val="28"/>
          <w:szCs w:val="28"/>
          <w:highlight w:val="none"/>
          <w:lang w:val="en-US" w:eastAsia="zh-CN"/>
        </w:rPr>
        <w:t>持平</w:t>
      </w:r>
      <w:r>
        <w:rPr>
          <w:rFonts w:hint="eastAsia" w:ascii="仿宋_GB2312" w:eastAsia="仿宋_GB2312"/>
          <w:color w:val="auto"/>
          <w:sz w:val="28"/>
          <w:szCs w:val="28"/>
          <w:highlight w:val="none"/>
        </w:rPr>
        <w:t>。2024年度公务用车保有量</w:t>
      </w:r>
      <w:r>
        <w:rPr>
          <w:rFonts w:ascii="仿宋_GB2312" w:eastAsia="仿宋_GB2312"/>
          <w:color w:val="auto"/>
          <w:sz w:val="28"/>
          <w:szCs w:val="28"/>
          <w:highlight w:val="none"/>
        </w:rPr>
        <w:t>4</w:t>
      </w:r>
      <w:r>
        <w:rPr>
          <w:rFonts w:hint="eastAsia" w:ascii="仿宋_GB2312" w:eastAsia="仿宋_GB2312"/>
          <w:color w:val="auto"/>
          <w:sz w:val="28"/>
          <w:szCs w:val="28"/>
          <w:highlight w:val="none"/>
        </w:rPr>
        <w:t>辆。</w:t>
      </w:r>
    </w:p>
    <w:p w14:paraId="45D402F5">
      <w:pPr>
        <w:tabs>
          <w:tab w:val="center" w:pos="6979"/>
        </w:tabs>
        <w:ind w:firstLine="554" w:firstLineChars="198"/>
        <w:rPr>
          <w:rFonts w:ascii="仿宋_GB2312" w:eastAsia="仿宋_GB2312"/>
          <w:color w:val="auto"/>
          <w:sz w:val="28"/>
          <w:szCs w:val="28"/>
          <w:highlight w:val="green"/>
        </w:rPr>
      </w:pPr>
      <w:r>
        <w:rPr>
          <w:rFonts w:hint="eastAsia" w:ascii="黑体" w:eastAsia="黑体"/>
          <w:color w:val="auto"/>
          <w:sz w:val="28"/>
          <w:szCs w:val="28"/>
        </w:rPr>
        <w:t>二、机关运行经费支出情况</w:t>
      </w:r>
    </w:p>
    <w:p w14:paraId="7CB7D34F">
      <w:pPr>
        <w:ind w:firstLine="537" w:firstLineChars="192"/>
        <w:rPr>
          <w:color w:val="auto"/>
        </w:rPr>
      </w:pPr>
      <w:r>
        <w:rPr>
          <w:rFonts w:hint="eastAsia" w:ascii="仿宋_GB2312" w:hAnsi="Calibri" w:eastAsia="仿宋_GB2312" w:cs="仿宋_GB2312"/>
          <w:color w:val="auto"/>
          <w:sz w:val="28"/>
          <w:szCs w:val="28"/>
          <w:lang w:bidi="ar"/>
        </w:rPr>
        <w:t>我单位不在机关运行经费统计范围之内。</w:t>
      </w:r>
    </w:p>
    <w:p w14:paraId="1BB61E77">
      <w:pPr>
        <w:ind w:left="540"/>
        <w:rPr>
          <w:rFonts w:ascii="黑体" w:eastAsia="黑体"/>
          <w:color w:val="auto"/>
          <w:sz w:val="28"/>
          <w:szCs w:val="28"/>
        </w:rPr>
      </w:pPr>
      <w:r>
        <w:rPr>
          <w:rFonts w:hint="eastAsia" w:ascii="黑体" w:eastAsia="黑体"/>
          <w:color w:val="auto"/>
          <w:sz w:val="28"/>
          <w:szCs w:val="28"/>
        </w:rPr>
        <w:t>三、政府采购支出情况</w:t>
      </w:r>
    </w:p>
    <w:p w14:paraId="0C3BC105">
      <w:pPr>
        <w:ind w:firstLine="537" w:firstLineChars="192"/>
        <w:rPr>
          <w:rFonts w:ascii="仿宋_GB2312" w:eastAsia="仿宋_GB2312"/>
          <w:color w:val="auto"/>
          <w:sz w:val="28"/>
          <w:szCs w:val="28"/>
        </w:rPr>
      </w:pPr>
      <w:r>
        <w:rPr>
          <w:rFonts w:hint="eastAsia" w:ascii="仿宋_GB2312" w:eastAsia="仿宋_GB2312"/>
          <w:color w:val="auto"/>
          <w:sz w:val="28"/>
          <w:szCs w:val="28"/>
        </w:rPr>
        <w:t>2024年度政府采购支出总额</w:t>
      </w:r>
      <w:r>
        <w:rPr>
          <w:rFonts w:ascii="仿宋_GB2312" w:eastAsia="仿宋_GB2312"/>
          <w:color w:val="auto"/>
          <w:sz w:val="28"/>
          <w:szCs w:val="28"/>
        </w:rPr>
        <w:t>221.71</w:t>
      </w:r>
      <w:r>
        <w:rPr>
          <w:rFonts w:hint="eastAsia" w:ascii="仿宋_GB2312" w:eastAsia="仿宋_GB2312"/>
          <w:color w:val="auto"/>
          <w:sz w:val="28"/>
          <w:szCs w:val="28"/>
        </w:rPr>
        <w:t>万元，其中：政府采购货物支出</w:t>
      </w:r>
      <w:r>
        <w:rPr>
          <w:rFonts w:ascii="仿宋_GB2312" w:eastAsia="仿宋_GB2312"/>
          <w:color w:val="auto"/>
          <w:sz w:val="28"/>
          <w:szCs w:val="28"/>
        </w:rPr>
        <w:t>171.39</w:t>
      </w:r>
      <w:r>
        <w:rPr>
          <w:rFonts w:hint="eastAsia" w:ascii="仿宋_GB2312" w:eastAsia="仿宋_GB2312"/>
          <w:color w:val="auto"/>
          <w:sz w:val="28"/>
          <w:szCs w:val="28"/>
        </w:rPr>
        <w:t>万元，政府采购工程支出</w:t>
      </w:r>
      <w:r>
        <w:rPr>
          <w:rFonts w:ascii="仿宋_GB2312" w:eastAsia="仿宋_GB2312"/>
          <w:color w:val="auto"/>
          <w:sz w:val="28"/>
          <w:szCs w:val="28"/>
        </w:rPr>
        <w:t>0</w:t>
      </w:r>
      <w:r>
        <w:rPr>
          <w:rFonts w:hint="eastAsia" w:ascii="仿宋_GB2312" w:eastAsia="仿宋_GB2312"/>
          <w:color w:val="auto"/>
          <w:sz w:val="28"/>
          <w:szCs w:val="28"/>
        </w:rPr>
        <w:t>万元，政府采购服务支出</w:t>
      </w:r>
      <w:r>
        <w:rPr>
          <w:rFonts w:ascii="仿宋_GB2312" w:eastAsia="仿宋_GB2312"/>
          <w:color w:val="auto"/>
          <w:sz w:val="28"/>
          <w:szCs w:val="28"/>
        </w:rPr>
        <w:t>50.32</w:t>
      </w:r>
      <w:r>
        <w:rPr>
          <w:rFonts w:hint="eastAsia" w:ascii="仿宋_GB2312" w:eastAsia="仿宋_GB2312"/>
          <w:color w:val="auto"/>
          <w:sz w:val="28"/>
          <w:szCs w:val="28"/>
        </w:rPr>
        <w:t>万元。授予中小企业合同金额</w:t>
      </w:r>
      <w:r>
        <w:rPr>
          <w:rFonts w:ascii="仿宋_GB2312" w:eastAsia="仿宋_GB2312"/>
          <w:color w:val="auto"/>
          <w:sz w:val="28"/>
          <w:szCs w:val="28"/>
        </w:rPr>
        <w:t>220.55</w:t>
      </w:r>
      <w:r>
        <w:rPr>
          <w:rFonts w:hint="eastAsia" w:ascii="仿宋_GB2312" w:eastAsia="仿宋_GB2312"/>
          <w:color w:val="auto"/>
          <w:sz w:val="28"/>
          <w:szCs w:val="28"/>
        </w:rPr>
        <w:t>万元，占政府采购支出总额的99.48%，其中：授予小微企业合同金额</w:t>
      </w:r>
      <w:r>
        <w:rPr>
          <w:rFonts w:ascii="仿宋_GB2312" w:eastAsia="仿宋_GB2312"/>
          <w:color w:val="auto"/>
          <w:sz w:val="28"/>
          <w:szCs w:val="28"/>
        </w:rPr>
        <w:t>212.75</w:t>
      </w:r>
      <w:r>
        <w:rPr>
          <w:rFonts w:hint="eastAsia" w:ascii="仿宋_GB2312" w:eastAsia="仿宋_GB2312"/>
          <w:color w:val="auto"/>
          <w:sz w:val="28"/>
          <w:szCs w:val="28"/>
        </w:rPr>
        <w:t>万元，占政府采购支出总额的</w:t>
      </w:r>
      <w:r>
        <w:rPr>
          <w:rFonts w:ascii="仿宋_GB2312" w:eastAsia="仿宋_GB2312"/>
          <w:color w:val="auto"/>
          <w:sz w:val="28"/>
          <w:szCs w:val="28"/>
        </w:rPr>
        <w:t>95.96</w:t>
      </w:r>
      <w:r>
        <w:rPr>
          <w:rFonts w:hint="eastAsia" w:ascii="仿宋_GB2312" w:eastAsia="仿宋_GB2312"/>
          <w:color w:val="auto"/>
          <w:sz w:val="28"/>
          <w:szCs w:val="28"/>
        </w:rPr>
        <w:t>%。</w:t>
      </w:r>
    </w:p>
    <w:p w14:paraId="7B65387A">
      <w:pPr>
        <w:ind w:firstLine="560" w:firstLineChars="200"/>
        <w:rPr>
          <w:rFonts w:ascii="黑体" w:eastAsia="黑体"/>
          <w:color w:val="auto"/>
          <w:sz w:val="28"/>
          <w:szCs w:val="28"/>
          <w:highlight w:val="yellow"/>
        </w:rPr>
      </w:pPr>
      <w:r>
        <w:rPr>
          <w:rFonts w:hint="eastAsia" w:ascii="黑体" w:eastAsia="黑体"/>
          <w:color w:val="auto"/>
          <w:sz w:val="28"/>
          <w:szCs w:val="28"/>
        </w:rPr>
        <w:t>四、国有资产占用情况</w:t>
      </w:r>
    </w:p>
    <w:p w14:paraId="0E29D4C8">
      <w:pPr>
        <w:ind w:firstLine="560" w:firstLineChars="200"/>
        <w:rPr>
          <w:rFonts w:ascii="仿宋_GB2312" w:eastAsia="仿宋_GB2312"/>
          <w:color w:val="auto"/>
          <w:sz w:val="32"/>
          <w:szCs w:val="32"/>
        </w:rPr>
      </w:pPr>
      <w:r>
        <w:rPr>
          <w:rFonts w:hint="eastAsia" w:ascii="仿宋_GB2312" w:eastAsia="仿宋_GB2312"/>
          <w:color w:val="auto"/>
          <w:sz w:val="28"/>
          <w:szCs w:val="28"/>
        </w:rPr>
        <w:t>截至12月31日，北京市体育科学研究所共有车辆4台；单位价值100万元（含）以上的设备4台（套）。</w:t>
      </w:r>
    </w:p>
    <w:p w14:paraId="49F19602">
      <w:pPr>
        <w:ind w:firstLine="537" w:firstLineChars="192"/>
        <w:rPr>
          <w:rFonts w:ascii="黑体" w:eastAsia="黑体"/>
          <w:color w:val="auto"/>
          <w:sz w:val="28"/>
          <w:szCs w:val="28"/>
        </w:rPr>
      </w:pPr>
      <w:r>
        <w:rPr>
          <w:rFonts w:hint="eastAsia" w:ascii="黑体" w:eastAsia="黑体"/>
          <w:color w:val="auto"/>
          <w:sz w:val="28"/>
          <w:szCs w:val="28"/>
        </w:rPr>
        <w:t>五</w:t>
      </w:r>
      <w:r>
        <w:rPr>
          <w:rFonts w:ascii="黑体" w:eastAsia="黑体"/>
          <w:color w:val="auto"/>
          <w:sz w:val="28"/>
          <w:szCs w:val="28"/>
        </w:rPr>
        <w:t>、政府购买服务</w:t>
      </w:r>
      <w:r>
        <w:rPr>
          <w:rFonts w:hint="eastAsia" w:ascii="黑体" w:eastAsia="黑体"/>
          <w:color w:val="auto"/>
          <w:sz w:val="28"/>
          <w:szCs w:val="28"/>
        </w:rPr>
        <w:t>支出</w:t>
      </w:r>
      <w:r>
        <w:rPr>
          <w:rFonts w:ascii="黑体" w:eastAsia="黑体"/>
          <w:color w:val="auto"/>
          <w:sz w:val="28"/>
          <w:szCs w:val="28"/>
        </w:rPr>
        <w:t>说明</w:t>
      </w:r>
    </w:p>
    <w:p w14:paraId="32482246">
      <w:pPr>
        <w:ind w:firstLine="614" w:firstLineChars="192"/>
        <w:rPr>
          <w:rFonts w:ascii="仿宋_GB2312" w:eastAsia="仿宋_GB2312"/>
          <w:color w:val="auto"/>
          <w:sz w:val="28"/>
          <w:szCs w:val="28"/>
        </w:rPr>
      </w:pPr>
      <w:r>
        <w:rPr>
          <w:rFonts w:hint="default" w:ascii="仿宋_GB2312" w:hAnsi="仿宋_GB2312" w:eastAsia="仿宋_GB2312" w:cs="仿宋_GB2312"/>
          <w:color w:val="auto"/>
          <w:sz w:val="32"/>
          <w:szCs w:val="32"/>
          <w:lang w:val="en-US" w:eastAsia="zh-CN"/>
        </w:rPr>
        <w:t>本单位无此项</w:t>
      </w:r>
      <w:r>
        <w:rPr>
          <w:rFonts w:hint="eastAsia" w:ascii="仿宋_GB2312" w:hAnsi="仿宋_GB2312" w:eastAsia="仿宋_GB2312" w:cs="仿宋_GB2312"/>
          <w:color w:val="auto"/>
          <w:sz w:val="32"/>
          <w:szCs w:val="32"/>
          <w:lang w:val="en-US" w:eastAsia="zh-CN"/>
        </w:rPr>
        <w:t>支出</w:t>
      </w:r>
      <w:r>
        <w:rPr>
          <w:rFonts w:hint="eastAsia" w:ascii="仿宋_GB2312" w:eastAsia="仿宋_GB2312"/>
          <w:color w:val="auto"/>
          <w:sz w:val="28"/>
          <w:szCs w:val="28"/>
        </w:rPr>
        <w:t>。</w:t>
      </w:r>
    </w:p>
    <w:p w14:paraId="27E74CF3">
      <w:pPr>
        <w:ind w:firstLine="560" w:firstLineChars="200"/>
        <w:jc w:val="left"/>
        <w:rPr>
          <w:rFonts w:ascii="仿宋_GB2312" w:eastAsia="仿宋_GB2312"/>
          <w:color w:val="auto"/>
          <w:sz w:val="32"/>
          <w:szCs w:val="32"/>
        </w:rPr>
      </w:pPr>
      <w:r>
        <w:rPr>
          <w:rFonts w:hint="eastAsia" w:ascii="黑体" w:eastAsia="黑体"/>
          <w:color w:val="auto"/>
          <w:sz w:val="28"/>
          <w:szCs w:val="28"/>
        </w:rPr>
        <w:t>六、</w:t>
      </w:r>
      <w:r>
        <w:rPr>
          <w:rFonts w:ascii="黑体" w:eastAsia="黑体"/>
          <w:color w:val="auto"/>
          <w:sz w:val="28"/>
          <w:szCs w:val="28"/>
        </w:rPr>
        <w:t>专业名词解释</w:t>
      </w:r>
    </w:p>
    <w:p w14:paraId="311D37ED">
      <w:pPr>
        <w:ind w:firstLine="560" w:firstLineChars="200"/>
        <w:rPr>
          <w:rFonts w:ascii="仿宋_GB2312" w:eastAsia="仿宋_GB2312"/>
          <w:color w:val="auto"/>
          <w:sz w:val="28"/>
          <w:szCs w:val="28"/>
        </w:rPr>
      </w:pPr>
      <w:r>
        <w:rPr>
          <w:rFonts w:hint="eastAsia" w:ascii="仿宋_GB2312" w:eastAsia="仿宋_GB2312"/>
          <w:color w:val="auto"/>
          <w:sz w:val="28"/>
          <w:szCs w:val="28"/>
        </w:rPr>
        <w:t>1.基本支出：指为保障机构正常运转、完成日常工作任务而发生的人员支出和公用支出。</w:t>
      </w:r>
    </w:p>
    <w:p w14:paraId="13CECE44">
      <w:pPr>
        <w:ind w:firstLine="560" w:firstLineChars="200"/>
        <w:rPr>
          <w:rFonts w:ascii="仿宋_GB2312" w:eastAsia="仿宋_GB2312"/>
          <w:color w:val="auto"/>
          <w:sz w:val="28"/>
          <w:szCs w:val="28"/>
        </w:rPr>
      </w:pPr>
      <w:r>
        <w:rPr>
          <w:rFonts w:hint="eastAsia" w:ascii="仿宋_GB2312" w:eastAsia="仿宋_GB2312"/>
          <w:color w:val="auto"/>
          <w:sz w:val="28"/>
          <w:szCs w:val="28"/>
        </w:rPr>
        <w:t>2.项目支出：指在基本支出之外为完成特定行政任务或事业发展目标所发生的支出。</w:t>
      </w:r>
    </w:p>
    <w:p w14:paraId="0F39BE70">
      <w:pPr>
        <w:ind w:firstLine="560" w:firstLineChars="200"/>
        <w:rPr>
          <w:rFonts w:ascii="仿宋_GB2312" w:hAnsi="宋体" w:eastAsia="仿宋_GB2312"/>
          <w:color w:val="auto"/>
          <w:sz w:val="28"/>
          <w:szCs w:val="28"/>
        </w:rPr>
      </w:pPr>
      <w:r>
        <w:rPr>
          <w:rFonts w:hint="eastAsia" w:ascii="仿宋_GB2312" w:eastAsia="仿宋_GB2312"/>
          <w:color w:val="auto"/>
          <w:sz w:val="28"/>
          <w:szCs w:val="28"/>
        </w:rPr>
        <w:t>3.“三公”经费：</w:t>
      </w:r>
      <w:r>
        <w:rPr>
          <w:rFonts w:hint="eastAsia" w:ascii="仿宋_GB2312" w:hAnsi="宋体" w:eastAsia="仿宋_GB2312"/>
          <w:color w:val="auto"/>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C8B6438">
      <w:pPr>
        <w:ind w:firstLine="560" w:firstLineChars="200"/>
        <w:rPr>
          <w:rFonts w:ascii="仿宋_GB2312" w:hAnsi="宋体" w:eastAsia="仿宋_GB2312"/>
          <w:color w:val="auto"/>
          <w:sz w:val="28"/>
          <w:szCs w:val="28"/>
        </w:rPr>
      </w:pPr>
      <w:r>
        <w:rPr>
          <w:rFonts w:hint="eastAsia" w:ascii="仿宋_GB2312" w:eastAsia="仿宋_GB2312"/>
          <w:color w:val="auto"/>
          <w:sz w:val="28"/>
          <w:szCs w:val="28"/>
        </w:rPr>
        <w:t>4</w:t>
      </w:r>
      <w:r>
        <w:rPr>
          <w:rFonts w:ascii="仿宋_GB2312" w:eastAsia="仿宋_GB2312"/>
          <w:color w:val="auto"/>
          <w:sz w:val="28"/>
          <w:szCs w:val="28"/>
        </w:rPr>
        <w:t>.</w:t>
      </w:r>
      <w:r>
        <w:rPr>
          <w:rFonts w:hint="eastAsia" w:ascii="仿宋_GB2312" w:eastAsia="仿宋_GB2312"/>
          <w:color w:val="auto"/>
          <w:sz w:val="28"/>
          <w:szCs w:val="28"/>
        </w:rPr>
        <w:t>机关运行经费：</w:t>
      </w:r>
      <w:r>
        <w:rPr>
          <w:rFonts w:hint="eastAsia" w:ascii="仿宋_GB2312" w:hAnsi="宋体" w:eastAsia="仿宋_GB2312"/>
          <w:color w:val="auto"/>
          <w:sz w:val="28"/>
          <w:szCs w:val="28"/>
        </w:rPr>
        <w:t>指为</w:t>
      </w:r>
      <w:r>
        <w:rPr>
          <w:rFonts w:ascii="仿宋_GB2312" w:hAnsi="宋体" w:eastAsia="仿宋_GB2312"/>
          <w:color w:val="auto"/>
          <w:sz w:val="28"/>
          <w:szCs w:val="28"/>
        </w:rPr>
        <w:t>保障</w:t>
      </w:r>
      <w:r>
        <w:rPr>
          <w:rFonts w:hint="eastAsia" w:ascii="仿宋_GB2312" w:hAnsi="宋体" w:eastAsia="仿宋_GB2312"/>
          <w:color w:val="auto"/>
          <w:sz w:val="28"/>
          <w:szCs w:val="28"/>
        </w:rPr>
        <w:t>行政单位（含参照公务员法管理事业单位）运行用于</w:t>
      </w:r>
      <w:r>
        <w:rPr>
          <w:rFonts w:ascii="仿宋_GB2312" w:hAnsi="宋体" w:eastAsia="仿宋_GB2312"/>
          <w:color w:val="auto"/>
          <w:sz w:val="28"/>
          <w:szCs w:val="28"/>
        </w:rPr>
        <w:t>购买货物和服务的各项资金</w:t>
      </w:r>
      <w:r>
        <w:rPr>
          <w:rFonts w:hint="eastAsia" w:ascii="仿宋_GB2312" w:hAnsi="宋体" w:eastAsia="仿宋_GB2312"/>
          <w:color w:val="auto"/>
          <w:sz w:val="28"/>
          <w:szCs w:val="28"/>
        </w:rPr>
        <w:t>，包括办公及印刷费、邮电费、差旅费、会议费、福利费、日常维修费、专用材料及一般设备购置费、办公用房水电费、办公用房取暖费、办公用房物业管理费、公务用车运行维护费以及其他费用。</w:t>
      </w:r>
    </w:p>
    <w:p w14:paraId="1B3B3AC0">
      <w:pPr>
        <w:ind w:firstLine="420" w:firstLineChars="150"/>
        <w:rPr>
          <w:rFonts w:ascii="仿宋_GB2312" w:eastAsia="仿宋_GB2312"/>
          <w:color w:val="auto"/>
          <w:sz w:val="28"/>
          <w:szCs w:val="28"/>
        </w:rPr>
      </w:pPr>
      <w:r>
        <w:rPr>
          <w:rFonts w:hint="eastAsia" w:ascii="仿宋_GB2312" w:eastAsia="仿宋_GB2312"/>
          <w:color w:val="auto"/>
          <w:sz w:val="28"/>
          <w:szCs w:val="28"/>
        </w:rPr>
        <w:t>5</w:t>
      </w:r>
      <w:r>
        <w:rPr>
          <w:rFonts w:ascii="仿宋_GB2312" w:eastAsia="仿宋_GB2312"/>
          <w:color w:val="auto"/>
          <w:sz w:val="28"/>
          <w:szCs w:val="28"/>
        </w:rPr>
        <w:t>.</w:t>
      </w:r>
      <w:r>
        <w:rPr>
          <w:rFonts w:hint="eastAsia" w:ascii="仿宋_GB2312" w:eastAsia="仿宋_GB2312"/>
          <w:color w:val="auto"/>
          <w:sz w:val="28"/>
          <w:szCs w:val="28"/>
        </w:rPr>
        <w:t>政府采购</w:t>
      </w:r>
      <w:r>
        <w:rPr>
          <w:rFonts w:ascii="仿宋_GB2312" w:eastAsia="仿宋_GB2312"/>
          <w:color w:val="auto"/>
          <w:sz w:val="28"/>
          <w:szCs w:val="28"/>
        </w:rPr>
        <w:t>：</w:t>
      </w:r>
      <w:r>
        <w:rPr>
          <w:rFonts w:hint="eastAsia" w:ascii="仿宋_GB2312" w:eastAsia="仿宋_GB2312"/>
          <w:color w:val="auto"/>
          <w:sz w:val="28"/>
          <w:szCs w:val="28"/>
        </w:rPr>
        <w:t>指</w:t>
      </w:r>
      <w:r>
        <w:rPr>
          <w:rFonts w:ascii="仿宋_GB2312" w:eastAsia="仿宋_GB2312"/>
          <w:color w:val="auto"/>
          <w:sz w:val="28"/>
          <w:szCs w:val="28"/>
        </w:rPr>
        <w:t>各级国家机关、事业单位和团体组织，使用</w:t>
      </w:r>
      <w:r>
        <w:rPr>
          <w:rFonts w:hint="eastAsia" w:ascii="仿宋_GB2312" w:eastAsia="仿宋_GB2312"/>
          <w:color w:val="auto"/>
          <w:sz w:val="28"/>
          <w:szCs w:val="28"/>
        </w:rPr>
        <w:t>财政性</w:t>
      </w:r>
      <w:r>
        <w:rPr>
          <w:rFonts w:ascii="仿宋_GB2312" w:eastAsia="仿宋_GB2312"/>
          <w:color w:val="auto"/>
          <w:sz w:val="28"/>
          <w:szCs w:val="28"/>
        </w:rPr>
        <w:t>资金采购依法制定的集中目录以内的或者采购限额标准以上的货物、工程和服务的行为</w:t>
      </w:r>
      <w:r>
        <w:rPr>
          <w:rFonts w:hint="eastAsia" w:ascii="仿宋_GB2312" w:eastAsia="仿宋_GB2312"/>
          <w:color w:val="auto"/>
          <w:sz w:val="28"/>
          <w:szCs w:val="28"/>
        </w:rPr>
        <w:t>，</w:t>
      </w:r>
      <w:r>
        <w:rPr>
          <w:rFonts w:ascii="仿宋_GB2312" w:eastAsia="仿宋_GB2312"/>
          <w:color w:val="auto"/>
          <w:sz w:val="28"/>
          <w:szCs w:val="28"/>
        </w:rPr>
        <w:t>是规范财政支出管理和强化预算约束的有效措施。</w:t>
      </w:r>
    </w:p>
    <w:p w14:paraId="27F31A80">
      <w:pPr>
        <w:ind w:firstLine="420" w:firstLineChars="150"/>
        <w:rPr>
          <w:rFonts w:ascii="仿宋_GB2312" w:eastAsia="仿宋_GB2312"/>
          <w:color w:val="auto"/>
          <w:sz w:val="28"/>
          <w:szCs w:val="28"/>
        </w:rPr>
      </w:pPr>
      <w:r>
        <w:rPr>
          <w:rFonts w:hint="eastAsia" w:ascii="仿宋_GB2312" w:eastAsia="仿宋_GB2312"/>
          <w:color w:val="auto"/>
          <w:sz w:val="28"/>
          <w:szCs w:val="28"/>
        </w:rPr>
        <w:t>6</w:t>
      </w:r>
      <w:r>
        <w:rPr>
          <w:rFonts w:ascii="仿宋_GB2312" w:eastAsia="仿宋_GB2312"/>
          <w:color w:val="auto"/>
          <w:sz w:val="28"/>
          <w:szCs w:val="28"/>
        </w:rPr>
        <w:t>.政府购买服务：</w:t>
      </w:r>
      <w:r>
        <w:rPr>
          <w:rFonts w:hint="eastAsia" w:ascii="仿宋_GB2312" w:eastAsia="仿宋_GB2312"/>
          <w:color w:val="auto"/>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4BC72014">
      <w:pPr>
        <w:ind w:firstLine="420" w:firstLineChars="150"/>
        <w:rPr>
          <w:rFonts w:ascii="仿宋_GB2312" w:eastAsia="仿宋_GB2312" w:cs="仿宋_GB2312"/>
          <w:color w:val="auto"/>
          <w:sz w:val="28"/>
          <w:szCs w:val="28"/>
        </w:rPr>
      </w:pPr>
      <w:r>
        <w:rPr>
          <w:rFonts w:hint="eastAsia" w:ascii="仿宋_GB2312" w:hAnsi="Calibri" w:eastAsia="仿宋_GB2312" w:cs="仿宋_GB2312"/>
          <w:color w:val="auto"/>
          <w:sz w:val="28"/>
          <w:szCs w:val="28"/>
          <w:lang w:bidi="ar"/>
        </w:rPr>
        <w:t>7.科学技术支出（类）应用研究（款）机构运行（项）：反映应用研究机构的基本支出。</w:t>
      </w:r>
    </w:p>
    <w:p w14:paraId="72DF022B">
      <w:pPr>
        <w:ind w:firstLine="420" w:firstLineChars="150"/>
        <w:rPr>
          <w:rFonts w:ascii="仿宋_GB2312" w:eastAsia="仿宋_GB2312" w:cs="仿宋_GB2312"/>
          <w:color w:val="auto"/>
          <w:sz w:val="28"/>
          <w:szCs w:val="28"/>
        </w:rPr>
      </w:pPr>
      <w:r>
        <w:rPr>
          <w:rFonts w:hint="eastAsia" w:ascii="仿宋_GB2312" w:hAnsi="Calibri" w:eastAsia="仿宋_GB2312" w:cs="仿宋_GB2312"/>
          <w:color w:val="auto"/>
          <w:sz w:val="28"/>
          <w:szCs w:val="28"/>
          <w:lang w:bidi="ar"/>
        </w:rPr>
        <w:t>8.科学技术支出（类）应用研究（款）社会公益研究（项）：反映从事卫生、劳务保护、计划生育、环境科学、农业等社会公益专项科研方面的支出。</w:t>
      </w:r>
    </w:p>
    <w:p w14:paraId="3CD96B89">
      <w:pPr>
        <w:ind w:firstLine="420" w:firstLineChars="150"/>
        <w:rPr>
          <w:rFonts w:ascii="仿宋_GB2312" w:eastAsia="仿宋_GB2312" w:cs="仿宋_GB2312"/>
          <w:color w:val="auto"/>
          <w:sz w:val="28"/>
          <w:szCs w:val="28"/>
        </w:rPr>
      </w:pPr>
      <w:r>
        <w:rPr>
          <w:rFonts w:hint="eastAsia" w:ascii="仿宋_GB2312" w:hAnsi="Calibri" w:eastAsia="仿宋_GB2312" w:cs="仿宋_GB2312"/>
          <w:color w:val="auto"/>
          <w:sz w:val="28"/>
          <w:szCs w:val="28"/>
          <w:lang w:bidi="ar"/>
        </w:rPr>
        <w:t>9.文化旅游体育与传媒支出（类）体育（款）体育训练（项）：反映各级体育运动队训练补助及器材购置等方面的支出。</w:t>
      </w:r>
    </w:p>
    <w:p w14:paraId="2C683BAF">
      <w:pPr>
        <w:ind w:firstLine="420" w:firstLineChars="150"/>
        <w:rPr>
          <w:rFonts w:ascii="仿宋_GB2312" w:eastAsia="仿宋_GB2312" w:cs="仿宋_GB2312"/>
          <w:color w:val="auto"/>
          <w:sz w:val="28"/>
          <w:szCs w:val="28"/>
        </w:rPr>
      </w:pPr>
      <w:r>
        <w:rPr>
          <w:rFonts w:hint="eastAsia" w:ascii="仿宋_GB2312" w:hAnsi="Calibri" w:eastAsia="仿宋_GB2312" w:cs="仿宋_GB2312"/>
          <w:color w:val="auto"/>
          <w:sz w:val="28"/>
          <w:szCs w:val="28"/>
          <w:lang w:bidi="ar"/>
        </w:rPr>
        <w:t>10.教育支出（类）进修及培训（款）培训支出（项）：反映各部门安排的用于培训的支出。</w:t>
      </w:r>
    </w:p>
    <w:p w14:paraId="579C76CB">
      <w:pPr>
        <w:ind w:firstLine="420" w:firstLineChars="150"/>
        <w:rPr>
          <w:rFonts w:ascii="仿宋_GB2312" w:eastAsia="仿宋_GB2312" w:cs="仿宋_GB2312"/>
          <w:color w:val="auto"/>
          <w:sz w:val="28"/>
          <w:szCs w:val="28"/>
        </w:rPr>
      </w:pPr>
      <w:r>
        <w:rPr>
          <w:rFonts w:hint="eastAsia" w:ascii="仿宋_GB2312" w:hAnsi="Calibri" w:eastAsia="仿宋_GB2312" w:cs="仿宋_GB2312"/>
          <w:color w:val="auto"/>
          <w:sz w:val="28"/>
          <w:szCs w:val="28"/>
          <w:lang w:bidi="ar"/>
        </w:rPr>
        <w:t>11.其他支出（类）彩票公益金安排的支出（款）用于体育事业的彩票公益金支出（项）：反映用于体育事业的彩票公益金支出。</w:t>
      </w:r>
    </w:p>
    <w:p w14:paraId="519D1AA4">
      <w:pPr>
        <w:pStyle w:val="2"/>
        <w:rPr>
          <w:color w:val="auto"/>
        </w:rPr>
      </w:pPr>
    </w:p>
    <w:p w14:paraId="3F0AAA44">
      <w:pPr>
        <w:tabs>
          <w:tab w:val="center" w:pos="6979"/>
        </w:tabs>
        <w:spacing w:line="380" w:lineRule="exact"/>
        <w:jc w:val="center"/>
        <w:rPr>
          <w:rFonts w:ascii="宋体" w:hAnsi="宋体" w:cs="宋体"/>
          <w:b/>
          <w:bCs/>
          <w:color w:val="auto"/>
          <w:kern w:val="0"/>
          <w:sz w:val="28"/>
          <w:szCs w:val="28"/>
        </w:rPr>
      </w:pPr>
    </w:p>
    <w:p w14:paraId="755C2120">
      <w:pPr>
        <w:tabs>
          <w:tab w:val="center" w:pos="6979"/>
        </w:tabs>
        <w:spacing w:line="380" w:lineRule="exact"/>
        <w:jc w:val="center"/>
        <w:rPr>
          <w:rFonts w:ascii="宋体" w:hAnsi="宋体" w:cs="宋体"/>
          <w:b/>
          <w:bCs/>
          <w:color w:val="auto"/>
          <w:kern w:val="0"/>
          <w:sz w:val="28"/>
          <w:szCs w:val="28"/>
        </w:rPr>
      </w:pPr>
    </w:p>
    <w:p w14:paraId="2A52A7AB">
      <w:pPr>
        <w:rPr>
          <w:rFonts w:ascii="黑体" w:eastAsia="黑体"/>
          <w:color w:val="auto"/>
          <w:sz w:val="32"/>
          <w:szCs w:val="32"/>
        </w:rPr>
      </w:pPr>
    </w:p>
    <w:p w14:paraId="3C45FE57">
      <w:pPr>
        <w:ind w:firstLine="640" w:firstLineChars="200"/>
        <w:jc w:val="center"/>
        <w:rPr>
          <w:rFonts w:ascii="黑体" w:eastAsia="黑体"/>
          <w:color w:val="auto"/>
          <w:sz w:val="32"/>
          <w:szCs w:val="32"/>
        </w:rPr>
      </w:pPr>
    </w:p>
    <w:p w14:paraId="5E80C260">
      <w:pPr>
        <w:ind w:firstLine="640" w:firstLineChars="200"/>
        <w:jc w:val="center"/>
        <w:rPr>
          <w:rFonts w:hint="eastAsia" w:ascii="黑体" w:eastAsia="黑体"/>
          <w:color w:val="auto"/>
          <w:sz w:val="32"/>
          <w:szCs w:val="32"/>
        </w:rPr>
      </w:pPr>
    </w:p>
    <w:p w14:paraId="10EA84D8">
      <w:pPr>
        <w:ind w:firstLine="640" w:firstLineChars="200"/>
        <w:jc w:val="center"/>
        <w:rPr>
          <w:rFonts w:ascii="黑体" w:eastAsia="黑体"/>
          <w:color w:val="auto"/>
          <w:sz w:val="32"/>
          <w:szCs w:val="32"/>
        </w:rPr>
      </w:pPr>
      <w:r>
        <w:rPr>
          <w:rFonts w:hint="eastAsia" w:ascii="黑体" w:eastAsia="黑体"/>
          <w:color w:val="auto"/>
          <w:sz w:val="32"/>
          <w:szCs w:val="32"/>
        </w:rPr>
        <w:t>第四部分  2024年度</w:t>
      </w:r>
      <w:r>
        <w:rPr>
          <w:rFonts w:hint="eastAsia" w:ascii="黑体" w:eastAsia="黑体"/>
          <w:color w:val="auto"/>
          <w:sz w:val="32"/>
          <w:szCs w:val="32"/>
          <w:lang w:val="en-US" w:eastAsia="zh-CN"/>
        </w:rPr>
        <w:t>单位</w:t>
      </w:r>
      <w:r>
        <w:rPr>
          <w:rFonts w:hint="eastAsia" w:ascii="黑体" w:eastAsia="黑体"/>
          <w:color w:val="auto"/>
          <w:sz w:val="32"/>
          <w:szCs w:val="32"/>
        </w:rPr>
        <w:t>绩效评价情况</w:t>
      </w:r>
    </w:p>
    <w:p w14:paraId="2509B81C">
      <w:pPr>
        <w:ind w:firstLine="560" w:firstLineChars="200"/>
        <w:rPr>
          <w:rFonts w:ascii="黑体" w:eastAsia="黑体"/>
          <w:color w:val="auto"/>
          <w:sz w:val="28"/>
          <w:szCs w:val="28"/>
          <w:highlight w:val="yellow"/>
        </w:rPr>
      </w:pPr>
    </w:p>
    <w:p w14:paraId="4D256AC1">
      <w:pPr>
        <w:ind w:firstLine="560" w:firstLineChars="200"/>
        <w:rPr>
          <w:rFonts w:ascii="黑体" w:eastAsia="黑体"/>
          <w:color w:val="auto"/>
          <w:sz w:val="28"/>
          <w:szCs w:val="28"/>
        </w:rPr>
      </w:pPr>
      <w:r>
        <w:rPr>
          <w:rFonts w:hint="eastAsia" w:ascii="黑体" w:eastAsia="黑体"/>
          <w:color w:val="auto"/>
          <w:sz w:val="28"/>
          <w:szCs w:val="28"/>
        </w:rPr>
        <w:t>项目</w:t>
      </w:r>
      <w:r>
        <w:rPr>
          <w:rFonts w:ascii="黑体" w:eastAsia="黑体"/>
          <w:color w:val="auto"/>
          <w:sz w:val="28"/>
          <w:szCs w:val="28"/>
        </w:rPr>
        <w:t>支出绩效自评表</w:t>
      </w:r>
      <w:r>
        <w:rPr>
          <w:rFonts w:hint="eastAsia" w:ascii="黑体" w:eastAsia="黑体"/>
          <w:color w:val="auto"/>
          <w:sz w:val="28"/>
          <w:szCs w:val="28"/>
        </w:rPr>
        <w:t>（格式详见附件）</w:t>
      </w:r>
    </w:p>
    <w:p w14:paraId="32AB6280">
      <w:pPr>
        <w:spacing w:line="480" w:lineRule="exact"/>
        <w:rPr>
          <w:rFonts w:ascii="仿宋_GB2312" w:hAnsi="仿宋_GB2312" w:eastAsia="仿宋_GB2312" w:cs="仿宋_GB2312"/>
          <w:color w:val="auto"/>
          <w:sz w:val="32"/>
          <w:szCs w:val="32"/>
        </w:rPr>
      </w:pPr>
    </w:p>
    <w:p w14:paraId="0C697B60">
      <w:pPr>
        <w:spacing w:line="480" w:lineRule="exact"/>
        <w:rPr>
          <w:color w:val="auto"/>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书宋-简"/>
    <w:panose1 w:val="00000000000000000000"/>
    <w:charset w:val="86"/>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0000500000000000000"/>
    <w:charset w:val="86"/>
    <w:family w:val="auto"/>
    <w:pitch w:val="default"/>
    <w:sig w:usb0="A00002BF" w:usb1="18E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Cambria">
    <w:altName w:val="FT KliphSerif"/>
    <w:panose1 w:val="02040503050406030204"/>
    <w:charset w:val="00"/>
    <w:family w:val="roman"/>
    <w:pitch w:val="default"/>
    <w:sig w:usb0="00000000" w:usb1="00000000" w:usb2="00000000" w:usb3="00000000" w:csb0="2000019F" w:csb1="00000000"/>
  </w:font>
  <w:font w:name="FT KliphSerif">
    <w:panose1 w:val="02040503050406030204"/>
    <w:charset w:val="00"/>
    <w:family w:val="auto"/>
    <w:pitch w:val="default"/>
    <w:sig w:usb0="80000003" w:usb1="40000000" w:usb2="00000000" w:usb3="00000000" w:csb0="00000001" w:csb1="00000000"/>
  </w:font>
  <w:font w:name="黑体-简">
    <w:panose1 w:val="00000500000000000000"/>
    <w:charset w:val="86"/>
    <w:family w:val="auto"/>
    <w:pitch w:val="default"/>
    <w:sig w:usb0="A00002BF" w:usb1="18EF7CFA" w:usb2="00000016" w:usb3="00000000" w:csb0="00040001" w:csb1="00000000"/>
  </w:font>
  <w:font w:name="仿宋_GB2312">
    <w:altName w:val="仿宋-简"/>
    <w:panose1 w:val="02010609030101010101"/>
    <w:charset w:val="86"/>
    <w:family w:val="modern"/>
    <w:pitch w:val="default"/>
    <w:sig w:usb0="00000000" w:usb1="00000000" w:usb2="00000000" w:usb3="00000000" w:csb0="00040000" w:csb1="00000000"/>
  </w:font>
  <w:font w:name="仿宋-简">
    <w:panose1 w:val="00000500000000000000"/>
    <w:charset w:val="86"/>
    <w:family w:val="auto"/>
    <w:pitch w:val="default"/>
    <w:sig w:usb0="A00002BF" w:usb1="18EF7CFA" w:usb2="00000016" w:usb3="00000000" w:csb0="0004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93" w:csb1="00000000"/>
  </w:font>
  <w:font w:name="等线 Light">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 w:name="仿宋">
    <w:altName w:val="仿宋-简"/>
    <w:panose1 w:val="02010609060101010101"/>
    <w:charset w:val="86"/>
    <w:family w:val="modern"/>
    <w:pitch w:val="default"/>
    <w:sig w:usb0="00000000" w:usb1="00000000" w:usb2="00000016" w:usb3="00000000" w:csb0="00040001" w:csb1="00000000"/>
  </w:font>
  <w:font w:name="Droid Sans">
    <w:altName w:val="HarmonyOS Sans SC"/>
    <w:panose1 w:val="00000000000000000000"/>
    <w:charset w:val="00"/>
    <w:family w:val="auto"/>
    <w:pitch w:val="default"/>
    <w:sig w:usb0="00000000" w:usb1="00000000" w:usb2="00000000" w:usb3="00000000" w:csb0="00040001" w:csb1="00000000"/>
  </w:font>
  <w:font w:name="HarmonyOS Sans SC">
    <w:panose1 w:val="00000500000000000000"/>
    <w:charset w:val="86"/>
    <w:family w:val="auto"/>
    <w:pitch w:val="default"/>
    <w:sig w:usb0="A00002BF" w:usb1="18E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10E9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4F14C97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0836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13</w:t>
    </w:r>
    <w:r>
      <w:fldChar w:fldCharType="end"/>
    </w:r>
  </w:p>
  <w:p w14:paraId="115F8ECF">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3E04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FE37B75">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08F3"/>
    <w:rsid w:val="0017111F"/>
    <w:rsid w:val="00171179"/>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E3A10"/>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0B7"/>
    <w:rsid w:val="0028081D"/>
    <w:rsid w:val="0028458C"/>
    <w:rsid w:val="002911BD"/>
    <w:rsid w:val="00291C98"/>
    <w:rsid w:val="00294DE9"/>
    <w:rsid w:val="002A1488"/>
    <w:rsid w:val="002A4C2B"/>
    <w:rsid w:val="002B19D0"/>
    <w:rsid w:val="002B3682"/>
    <w:rsid w:val="002B3E99"/>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B4F22"/>
    <w:rsid w:val="004C020A"/>
    <w:rsid w:val="004C03A3"/>
    <w:rsid w:val="004C44B8"/>
    <w:rsid w:val="004C7629"/>
    <w:rsid w:val="004C7DC3"/>
    <w:rsid w:val="004D0D5D"/>
    <w:rsid w:val="004E2215"/>
    <w:rsid w:val="004E27DD"/>
    <w:rsid w:val="004E3350"/>
    <w:rsid w:val="004E5292"/>
    <w:rsid w:val="004F2C5B"/>
    <w:rsid w:val="004F641B"/>
    <w:rsid w:val="004F71F3"/>
    <w:rsid w:val="005052FA"/>
    <w:rsid w:val="005069E1"/>
    <w:rsid w:val="00507E59"/>
    <w:rsid w:val="005122B5"/>
    <w:rsid w:val="0052381C"/>
    <w:rsid w:val="005346B3"/>
    <w:rsid w:val="0054051C"/>
    <w:rsid w:val="005447E2"/>
    <w:rsid w:val="00546A84"/>
    <w:rsid w:val="00547BE2"/>
    <w:rsid w:val="005513E7"/>
    <w:rsid w:val="0055353D"/>
    <w:rsid w:val="0056187C"/>
    <w:rsid w:val="00576B03"/>
    <w:rsid w:val="00581E1A"/>
    <w:rsid w:val="00591655"/>
    <w:rsid w:val="00591BEC"/>
    <w:rsid w:val="005940EA"/>
    <w:rsid w:val="00594448"/>
    <w:rsid w:val="00594AD3"/>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0744"/>
    <w:rsid w:val="005E2FD8"/>
    <w:rsid w:val="005E3BBC"/>
    <w:rsid w:val="005E3EC6"/>
    <w:rsid w:val="005E4E07"/>
    <w:rsid w:val="005E4E46"/>
    <w:rsid w:val="005E5275"/>
    <w:rsid w:val="005E7DC8"/>
    <w:rsid w:val="005E7EC9"/>
    <w:rsid w:val="005F7087"/>
    <w:rsid w:val="00611BE4"/>
    <w:rsid w:val="0061219B"/>
    <w:rsid w:val="006125AC"/>
    <w:rsid w:val="00621419"/>
    <w:rsid w:val="00626446"/>
    <w:rsid w:val="00626BE8"/>
    <w:rsid w:val="00631827"/>
    <w:rsid w:val="00632804"/>
    <w:rsid w:val="00634B8B"/>
    <w:rsid w:val="006376DA"/>
    <w:rsid w:val="006459DA"/>
    <w:rsid w:val="006462C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61E3"/>
    <w:rsid w:val="006B7390"/>
    <w:rsid w:val="006C0084"/>
    <w:rsid w:val="006C107D"/>
    <w:rsid w:val="006C3600"/>
    <w:rsid w:val="006C4534"/>
    <w:rsid w:val="006C5205"/>
    <w:rsid w:val="006C56AB"/>
    <w:rsid w:val="006C75F6"/>
    <w:rsid w:val="006D3F53"/>
    <w:rsid w:val="006D60AF"/>
    <w:rsid w:val="006E4722"/>
    <w:rsid w:val="006F5277"/>
    <w:rsid w:val="00701651"/>
    <w:rsid w:val="007049BF"/>
    <w:rsid w:val="00704E79"/>
    <w:rsid w:val="00707A26"/>
    <w:rsid w:val="0071120F"/>
    <w:rsid w:val="00716380"/>
    <w:rsid w:val="00722165"/>
    <w:rsid w:val="00724B1C"/>
    <w:rsid w:val="007428F0"/>
    <w:rsid w:val="007512EF"/>
    <w:rsid w:val="007551AC"/>
    <w:rsid w:val="00755F34"/>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65C4"/>
    <w:rsid w:val="007C7A22"/>
    <w:rsid w:val="007C7C62"/>
    <w:rsid w:val="007D1076"/>
    <w:rsid w:val="007D12B7"/>
    <w:rsid w:val="007D2A49"/>
    <w:rsid w:val="007D5E38"/>
    <w:rsid w:val="007D7AC4"/>
    <w:rsid w:val="007D7B38"/>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0DE1"/>
    <w:rsid w:val="008917AE"/>
    <w:rsid w:val="008944DA"/>
    <w:rsid w:val="00894D78"/>
    <w:rsid w:val="008A6A18"/>
    <w:rsid w:val="008A7B30"/>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03A5"/>
    <w:rsid w:val="0096154A"/>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9F7061"/>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4E67"/>
    <w:rsid w:val="00A9706C"/>
    <w:rsid w:val="00A97B34"/>
    <w:rsid w:val="00AA1B5C"/>
    <w:rsid w:val="00AA7A27"/>
    <w:rsid w:val="00AB3FB0"/>
    <w:rsid w:val="00AB465D"/>
    <w:rsid w:val="00AB713D"/>
    <w:rsid w:val="00AC114C"/>
    <w:rsid w:val="00AC1478"/>
    <w:rsid w:val="00AC6C2D"/>
    <w:rsid w:val="00AC6E17"/>
    <w:rsid w:val="00AC7296"/>
    <w:rsid w:val="00AD2FF3"/>
    <w:rsid w:val="00AD7764"/>
    <w:rsid w:val="00AD7FE2"/>
    <w:rsid w:val="00AE1284"/>
    <w:rsid w:val="00AE1B18"/>
    <w:rsid w:val="00AE7339"/>
    <w:rsid w:val="00AF1B0B"/>
    <w:rsid w:val="00AF1F81"/>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4531"/>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0B61"/>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C2EFF"/>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922"/>
    <w:rsid w:val="00D87DAF"/>
    <w:rsid w:val="00D9446D"/>
    <w:rsid w:val="00DA2994"/>
    <w:rsid w:val="00DA5A67"/>
    <w:rsid w:val="00DB08E8"/>
    <w:rsid w:val="00DB0DED"/>
    <w:rsid w:val="00DB3073"/>
    <w:rsid w:val="00DB3BA9"/>
    <w:rsid w:val="00DB50FE"/>
    <w:rsid w:val="00DB5EDA"/>
    <w:rsid w:val="00DC2349"/>
    <w:rsid w:val="00DC3026"/>
    <w:rsid w:val="00DD1EDB"/>
    <w:rsid w:val="00DD57AA"/>
    <w:rsid w:val="00DE1578"/>
    <w:rsid w:val="00DE4094"/>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6EB"/>
    <w:rsid w:val="00E3498D"/>
    <w:rsid w:val="00E42425"/>
    <w:rsid w:val="00E43E55"/>
    <w:rsid w:val="00E4554E"/>
    <w:rsid w:val="00E46D22"/>
    <w:rsid w:val="00E4768F"/>
    <w:rsid w:val="00E53C0E"/>
    <w:rsid w:val="00E54F7E"/>
    <w:rsid w:val="00E560CE"/>
    <w:rsid w:val="00E5674E"/>
    <w:rsid w:val="00E5701D"/>
    <w:rsid w:val="00E63783"/>
    <w:rsid w:val="00E650E2"/>
    <w:rsid w:val="00E75CAD"/>
    <w:rsid w:val="00E76922"/>
    <w:rsid w:val="00E8595B"/>
    <w:rsid w:val="00E8746C"/>
    <w:rsid w:val="00E915EC"/>
    <w:rsid w:val="00E919D3"/>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1B14"/>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0D81"/>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1757"/>
    <w:rsid w:val="00FB208D"/>
    <w:rsid w:val="00FB3CF4"/>
    <w:rsid w:val="00FB4A27"/>
    <w:rsid w:val="00FB4A49"/>
    <w:rsid w:val="00FB69B3"/>
    <w:rsid w:val="00FC003F"/>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5675632"/>
    <w:rsid w:val="079004AC"/>
    <w:rsid w:val="0BA148CA"/>
    <w:rsid w:val="0C1165C4"/>
    <w:rsid w:val="0C8D049D"/>
    <w:rsid w:val="0D6D544B"/>
    <w:rsid w:val="0DD136FE"/>
    <w:rsid w:val="0F87344A"/>
    <w:rsid w:val="0F8E2C57"/>
    <w:rsid w:val="0FFF4788"/>
    <w:rsid w:val="1059665E"/>
    <w:rsid w:val="10AC13BA"/>
    <w:rsid w:val="113E3FDC"/>
    <w:rsid w:val="135C7A11"/>
    <w:rsid w:val="1457788F"/>
    <w:rsid w:val="145A6C1B"/>
    <w:rsid w:val="14B73493"/>
    <w:rsid w:val="14D25167"/>
    <w:rsid w:val="167A2FF9"/>
    <w:rsid w:val="18581C69"/>
    <w:rsid w:val="1A165AF6"/>
    <w:rsid w:val="1AEC0734"/>
    <w:rsid w:val="1DEF20B0"/>
    <w:rsid w:val="1E1D56A5"/>
    <w:rsid w:val="1EBB4EBE"/>
    <w:rsid w:val="1EF108E0"/>
    <w:rsid w:val="214243FA"/>
    <w:rsid w:val="21AD613C"/>
    <w:rsid w:val="21C50C21"/>
    <w:rsid w:val="220D5A31"/>
    <w:rsid w:val="22467189"/>
    <w:rsid w:val="257A14F5"/>
    <w:rsid w:val="27196C26"/>
    <w:rsid w:val="29EF086F"/>
    <w:rsid w:val="2DB5263B"/>
    <w:rsid w:val="2EFFE297"/>
    <w:rsid w:val="301437CA"/>
    <w:rsid w:val="349D1F0A"/>
    <w:rsid w:val="34DD0473"/>
    <w:rsid w:val="36511F38"/>
    <w:rsid w:val="3C684897"/>
    <w:rsid w:val="41C9127A"/>
    <w:rsid w:val="41E55C2A"/>
    <w:rsid w:val="433E495C"/>
    <w:rsid w:val="44C67F95"/>
    <w:rsid w:val="4659597F"/>
    <w:rsid w:val="489F2FD7"/>
    <w:rsid w:val="4AC27CB3"/>
    <w:rsid w:val="4BF72BEF"/>
    <w:rsid w:val="4FA90297"/>
    <w:rsid w:val="4FC41A43"/>
    <w:rsid w:val="5023629C"/>
    <w:rsid w:val="51AC22C1"/>
    <w:rsid w:val="51DB3C59"/>
    <w:rsid w:val="52B4767F"/>
    <w:rsid w:val="550C0952"/>
    <w:rsid w:val="55762E42"/>
    <w:rsid w:val="569A4DDE"/>
    <w:rsid w:val="57A7B272"/>
    <w:rsid w:val="58470068"/>
    <w:rsid w:val="58747CAC"/>
    <w:rsid w:val="5A1720F9"/>
    <w:rsid w:val="5B9C37C2"/>
    <w:rsid w:val="5BA7C654"/>
    <w:rsid w:val="5F3F4774"/>
    <w:rsid w:val="5FBC1D85"/>
    <w:rsid w:val="5FDF78BE"/>
    <w:rsid w:val="60A54109"/>
    <w:rsid w:val="61D01CDF"/>
    <w:rsid w:val="64C0607C"/>
    <w:rsid w:val="652E32C1"/>
    <w:rsid w:val="65756C86"/>
    <w:rsid w:val="674D385B"/>
    <w:rsid w:val="676F09E1"/>
    <w:rsid w:val="6B0D3978"/>
    <w:rsid w:val="6D8343C6"/>
    <w:rsid w:val="71793A80"/>
    <w:rsid w:val="7357290B"/>
    <w:rsid w:val="77C81353"/>
    <w:rsid w:val="798524E4"/>
    <w:rsid w:val="7A7F1C49"/>
    <w:rsid w:val="7B5B7AE6"/>
    <w:rsid w:val="7B7B6628"/>
    <w:rsid w:val="7BA7071E"/>
    <w:rsid w:val="7BDF6DA8"/>
    <w:rsid w:val="7C7EDC1A"/>
    <w:rsid w:val="7C933B01"/>
    <w:rsid w:val="7CCED98D"/>
    <w:rsid w:val="7D08410F"/>
    <w:rsid w:val="7DB96DED"/>
    <w:rsid w:val="7DD3AD81"/>
    <w:rsid w:val="7F7FE70F"/>
    <w:rsid w:val="7FD34116"/>
    <w:rsid w:val="7FF7951D"/>
    <w:rsid w:val="7FFF772F"/>
    <w:rsid w:val="937F337C"/>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6A80A8"/>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0"/>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字符"/>
    <w:link w:val="7"/>
    <w:qFormat/>
    <w:uiPriority w:val="0"/>
    <w:rPr>
      <w:rFonts w:eastAsia="宋体"/>
      <w:kern w:val="2"/>
      <w:sz w:val="18"/>
      <w:szCs w:val="18"/>
      <w:lang w:val="en-US" w:eastAsia="zh-CN" w:bidi="ar-SA"/>
    </w:rPr>
  </w:style>
  <w:style w:type="character" w:customStyle="1" w:styleId="15">
    <w:name w:val="页眉 字符"/>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标题 2 字符"/>
    <w:basedOn w:val="11"/>
    <w:link w:val="2"/>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3403</Words>
  <Characters>3846</Characters>
  <Lines>5</Lines>
  <Paragraphs>9</Paragraphs>
  <TotalTime>139</TotalTime>
  <ScaleCrop>false</ScaleCrop>
  <LinksUpToDate>false</LinksUpToDate>
  <CharactersWithSpaces>3865</CharactersWithSpaces>
  <Application>WPS Office_12.1.3.22556_F1E327BC-269C-435d-A152-05C5408002CA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元气少女橘</cp:lastModifiedBy>
  <cp:lastPrinted>2020-08-09T03:39:00Z</cp:lastPrinted>
  <dcterms:modified xsi:type="dcterms:W3CDTF">2025-09-05T15:49:29Z</dcterms:modified>
  <dc:title>北京市财政局关于做好向市人大常委会报送2015年度市级部门决算（草案）</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2052-12.1.3.22556</vt:lpwstr>
  </property>
  <property fmtid="{D5CDD505-2E9C-101B-9397-08002B2CF9AE}" pid="3" name="ICV">
    <vt:lpwstr>FA968A4DB49D4CF79768ED8F6C6D365A_13</vt:lpwstr>
  </property>
  <property fmtid="{D5CDD505-2E9C-101B-9397-08002B2CF9AE}" pid="4" name="KSOTemplateDocerSaveRecord">
    <vt:lpwstr>eyJoZGlkIjoiOTczZGFkZWYzMDQ1YWE4ZTYxNmIyM2ZlZTMwNjc5ZTIiLCJ1c2VySWQiOiI1OTIwNjQ5MzcifQ==</vt:lpwstr>
  </property>
</Properties>
</file>