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59449">
      <w:pPr>
        <w:jc w:val="center"/>
        <w:rPr>
          <w:rFonts w:ascii="仿宋_GB2312" w:eastAsia="仿宋_GB2312"/>
          <w:b/>
          <w:sz w:val="32"/>
          <w:szCs w:val="32"/>
        </w:rPr>
      </w:pPr>
    </w:p>
    <w:p w14:paraId="7B26B744">
      <w:pPr>
        <w:jc w:val="center"/>
        <w:rPr>
          <w:rFonts w:ascii="黑体" w:eastAsia="黑体"/>
          <w:sz w:val="72"/>
          <w:szCs w:val="72"/>
        </w:rPr>
      </w:pPr>
    </w:p>
    <w:p w14:paraId="1751AA8F">
      <w:pPr>
        <w:jc w:val="center"/>
        <w:rPr>
          <w:rFonts w:ascii="黑体" w:eastAsia="黑体"/>
          <w:sz w:val="72"/>
          <w:szCs w:val="72"/>
        </w:rPr>
      </w:pPr>
    </w:p>
    <w:p w14:paraId="0FE24C84">
      <w:pPr>
        <w:jc w:val="center"/>
        <w:rPr>
          <w:rFonts w:ascii="黑体" w:eastAsia="黑体"/>
          <w:sz w:val="72"/>
          <w:szCs w:val="72"/>
        </w:rPr>
      </w:pPr>
    </w:p>
    <w:p w14:paraId="43FEC5B0">
      <w:pPr>
        <w:jc w:val="center"/>
        <w:rPr>
          <w:rFonts w:ascii="黑体" w:eastAsia="黑体"/>
          <w:sz w:val="72"/>
          <w:szCs w:val="72"/>
        </w:rPr>
      </w:pPr>
      <w:r>
        <w:rPr>
          <w:rFonts w:hint="eastAsia" w:ascii="黑体" w:eastAsia="黑体"/>
          <w:sz w:val="72"/>
          <w:szCs w:val="72"/>
        </w:rPr>
        <w:t>2024年度单位决算公开</w:t>
      </w:r>
    </w:p>
    <w:p w14:paraId="42426655">
      <w:pPr>
        <w:pStyle w:val="2"/>
        <w:ind w:firstLine="1440"/>
        <w:rPr>
          <w:rFonts w:ascii="黑体" w:eastAsia="黑体"/>
          <w:sz w:val="72"/>
          <w:szCs w:val="72"/>
        </w:rPr>
      </w:pPr>
    </w:p>
    <w:p w14:paraId="5FF308E9">
      <w:pPr>
        <w:jc w:val="center"/>
        <w:rPr>
          <w:rFonts w:ascii="宋体" w:hAnsi="宋体"/>
          <w:sz w:val="36"/>
          <w:szCs w:val="36"/>
        </w:rPr>
      </w:pPr>
      <w:r>
        <w:rPr>
          <w:rFonts w:hint="eastAsia" w:ascii="宋体" w:hAnsi="宋体"/>
          <w:sz w:val="36"/>
          <w:szCs w:val="36"/>
        </w:rPr>
        <w:t>单位名称：北京市反兴奋剂中心</w:t>
      </w:r>
    </w:p>
    <w:p w14:paraId="09261C6E">
      <w:pPr>
        <w:spacing w:line="500" w:lineRule="exact"/>
        <w:jc w:val="both"/>
        <w:rPr>
          <w:rFonts w:ascii="宋体" w:hAnsi="宋体" w:cs="宋体"/>
          <w:b/>
          <w:bCs/>
          <w:kern w:val="0"/>
          <w:sz w:val="44"/>
          <w:szCs w:val="36"/>
        </w:rPr>
      </w:pPr>
    </w:p>
    <w:p w14:paraId="1AFC4CB4">
      <w:pPr>
        <w:spacing w:line="500" w:lineRule="exact"/>
        <w:ind w:firstLine="645"/>
        <w:jc w:val="center"/>
        <w:rPr>
          <w:rFonts w:hint="eastAsia" w:ascii="宋体" w:hAnsi="宋体" w:cs="宋体"/>
          <w:b/>
          <w:bCs/>
          <w:kern w:val="0"/>
          <w:sz w:val="44"/>
          <w:szCs w:val="36"/>
        </w:rPr>
      </w:pPr>
    </w:p>
    <w:p w14:paraId="44F58307">
      <w:pPr>
        <w:spacing w:line="500" w:lineRule="exact"/>
        <w:ind w:firstLine="645"/>
        <w:jc w:val="center"/>
        <w:rPr>
          <w:rFonts w:hint="eastAsia" w:ascii="宋体" w:hAnsi="宋体" w:cs="宋体"/>
          <w:b/>
          <w:bCs/>
          <w:kern w:val="0"/>
          <w:sz w:val="44"/>
          <w:szCs w:val="36"/>
        </w:rPr>
      </w:pPr>
    </w:p>
    <w:p w14:paraId="77FCA86C">
      <w:pPr>
        <w:spacing w:line="500" w:lineRule="exact"/>
        <w:ind w:firstLine="645"/>
        <w:jc w:val="center"/>
        <w:rPr>
          <w:rFonts w:hint="eastAsia" w:ascii="宋体" w:hAnsi="宋体" w:cs="宋体"/>
          <w:b/>
          <w:bCs/>
          <w:kern w:val="0"/>
          <w:sz w:val="44"/>
          <w:szCs w:val="36"/>
        </w:rPr>
      </w:pPr>
    </w:p>
    <w:p w14:paraId="5D38FD70">
      <w:pPr>
        <w:spacing w:line="500" w:lineRule="exact"/>
        <w:ind w:firstLine="645"/>
        <w:jc w:val="center"/>
        <w:rPr>
          <w:rFonts w:hint="eastAsia" w:ascii="宋体" w:hAnsi="宋体" w:cs="宋体"/>
          <w:b/>
          <w:bCs/>
          <w:kern w:val="0"/>
          <w:sz w:val="44"/>
          <w:szCs w:val="36"/>
        </w:rPr>
      </w:pPr>
    </w:p>
    <w:p w14:paraId="3EEA957A">
      <w:pPr>
        <w:spacing w:line="500" w:lineRule="exact"/>
        <w:ind w:firstLine="645"/>
        <w:jc w:val="center"/>
        <w:rPr>
          <w:rFonts w:hint="eastAsia" w:ascii="宋体" w:hAnsi="宋体" w:cs="宋体"/>
          <w:b/>
          <w:bCs/>
          <w:kern w:val="0"/>
          <w:sz w:val="44"/>
          <w:szCs w:val="36"/>
        </w:rPr>
      </w:pPr>
    </w:p>
    <w:p w14:paraId="6D2F6667">
      <w:pPr>
        <w:spacing w:line="500" w:lineRule="exact"/>
        <w:ind w:firstLine="645"/>
        <w:jc w:val="center"/>
        <w:rPr>
          <w:rFonts w:hint="eastAsia" w:ascii="宋体" w:hAnsi="宋体" w:cs="宋体"/>
          <w:b/>
          <w:bCs/>
          <w:kern w:val="0"/>
          <w:sz w:val="44"/>
          <w:szCs w:val="36"/>
        </w:rPr>
      </w:pPr>
    </w:p>
    <w:p w14:paraId="551AE7B4">
      <w:pPr>
        <w:spacing w:line="500" w:lineRule="exact"/>
        <w:ind w:firstLine="645"/>
        <w:jc w:val="center"/>
        <w:rPr>
          <w:rFonts w:hint="eastAsia" w:ascii="宋体" w:hAnsi="宋体" w:cs="宋体"/>
          <w:bCs/>
          <w:spacing w:val="40"/>
          <w:kern w:val="0"/>
          <w:sz w:val="32"/>
          <w:szCs w:val="32"/>
        </w:rPr>
      </w:pPr>
      <w:r>
        <w:rPr>
          <w:rFonts w:hint="eastAsia" w:ascii="宋体" w:hAnsi="宋体" w:cs="宋体"/>
          <w:b/>
          <w:bCs/>
          <w:kern w:val="0"/>
          <w:sz w:val="44"/>
          <w:szCs w:val="36"/>
        </w:rPr>
        <w:t>目    录</w:t>
      </w:r>
    </w:p>
    <w:p w14:paraId="537A97EF">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2024年度单位决算报表</w:t>
      </w:r>
    </w:p>
    <w:p w14:paraId="73F17B46">
      <w:pPr>
        <w:tabs>
          <w:tab w:val="center" w:pos="6979"/>
        </w:tabs>
        <w:spacing w:line="500" w:lineRule="exact"/>
        <w:ind w:firstLine="2400" w:firstLineChars="600"/>
        <w:jc w:val="left"/>
        <w:rPr>
          <w:rFonts w:ascii="黑体" w:eastAsia="黑体"/>
          <w:sz w:val="72"/>
          <w:szCs w:val="72"/>
        </w:rPr>
      </w:pPr>
      <w:r>
        <w:rPr>
          <w:rFonts w:hint="eastAsia" w:ascii="仿宋_GB2312" w:hAnsi="仿宋" w:eastAsia="仿宋_GB2312" w:cs="宋体"/>
          <w:bCs/>
          <w:spacing w:val="40"/>
          <w:kern w:val="0"/>
          <w:sz w:val="32"/>
          <w:szCs w:val="32"/>
        </w:rPr>
        <w:t>一、收入支出决算总表</w:t>
      </w:r>
    </w:p>
    <w:p w14:paraId="556CEE5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AF2317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6903365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56559D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50CE27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0FF2C93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F6AE3F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3D92076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0EEC149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64443FE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4F35FB0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十二、政府购买服务支出情况表</w:t>
      </w:r>
    </w:p>
    <w:p w14:paraId="79C1F1C5">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2024年度单位决算说明</w:t>
      </w:r>
    </w:p>
    <w:p w14:paraId="0EEC4E6B">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4BB82C8F">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2024年度单位绩效评价情况</w:t>
      </w:r>
    </w:p>
    <w:p w14:paraId="59B064EF">
      <w:pPr>
        <w:tabs>
          <w:tab w:val="center" w:pos="6979"/>
        </w:tabs>
        <w:spacing w:before="156" w:beforeLines="50" w:after="156" w:afterLines="50"/>
        <w:jc w:val="both"/>
        <w:rPr>
          <w:rFonts w:hint="eastAsia" w:ascii="宋体" w:hAnsi="宋体" w:cs="宋体"/>
          <w:b/>
          <w:bCs/>
          <w:spacing w:val="40"/>
          <w:kern w:val="0"/>
          <w:sz w:val="44"/>
          <w:szCs w:val="44"/>
        </w:rPr>
      </w:pPr>
    </w:p>
    <w:p w14:paraId="192D059C">
      <w:pPr>
        <w:tabs>
          <w:tab w:val="center" w:pos="6979"/>
        </w:tabs>
        <w:spacing w:before="156" w:beforeLines="50" w:after="156" w:afterLines="50"/>
        <w:jc w:val="both"/>
        <w:rPr>
          <w:rFonts w:hint="eastAsia" w:ascii="宋体" w:hAnsi="宋体" w:cs="宋体"/>
          <w:b/>
          <w:bCs/>
          <w:spacing w:val="40"/>
          <w:kern w:val="0"/>
          <w:sz w:val="44"/>
          <w:szCs w:val="44"/>
        </w:rPr>
      </w:pPr>
    </w:p>
    <w:p w14:paraId="1B55CD34">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2024年度单位决算报表</w:t>
      </w:r>
    </w:p>
    <w:p w14:paraId="758A9DBB">
      <w:pPr>
        <w:pStyle w:val="3"/>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D84C1D0">
      <w:pPr>
        <w:tabs>
          <w:tab w:val="center" w:pos="6979"/>
        </w:tabs>
        <w:spacing w:before="156" w:beforeLines="50" w:after="156" w:afterLines="50"/>
        <w:ind w:firstLine="4400" w:firstLineChars="1100"/>
        <w:rPr>
          <w:rFonts w:ascii="宋体" w:hAnsi="宋体"/>
          <w:b/>
          <w:sz w:val="32"/>
          <w:szCs w:val="32"/>
        </w:rPr>
      </w:pPr>
      <w:r>
        <w:rPr>
          <w:rFonts w:hint="eastAsia" w:ascii="宋体" w:hAnsi="宋体" w:cs="宋体"/>
          <w:b/>
          <w:bCs/>
          <w:spacing w:val="40"/>
          <w:kern w:val="0"/>
          <w:sz w:val="32"/>
          <w:szCs w:val="32"/>
        </w:rPr>
        <w:t>第二部分</w:t>
      </w:r>
      <w:r>
        <w:rPr>
          <w:rFonts w:hint="eastAsia" w:ascii="宋体" w:hAnsi="宋体"/>
          <w:b/>
          <w:spacing w:val="40"/>
          <w:sz w:val="32"/>
          <w:szCs w:val="32"/>
        </w:rPr>
        <w:t>2024年度单位决算说明</w:t>
      </w:r>
    </w:p>
    <w:p w14:paraId="284AE8A1">
      <w:pPr>
        <w:tabs>
          <w:tab w:val="center" w:pos="6979"/>
        </w:tabs>
        <w:spacing w:line="580" w:lineRule="exact"/>
        <w:ind w:firstLine="548" w:firstLineChars="196"/>
        <w:rPr>
          <w:rFonts w:ascii="黑体" w:eastAsia="黑体"/>
          <w:bCs/>
          <w:sz w:val="28"/>
          <w:szCs w:val="28"/>
        </w:rPr>
      </w:pPr>
      <w:r>
        <w:rPr>
          <w:rFonts w:hint="eastAsia" w:ascii="黑体" w:eastAsia="黑体"/>
          <w:bCs/>
          <w:sz w:val="28"/>
          <w:szCs w:val="28"/>
        </w:rPr>
        <w:t>一、单位基本情况</w:t>
      </w:r>
    </w:p>
    <w:p w14:paraId="07A30FD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p>
    <w:p w14:paraId="5250EAB8">
      <w:pPr>
        <w:spacing w:line="560" w:lineRule="exact"/>
        <w:ind w:firstLine="560" w:firstLineChars="200"/>
        <w:rPr>
          <w:rFonts w:ascii="仿宋_GB2312" w:hAnsi="微软雅黑" w:eastAsia="仿宋_GB2312" w:cs="宋体"/>
          <w:color w:val="404040"/>
          <w:kern w:val="0"/>
          <w:sz w:val="28"/>
          <w:szCs w:val="28"/>
        </w:rPr>
      </w:pPr>
      <w:r>
        <w:rPr>
          <w:rFonts w:hint="eastAsia" w:ascii="仿宋_GB2312" w:eastAsia="仿宋_GB2312"/>
          <w:sz w:val="28"/>
          <w:szCs w:val="28"/>
        </w:rPr>
        <w:t>根据《中共北京市委机构编制委员会关于市体育局所属事业单位改革有关事项的批复》文件核定，北京市反兴奋剂中心为北京市体育局所属公益一类事业单位。</w:t>
      </w:r>
      <w:r>
        <w:rPr>
          <w:rFonts w:hint="eastAsia" w:ascii="仿宋_GB2312" w:eastAsia="仿宋_GB2312" w:hAnsiTheme="minorHAnsi" w:cstheme="minorBidi"/>
          <w:sz w:val="28"/>
          <w:szCs w:val="28"/>
        </w:rPr>
        <w:t>北京市反兴奋剂中心</w:t>
      </w:r>
      <w:r>
        <w:rPr>
          <w:rFonts w:hint="eastAsia" w:ascii="仿宋_GB2312" w:eastAsia="仿宋_GB2312"/>
          <w:sz w:val="28"/>
          <w:szCs w:val="28"/>
        </w:rPr>
        <w:t>内设1室2部，分别为综合办公室、检查调查部、宣传教育部。</w:t>
      </w:r>
    </w:p>
    <w:p w14:paraId="61D7E7AE">
      <w:pPr>
        <w:widowControl/>
        <w:adjustRightInd w:val="0"/>
        <w:snapToGrid w:val="0"/>
        <w:spacing w:line="560" w:lineRule="exact"/>
        <w:rPr>
          <w:rFonts w:ascii="仿宋_GB2312" w:eastAsia="仿宋_GB2312"/>
          <w:sz w:val="28"/>
          <w:szCs w:val="28"/>
        </w:rPr>
      </w:pPr>
      <w:r>
        <w:rPr>
          <w:rFonts w:hint="eastAsia" w:ascii="仿宋_GB2312" w:hAnsi="微软雅黑" w:eastAsia="仿宋_GB2312" w:cs="宋体"/>
          <w:color w:val="404040"/>
          <w:kern w:val="0"/>
          <w:sz w:val="28"/>
          <w:szCs w:val="28"/>
        </w:rPr>
        <w:t>　　</w:t>
      </w:r>
      <w:r>
        <w:rPr>
          <w:rFonts w:hint="eastAsia" w:ascii="仿宋_GB2312" w:eastAsia="仿宋_GB2312"/>
          <w:sz w:val="28"/>
          <w:szCs w:val="28"/>
        </w:rPr>
        <w:t>根据《北京市体育局关于所属事业单位改革有关事项的通知》（京体人字〔2021〕17号），北京市反兴奋剂中心主要职责是：参与研究制定本市反兴奋剂工作规划、规则和相关标准，承担兴奋剂检查检测和违规事件调查处理等技术性、事务性工作，组织开展反兴奋剂的宣传、教育和培训等工作。</w:t>
      </w:r>
    </w:p>
    <w:p w14:paraId="493278B7">
      <w:pPr>
        <w:tabs>
          <w:tab w:val="center" w:pos="6979"/>
        </w:tabs>
        <w:spacing w:line="580" w:lineRule="exact"/>
        <w:ind w:firstLine="560" w:firstLineChars="200"/>
        <w:rPr>
          <w:rFonts w:ascii="黑体" w:eastAsia="黑体"/>
          <w:bCs/>
          <w:sz w:val="28"/>
          <w:szCs w:val="28"/>
        </w:rPr>
      </w:pPr>
      <w:r>
        <w:rPr>
          <w:rFonts w:hint="eastAsia" w:ascii="黑体" w:eastAsia="黑体"/>
          <w:bCs/>
          <w:sz w:val="28"/>
          <w:szCs w:val="28"/>
        </w:rPr>
        <w:t>二、收入支出决算总体情况说明</w:t>
      </w:r>
    </w:p>
    <w:p w14:paraId="0328F984">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总计1,133.44万元，</w:t>
      </w:r>
      <w:r>
        <w:rPr>
          <w:rFonts w:ascii="仿宋_GB2312" w:eastAsia="仿宋_GB2312"/>
          <w:sz w:val="28"/>
          <w:szCs w:val="28"/>
        </w:rPr>
        <w:t>比上年增加</w:t>
      </w:r>
      <w:r>
        <w:rPr>
          <w:rFonts w:hint="eastAsia" w:ascii="仿宋_GB2312" w:eastAsia="仿宋_GB2312"/>
          <w:sz w:val="28"/>
          <w:szCs w:val="28"/>
        </w:rPr>
        <w:t>92.11万元，增长8.85%。</w:t>
      </w:r>
    </w:p>
    <w:p w14:paraId="4E2AFBF3">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1DEFCA6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2024年度本年收入合计1,114.08万元，</w:t>
      </w:r>
      <w:r>
        <w:rPr>
          <w:rFonts w:ascii="仿宋_GB2312" w:eastAsia="仿宋_GB2312"/>
          <w:sz w:val="28"/>
          <w:szCs w:val="28"/>
        </w:rPr>
        <w:t>比上年增加</w:t>
      </w:r>
      <w:r>
        <w:rPr>
          <w:rFonts w:hint="eastAsia" w:ascii="仿宋_GB2312" w:eastAsia="仿宋_GB2312"/>
          <w:sz w:val="28"/>
          <w:szCs w:val="28"/>
        </w:rPr>
        <w:t>109.83万元，增长10.94%。</w:t>
      </w:r>
    </w:p>
    <w:p w14:paraId="5C890A5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1.财政拨款收入1,114.08万元，占收入合计的100%。其中：一般公共预算财政拨款收入1,114.08万元，占收入合计的100%；政府性基金预算财政拨款收入0万元，占收入合计的0%；国有资本经营预算财政拨款收入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6DF7087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6EC1F0B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1B5DD02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463BAD9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14:paraId="4DD246E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6.其他收入0万元，占收入合计的0%。</w:t>
      </w:r>
    </w:p>
    <w:p w14:paraId="1F653F5F">
      <w:pPr>
        <w:pStyle w:val="3"/>
        <w:jc w:val="center"/>
      </w:pPr>
      <w:r>
        <w:rPr>
          <w:rFonts w:hint="eastAsia" w:ascii="仿宋_GB2312" w:eastAsia="仿宋_GB2312"/>
          <w:color w:val="000000"/>
          <w:sz w:val="32"/>
        </w:rPr>
        <w:t>图1：收入决算</w:t>
      </w:r>
    </w:p>
    <w:p w14:paraId="5D9926CD">
      <w:pPr>
        <w:jc w:val="center"/>
      </w:pPr>
      <w:r>
        <w:rPr>
          <w:rFonts w:hint="eastAsia"/>
        </w:rPr>
        <w:drawing>
          <wp:inline distT="0" distB="0" distL="114300" distR="114300">
            <wp:extent cx="4408805" cy="2477770"/>
            <wp:effectExtent l="4445" t="5080" r="6350" b="1270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FE57EE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6FDB998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2024年度本年支出合计1069.34万元，</w:t>
      </w:r>
      <w:r>
        <w:rPr>
          <w:rFonts w:ascii="仿宋_GB2312" w:eastAsia="仿宋_GB2312"/>
          <w:sz w:val="28"/>
          <w:szCs w:val="28"/>
        </w:rPr>
        <w:t>比上年增加</w:t>
      </w:r>
      <w:r>
        <w:rPr>
          <w:rFonts w:hint="eastAsia" w:ascii="仿宋_GB2312" w:eastAsia="仿宋_GB2312"/>
          <w:sz w:val="28"/>
          <w:szCs w:val="28"/>
        </w:rPr>
        <w:t>74.31万元，增长7.47%。其中：基本支出542.37万元，占支出合计的</w:t>
      </w:r>
      <w:r>
        <w:rPr>
          <w:rFonts w:ascii="仿宋_GB2312" w:eastAsia="仿宋_GB2312"/>
          <w:sz w:val="28"/>
          <w:szCs w:val="28"/>
        </w:rPr>
        <w:t>50.</w:t>
      </w:r>
      <w:r>
        <w:rPr>
          <w:rFonts w:hint="eastAsia" w:ascii="仿宋_GB2312" w:eastAsia="仿宋_GB2312"/>
          <w:sz w:val="28"/>
          <w:szCs w:val="28"/>
        </w:rPr>
        <w:t>72%；项目支出526.97万元，占支出合计的49.28%;上缴上级支出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p>
    <w:p w14:paraId="12F0273F">
      <w:pPr>
        <w:tabs>
          <w:tab w:val="center" w:pos="6979"/>
        </w:tabs>
        <w:spacing w:line="580" w:lineRule="exact"/>
        <w:rPr>
          <w:rFonts w:ascii="仿宋_GB2312" w:eastAsia="仿宋_GB2312"/>
          <w:color w:val="FFFFFF" w:themeColor="background1"/>
          <w:sz w:val="28"/>
          <w:szCs w:val="28"/>
          <w14:textFill>
            <w14:noFill/>
          </w14:textFill>
        </w:rPr>
      </w:pP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14:paraId="605F74CA">
      <w:pPr>
        <w:pStyle w:val="3"/>
        <w:ind w:firstLine="642"/>
        <w:jc w:val="center"/>
        <w:rPr>
          <w:rFonts w:ascii="仿宋_GB2312" w:eastAsia="仿宋_GB2312"/>
          <w:color w:val="000000"/>
          <w:sz w:val="32"/>
        </w:rPr>
      </w:pPr>
    </w:p>
    <w:p w14:paraId="3E434D4F">
      <w:pPr>
        <w:pStyle w:val="3"/>
        <w:ind w:firstLine="642"/>
        <w:jc w:val="center"/>
        <w:rPr>
          <w:rFonts w:ascii="仿宋_GB2312" w:eastAsia="仿宋_GB2312"/>
          <w:color w:val="000000"/>
          <w:sz w:val="32"/>
          <w:highlight w:val="yellow"/>
        </w:rPr>
      </w:pPr>
      <w:r>
        <w:rPr>
          <w:rFonts w:hint="eastAsia" w:ascii="仿宋_GB2312" w:eastAsia="仿宋_GB2312"/>
          <w:color w:val="000000"/>
          <w:sz w:val="32"/>
          <w:highlight w:val="none"/>
        </w:rPr>
        <w:t>图2：基本支出和项目支出情况</w:t>
      </w:r>
    </w:p>
    <w:p w14:paraId="2534A693">
      <w:pPr>
        <w:jc w:val="center"/>
        <w:rPr>
          <w:rFonts w:ascii="黑体" w:eastAsia="黑体"/>
          <w:b/>
          <w:sz w:val="28"/>
          <w:szCs w:val="28"/>
        </w:rPr>
      </w:pPr>
      <w:r>
        <w:rPr>
          <w:rFonts w:ascii="黑体" w:eastAsia="黑体"/>
          <w:b/>
          <w:sz w:val="28"/>
          <w:szCs w:val="28"/>
        </w:rPr>
        <w:drawing>
          <wp:inline distT="0" distB="0" distL="0" distR="0">
            <wp:extent cx="5657850" cy="3400425"/>
            <wp:effectExtent l="4445" t="4445" r="14605" b="5080"/>
            <wp:docPr id="4870402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E2A30DB">
      <w:pPr>
        <w:tabs>
          <w:tab w:val="center" w:pos="6979"/>
        </w:tabs>
        <w:spacing w:line="580" w:lineRule="exact"/>
        <w:ind w:firstLine="548" w:firstLineChars="196"/>
        <w:rPr>
          <w:rFonts w:ascii="黑体" w:eastAsia="黑体"/>
          <w:bCs/>
          <w:sz w:val="28"/>
          <w:szCs w:val="28"/>
        </w:rPr>
      </w:pPr>
    </w:p>
    <w:p w14:paraId="037A08DD">
      <w:pPr>
        <w:tabs>
          <w:tab w:val="center" w:pos="6979"/>
        </w:tabs>
        <w:spacing w:line="580" w:lineRule="exact"/>
        <w:ind w:firstLine="548" w:firstLineChars="196"/>
        <w:rPr>
          <w:rFonts w:ascii="黑体" w:eastAsia="黑体"/>
          <w:bCs/>
          <w:sz w:val="28"/>
          <w:szCs w:val="28"/>
        </w:rPr>
      </w:pPr>
      <w:r>
        <w:rPr>
          <w:rFonts w:hint="eastAsia" w:ascii="黑体" w:eastAsia="黑体"/>
          <w:bCs/>
          <w:sz w:val="28"/>
          <w:szCs w:val="28"/>
        </w:rPr>
        <w:t>三</w:t>
      </w:r>
      <w:r>
        <w:rPr>
          <w:rFonts w:ascii="黑体" w:eastAsia="黑体"/>
          <w:bCs/>
          <w:sz w:val="28"/>
          <w:szCs w:val="28"/>
        </w:rPr>
        <w:t>、财政拨款</w:t>
      </w:r>
      <w:r>
        <w:rPr>
          <w:rFonts w:hint="eastAsia" w:ascii="黑体" w:eastAsia="黑体"/>
          <w:bCs/>
          <w:sz w:val="28"/>
          <w:szCs w:val="28"/>
        </w:rPr>
        <w:t>收入支出决算</w:t>
      </w:r>
      <w:r>
        <w:rPr>
          <w:rFonts w:ascii="黑体" w:eastAsia="黑体"/>
          <w:bCs/>
          <w:sz w:val="28"/>
          <w:szCs w:val="28"/>
        </w:rPr>
        <w:t>总体情况说明</w:t>
      </w:r>
    </w:p>
    <w:p w14:paraId="49AEDA0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总计1133.44万元，比上年</w:t>
      </w:r>
      <w:r>
        <w:rPr>
          <w:rFonts w:ascii="仿宋_GB2312" w:eastAsia="仿宋_GB2312"/>
          <w:sz w:val="28"/>
          <w:szCs w:val="28"/>
        </w:rPr>
        <w:t>增加</w:t>
      </w:r>
      <w:r>
        <w:rPr>
          <w:rFonts w:hint="eastAsia" w:ascii="仿宋_GB2312" w:eastAsia="仿宋_GB2312"/>
          <w:sz w:val="28"/>
          <w:szCs w:val="28"/>
        </w:rPr>
        <w:t>92.32万元，增长8.87%。主要原因：一是本单位在职人</w:t>
      </w:r>
    </w:p>
    <w:p w14:paraId="01A52154">
      <w:pPr>
        <w:tabs>
          <w:tab w:val="center" w:pos="6979"/>
        </w:tabs>
        <w:spacing w:line="580" w:lineRule="exact"/>
        <w:rPr>
          <w:rFonts w:ascii="仿宋_GB2312" w:eastAsia="仿宋_GB2312"/>
          <w:sz w:val="28"/>
          <w:szCs w:val="28"/>
        </w:rPr>
      </w:pPr>
      <w:r>
        <w:rPr>
          <w:rFonts w:hint="eastAsia" w:ascii="仿宋_GB2312" w:eastAsia="仿宋_GB2312"/>
          <w:sz w:val="28"/>
          <w:szCs w:val="28"/>
        </w:rPr>
        <w:t>员增加；二</w:t>
      </w:r>
      <w:r>
        <w:rPr>
          <w:rFonts w:hint="eastAsia" w:ascii="仿宋_GB2312" w:hAnsi="仿宋" w:eastAsia="仿宋_GB2312"/>
          <w:sz w:val="28"/>
          <w:szCs w:val="28"/>
        </w:rPr>
        <w:t>是增加兴奋剂检查、检测、调查等经费</w:t>
      </w:r>
      <w:r>
        <w:rPr>
          <w:rFonts w:hint="eastAsia" w:ascii="仿宋_GB2312" w:eastAsia="仿宋_GB2312"/>
          <w:sz w:val="28"/>
          <w:szCs w:val="28"/>
        </w:rPr>
        <w:t>。</w:t>
      </w:r>
    </w:p>
    <w:p w14:paraId="2F040489">
      <w:pPr>
        <w:tabs>
          <w:tab w:val="center" w:pos="6979"/>
        </w:tabs>
        <w:spacing w:line="580" w:lineRule="exact"/>
        <w:ind w:firstLine="548" w:firstLineChars="196"/>
        <w:rPr>
          <w:rFonts w:ascii="黑体" w:eastAsia="黑体"/>
          <w:bCs/>
          <w:sz w:val="28"/>
          <w:szCs w:val="28"/>
        </w:rPr>
      </w:pPr>
      <w:r>
        <w:rPr>
          <w:rFonts w:hint="eastAsia" w:ascii="黑体" w:eastAsia="黑体"/>
          <w:bCs/>
          <w:sz w:val="28"/>
          <w:szCs w:val="28"/>
        </w:rPr>
        <w:t>四、一般公共预算财政拨款支出决算情况说明</w:t>
      </w:r>
    </w:p>
    <w:p w14:paraId="363C51F5">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39D6E7CD">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rPr>
        <w:t>2024年度一般公共预算财政拨款支出1049.98万元，主要用于文化旅游体育与传媒支出1,049.98万元，占本年</w:t>
      </w:r>
      <w:r>
        <w:rPr>
          <w:rFonts w:hint="eastAsia" w:ascii="仿宋_GB2312" w:eastAsia="仿宋_GB2312"/>
          <w:sz w:val="28"/>
          <w:szCs w:val="28"/>
          <w:highlight w:val="none"/>
        </w:rPr>
        <w:t>财政拨款支出</w:t>
      </w:r>
      <w:r>
        <w:rPr>
          <w:rFonts w:hint="eastAsia" w:ascii="仿宋_GB2312" w:eastAsia="仿宋_GB2312"/>
          <w:sz w:val="28"/>
          <w:szCs w:val="28"/>
          <w:highlight w:val="none"/>
          <w:lang w:val="en-US" w:eastAsia="zh-CN"/>
        </w:rPr>
        <w:t>98.19</w:t>
      </w:r>
      <w:r>
        <w:rPr>
          <w:rFonts w:hint="eastAsia" w:ascii="仿宋_GB2312" w:eastAsia="仿宋_GB2312"/>
          <w:sz w:val="28"/>
          <w:szCs w:val="28"/>
          <w:highlight w:val="none"/>
        </w:rPr>
        <w:t>%。</w:t>
      </w:r>
    </w:p>
    <w:p w14:paraId="7BAAC252">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44E7DA66">
      <w:pPr>
        <w:spacing w:line="580" w:lineRule="exact"/>
        <w:ind w:firstLine="560" w:firstLineChars="200"/>
        <w:rPr>
          <w:rFonts w:ascii="仿宋_GB2312" w:eastAsia="仿宋_GB2312"/>
          <w:sz w:val="28"/>
          <w:szCs w:val="28"/>
        </w:rPr>
      </w:pPr>
      <w:r>
        <w:rPr>
          <w:rFonts w:hint="eastAsia" w:ascii="仿宋_GB2312" w:eastAsia="仿宋_GB2312"/>
          <w:sz w:val="28"/>
          <w:szCs w:val="28"/>
        </w:rPr>
        <w:t>“文化旅游体育传媒支出”2024年度年初预算1,159.29万元，2024年度决算1,049.98万元，完成年初预算的90.57%。其中：</w:t>
      </w:r>
    </w:p>
    <w:p w14:paraId="024A39C4">
      <w:pPr>
        <w:spacing w:line="580" w:lineRule="exact"/>
        <w:ind w:firstLine="560" w:firstLineChars="200"/>
        <w:rPr>
          <w:rFonts w:ascii="仿宋_GB2312" w:eastAsia="仿宋_GB2312"/>
          <w:color w:val="C00000"/>
          <w:sz w:val="28"/>
          <w:szCs w:val="28"/>
        </w:rPr>
      </w:pPr>
      <w:r>
        <w:rPr>
          <w:rFonts w:hint="eastAsia" w:ascii="仿宋_GB2312" w:eastAsia="仿宋_GB2312"/>
          <w:sz w:val="28"/>
          <w:szCs w:val="28"/>
        </w:rPr>
        <w:t>“体育”2024年度年初预算1,159.29万元，2024年度决算1049.98万元，完成年初预算的90.57%。主要原因：</w:t>
      </w:r>
      <w:r>
        <w:rPr>
          <w:rFonts w:hint="eastAsia" w:ascii="仿宋_GB2312" w:hAnsi="仿宋" w:eastAsia="仿宋_GB2312"/>
          <w:sz w:val="28"/>
          <w:szCs w:val="28"/>
        </w:rPr>
        <w:t>减少兴奋剂检查、检测、调查及兴奋剂检查官培训项目经费、反兴奋剂宣传教育项目经费的支出</w:t>
      </w:r>
      <w:r>
        <w:rPr>
          <w:rFonts w:hint="eastAsia" w:ascii="仿宋_GB2312" w:eastAsia="仿宋_GB2312"/>
          <w:sz w:val="28"/>
          <w:szCs w:val="28"/>
        </w:rPr>
        <w:t>。</w:t>
      </w:r>
    </w:p>
    <w:p w14:paraId="4C6327C3">
      <w:pPr>
        <w:spacing w:line="580" w:lineRule="exact"/>
        <w:ind w:firstLine="560" w:firstLineChars="200"/>
        <w:rPr>
          <w:rFonts w:ascii="仿宋_GB2312" w:eastAsia="仿宋_GB2312"/>
          <w:bCs/>
          <w:sz w:val="28"/>
          <w:szCs w:val="28"/>
        </w:rPr>
      </w:pPr>
      <w:r>
        <w:rPr>
          <w:rFonts w:hint="eastAsia" w:ascii="黑体" w:eastAsia="黑体"/>
          <w:bCs/>
          <w:sz w:val="28"/>
          <w:szCs w:val="28"/>
        </w:rPr>
        <w:t>五、政府性基金预算财政拨款支出决算情况说明</w:t>
      </w:r>
    </w:p>
    <w:p w14:paraId="2BAF3AAC">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6F0BC1D1">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rPr>
        <w:t>2024年度政府性基金预算财政拨款支出19.36万元，主要用于以下方面：其他支出19.36万元，占本年财政拨款支</w:t>
      </w:r>
      <w:r>
        <w:rPr>
          <w:rFonts w:hint="eastAsia" w:ascii="仿宋_GB2312" w:eastAsia="仿宋_GB2312"/>
          <w:sz w:val="28"/>
          <w:szCs w:val="28"/>
          <w:highlight w:val="none"/>
        </w:rPr>
        <w:t>出1.81%。</w:t>
      </w:r>
    </w:p>
    <w:p w14:paraId="5555E349">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14:paraId="50632C6F">
      <w:pPr>
        <w:autoSpaceDE w:val="0"/>
        <w:autoSpaceDN w:val="0"/>
        <w:adjustRightInd w:val="0"/>
        <w:spacing w:line="580" w:lineRule="exact"/>
        <w:ind w:firstLine="700" w:firstLineChars="250"/>
        <w:jc w:val="left"/>
        <w:rPr>
          <w:rFonts w:ascii="仿宋_GB2312" w:eastAsia="仿宋_GB2312"/>
          <w:sz w:val="28"/>
          <w:szCs w:val="28"/>
        </w:rPr>
      </w:pPr>
      <w:r>
        <w:rPr>
          <w:rFonts w:hint="eastAsia" w:ascii="仿宋_GB2312" w:eastAsia="仿宋_GB2312"/>
          <w:sz w:val="28"/>
          <w:szCs w:val="28"/>
        </w:rPr>
        <w:t>1.“其他支出”2024年度年初预算19.36万元，2024年度决算19.36万元，完成年初预算的100%。其中：</w:t>
      </w:r>
    </w:p>
    <w:p w14:paraId="4D87D504">
      <w:pPr>
        <w:autoSpaceDE w:val="0"/>
        <w:autoSpaceDN w:val="0"/>
        <w:adjustRightInd w:val="0"/>
        <w:spacing w:line="580" w:lineRule="exact"/>
        <w:ind w:firstLine="700" w:firstLineChars="250"/>
        <w:jc w:val="left"/>
        <w:rPr>
          <w:rFonts w:ascii="黑体" w:eastAsia="黑体"/>
          <w:bCs/>
          <w:sz w:val="28"/>
          <w:szCs w:val="28"/>
        </w:rPr>
      </w:pPr>
      <w:r>
        <w:rPr>
          <w:rFonts w:hint="eastAsia" w:ascii="仿宋_GB2312" w:eastAsia="仿宋_GB2312"/>
          <w:sz w:val="28"/>
          <w:szCs w:val="28"/>
        </w:rPr>
        <w:t>“彩票公益金安排的支出”2024年度年初预算19.36万元，2024年度决算19.36万元，完成年初预算的100%。</w:t>
      </w:r>
    </w:p>
    <w:p w14:paraId="395F1874">
      <w:pPr>
        <w:spacing w:line="580" w:lineRule="exact"/>
        <w:ind w:firstLine="560" w:firstLineChars="200"/>
        <w:rPr>
          <w:rFonts w:ascii="黑体" w:eastAsia="黑体"/>
          <w:bCs/>
          <w:sz w:val="28"/>
          <w:szCs w:val="28"/>
        </w:rPr>
      </w:pPr>
      <w:r>
        <w:rPr>
          <w:rFonts w:hint="eastAsia" w:ascii="黑体" w:eastAsia="黑体"/>
          <w:bCs/>
          <w:sz w:val="28"/>
          <w:szCs w:val="28"/>
        </w:rPr>
        <w:t>六、国有资本经营预算财</w:t>
      </w:r>
      <w:r>
        <w:rPr>
          <w:rFonts w:ascii="黑体" w:eastAsia="黑体"/>
          <w:bCs/>
          <w:sz w:val="28"/>
          <w:szCs w:val="28"/>
        </w:rPr>
        <w:t>政拨款</w:t>
      </w:r>
      <w:r>
        <w:rPr>
          <w:rFonts w:hint="eastAsia" w:ascii="黑体" w:eastAsia="黑体"/>
          <w:bCs/>
          <w:sz w:val="28"/>
          <w:szCs w:val="28"/>
        </w:rPr>
        <w:t>收支情况</w:t>
      </w:r>
    </w:p>
    <w:p w14:paraId="2A13E64F">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0A58182E">
      <w:pPr>
        <w:spacing w:line="580" w:lineRule="exact"/>
        <w:ind w:firstLine="548" w:firstLineChars="196"/>
        <w:rPr>
          <w:rFonts w:ascii="仿宋_GB2312" w:eastAsia="仿宋_GB2312"/>
          <w:sz w:val="28"/>
          <w:szCs w:val="28"/>
        </w:rPr>
      </w:pPr>
      <w:r>
        <w:rPr>
          <w:rFonts w:hint="eastAsia" w:ascii="黑体" w:eastAsia="黑体"/>
          <w:bCs/>
          <w:sz w:val="28"/>
          <w:szCs w:val="28"/>
        </w:rPr>
        <w:t>七、财政拨款基本支出决算情况说明</w:t>
      </w:r>
    </w:p>
    <w:p w14:paraId="73E96592">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5</w:t>
      </w:r>
      <w:r>
        <w:rPr>
          <w:rFonts w:hint="eastAsia" w:ascii="仿宋_GB2312" w:eastAsia="仿宋_GB2312"/>
          <w:sz w:val="28"/>
          <w:szCs w:val="28"/>
        </w:rPr>
        <w:t>42.37万元，使用政府性基金财政拨款安排基本支出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办公费、印刷费、水费、电费、邮电费、差旅费、维修（护）费、租赁费、培训费、工会经费、福利费、其他商品和服务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专用设备购置</w:t>
      </w:r>
      <w:r>
        <w:rPr>
          <w:rFonts w:hint="eastAsia" w:ascii="仿宋_GB2312" w:eastAsia="仿宋_GB2312"/>
          <w:sz w:val="28"/>
          <w:szCs w:val="28"/>
        </w:rPr>
        <w:t>等</w:t>
      </w:r>
      <w:r>
        <w:rPr>
          <w:rFonts w:ascii="仿宋_GB2312" w:eastAsia="仿宋_GB2312"/>
          <w:sz w:val="28"/>
          <w:szCs w:val="28"/>
        </w:rPr>
        <w:t>。</w:t>
      </w:r>
    </w:p>
    <w:p w14:paraId="38ADC792">
      <w:pPr>
        <w:autoSpaceDE w:val="0"/>
        <w:autoSpaceDN w:val="0"/>
        <w:adjustRightInd w:val="0"/>
        <w:spacing w:line="580" w:lineRule="exact"/>
        <w:jc w:val="center"/>
        <w:rPr>
          <w:rFonts w:ascii="仿宋_GB2312" w:eastAsia="仿宋_GB2312"/>
          <w:sz w:val="28"/>
          <w:szCs w:val="28"/>
        </w:rPr>
      </w:pPr>
      <w:r>
        <w:rPr>
          <w:rFonts w:ascii="仿宋_GB2312" w:eastAsia="仿宋_GB2312"/>
          <w:sz w:val="28"/>
          <w:szCs w:val="28"/>
        </w:rPr>
        <w:br w:type="page"/>
      </w:r>
    </w:p>
    <w:p w14:paraId="51573E96">
      <w:pPr>
        <w:autoSpaceDE w:val="0"/>
        <w:autoSpaceDN w:val="0"/>
        <w:adjustRightInd w:val="0"/>
        <w:spacing w:line="580" w:lineRule="exact"/>
        <w:jc w:val="center"/>
        <w:rPr>
          <w:rFonts w:ascii="宋体" w:hAnsi="宋体" w:cs="宋体"/>
          <w:b/>
          <w:spacing w:val="40"/>
          <w:kern w:val="0"/>
          <w:sz w:val="32"/>
          <w:szCs w:val="32"/>
        </w:rPr>
      </w:pPr>
      <w:r>
        <w:rPr>
          <w:rFonts w:hint="eastAsia" w:ascii="宋体" w:hAnsi="宋体" w:cs="宋体"/>
          <w:b/>
          <w:bCs/>
          <w:spacing w:val="40"/>
          <w:kern w:val="0"/>
          <w:sz w:val="32"/>
          <w:szCs w:val="32"/>
        </w:rPr>
        <w:t xml:space="preserve">第三部分 </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501E3D6C">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1434DCD9">
      <w:pPr>
        <w:tabs>
          <w:tab w:val="center" w:pos="6979"/>
        </w:tabs>
        <w:adjustRightInd w:val="0"/>
        <w:snapToGrid w:val="0"/>
        <w:spacing w:line="560" w:lineRule="exact"/>
        <w:ind w:firstLine="554" w:firstLineChars="198"/>
        <w:rPr>
          <w:rFonts w:ascii="仿宋_GB2312" w:eastAsia="仿宋_GB2312"/>
          <w:sz w:val="28"/>
          <w:szCs w:val="28"/>
        </w:rPr>
      </w:pPr>
      <w:r>
        <w:rPr>
          <w:rFonts w:hint="eastAsia" w:ascii="仿宋_GB2312" w:eastAsia="仿宋_GB2312"/>
          <w:sz w:val="28"/>
          <w:szCs w:val="28"/>
        </w:rPr>
        <w:t>2024年度“三公”经费财政拨款决算数0万元，与2024年度“三公”经费财政拨款年初预算持平。其中：</w:t>
      </w:r>
    </w:p>
    <w:p w14:paraId="217646C1">
      <w:pPr>
        <w:tabs>
          <w:tab w:val="center" w:pos="6979"/>
        </w:tabs>
        <w:adjustRightInd w:val="0"/>
        <w:snapToGrid w:val="0"/>
        <w:spacing w:line="560" w:lineRule="exact"/>
        <w:ind w:firstLine="554" w:firstLineChars="198"/>
        <w:rPr>
          <w:rFonts w:ascii="仿宋_GB2312" w:eastAsia="仿宋_GB2312"/>
          <w:sz w:val="28"/>
          <w:szCs w:val="28"/>
        </w:rPr>
      </w:pPr>
      <w:r>
        <w:rPr>
          <w:rFonts w:hint="eastAsia" w:ascii="仿宋_GB2312" w:eastAsia="仿宋_GB2312"/>
          <w:sz w:val="28"/>
          <w:szCs w:val="28"/>
        </w:rPr>
        <w:t>1.因公出国（境）费用。本单位无此项支出。</w:t>
      </w:r>
    </w:p>
    <w:p w14:paraId="7F06616B">
      <w:pPr>
        <w:tabs>
          <w:tab w:val="center" w:pos="6979"/>
        </w:tabs>
        <w:adjustRightInd w:val="0"/>
        <w:snapToGrid w:val="0"/>
        <w:spacing w:line="560" w:lineRule="exact"/>
        <w:ind w:firstLine="554" w:firstLineChars="198"/>
        <w:rPr>
          <w:rFonts w:ascii="仿宋_GB2312" w:eastAsia="仿宋_GB2312"/>
          <w:sz w:val="28"/>
          <w:szCs w:val="28"/>
        </w:rPr>
      </w:pPr>
      <w:r>
        <w:rPr>
          <w:rFonts w:hint="eastAsia" w:ascii="仿宋_GB2312" w:eastAsia="仿宋_GB2312"/>
          <w:sz w:val="28"/>
          <w:szCs w:val="28"/>
        </w:rPr>
        <w:t>2.公务接待费。本单位无此项支出。</w:t>
      </w:r>
    </w:p>
    <w:p w14:paraId="595CCC9D">
      <w:pPr>
        <w:tabs>
          <w:tab w:val="center" w:pos="6979"/>
        </w:tabs>
        <w:adjustRightInd w:val="0"/>
        <w:snapToGrid w:val="0"/>
        <w:spacing w:line="560" w:lineRule="exact"/>
        <w:ind w:firstLine="554" w:firstLineChars="198"/>
        <w:rPr>
          <w:rFonts w:ascii="仿宋_GB2312" w:eastAsia="仿宋_GB2312"/>
          <w:sz w:val="28"/>
          <w:szCs w:val="28"/>
        </w:rPr>
      </w:pPr>
      <w:r>
        <w:rPr>
          <w:rFonts w:hint="eastAsia" w:ascii="仿宋_GB2312" w:eastAsia="仿宋_GB2312"/>
          <w:sz w:val="28"/>
          <w:szCs w:val="28"/>
        </w:rPr>
        <w:t>3.公务用车购置及运行维护费。本单位无此项支出。</w:t>
      </w:r>
    </w:p>
    <w:p w14:paraId="7AF03A0D">
      <w:pPr>
        <w:tabs>
          <w:tab w:val="center" w:pos="6979"/>
        </w:tabs>
        <w:adjustRightInd w:val="0"/>
        <w:snapToGrid w:val="0"/>
        <w:spacing w:line="560" w:lineRule="exact"/>
        <w:ind w:firstLine="554" w:firstLineChars="198"/>
        <w:rPr>
          <w:rFonts w:ascii="黑体" w:eastAsia="黑体"/>
          <w:sz w:val="28"/>
          <w:szCs w:val="28"/>
        </w:rPr>
      </w:pPr>
      <w:r>
        <w:rPr>
          <w:rFonts w:hint="eastAsia" w:ascii="黑体" w:eastAsia="黑体"/>
          <w:sz w:val="28"/>
          <w:szCs w:val="28"/>
        </w:rPr>
        <w:t>二、机关运行经费支出情况</w:t>
      </w:r>
    </w:p>
    <w:p w14:paraId="5B1CA99B">
      <w:pPr>
        <w:pStyle w:val="3"/>
        <w:adjustRightInd w:val="0"/>
        <w:snapToGrid w:val="0"/>
        <w:spacing w:before="0" w:beforeAutospacing="0" w:after="0" w:afterAutospacing="0" w:line="560" w:lineRule="exact"/>
        <w:ind w:firstLine="560" w:firstLineChars="200"/>
        <w:rPr>
          <w:rFonts w:ascii="仿宋_GB2312" w:hAnsi="Times New Roman" w:eastAsia="仿宋_GB2312"/>
          <w:b w:val="0"/>
          <w:bCs w:val="0"/>
          <w:kern w:val="2"/>
          <w:sz w:val="28"/>
          <w:szCs w:val="28"/>
        </w:rPr>
      </w:pPr>
      <w:r>
        <w:rPr>
          <w:rFonts w:hint="eastAsia" w:ascii="仿宋_GB2312" w:hAnsi="Times New Roman" w:eastAsia="仿宋_GB2312"/>
          <w:b w:val="0"/>
          <w:bCs w:val="0"/>
          <w:kern w:val="2"/>
          <w:sz w:val="28"/>
          <w:szCs w:val="28"/>
        </w:rPr>
        <w:t>本单位不在机关运行经费统计范围之内。</w:t>
      </w:r>
    </w:p>
    <w:p w14:paraId="5D2C6745">
      <w:pPr>
        <w:pStyle w:val="3"/>
        <w:adjustRightInd w:val="0"/>
        <w:snapToGrid w:val="0"/>
        <w:spacing w:before="0" w:beforeAutospacing="0" w:after="0" w:afterAutospacing="0" w:line="560" w:lineRule="exact"/>
        <w:ind w:firstLine="560" w:firstLineChars="200"/>
        <w:rPr>
          <w:rFonts w:ascii="黑体"/>
          <w:b w:val="0"/>
          <w:bCs w:val="0"/>
          <w:sz w:val="28"/>
          <w:szCs w:val="28"/>
        </w:rPr>
      </w:pPr>
      <w:r>
        <w:rPr>
          <w:rFonts w:hint="eastAsia" w:ascii="黑体"/>
          <w:b w:val="0"/>
          <w:bCs w:val="0"/>
          <w:sz w:val="28"/>
          <w:szCs w:val="28"/>
        </w:rPr>
        <w:t>三、政府采购支出情况</w:t>
      </w:r>
    </w:p>
    <w:p w14:paraId="22E82C6D">
      <w:pPr>
        <w:pStyle w:val="3"/>
        <w:adjustRightInd w:val="0"/>
        <w:snapToGrid w:val="0"/>
        <w:spacing w:before="0" w:beforeAutospacing="0" w:after="0" w:afterAutospacing="0" w:line="560" w:lineRule="exact"/>
        <w:ind w:firstLine="560" w:firstLineChars="200"/>
        <w:rPr>
          <w:rFonts w:ascii="仿宋_GB2312" w:eastAsia="仿宋_GB2312"/>
          <w:sz w:val="28"/>
          <w:szCs w:val="28"/>
        </w:rPr>
      </w:pPr>
      <w:r>
        <w:rPr>
          <w:rFonts w:hint="eastAsia" w:ascii="仿宋_GB2312" w:eastAsia="仿宋_GB2312"/>
          <w:b w:val="0"/>
          <w:bCs w:val="0"/>
          <w:sz w:val="28"/>
          <w:szCs w:val="28"/>
        </w:rPr>
        <w:t>2024年度政府采购支出总额10.84万元。其中：政府采购货物支出</w:t>
      </w:r>
      <w:r>
        <w:rPr>
          <w:rFonts w:hint="eastAsia" w:ascii="仿宋_GB2312" w:eastAsia="仿宋_GB2312"/>
          <w:b w:val="0"/>
          <w:bCs w:val="0"/>
          <w:sz w:val="28"/>
          <w:szCs w:val="28"/>
          <w:highlight w:val="none"/>
        </w:rPr>
        <w:t>1.54万元</w:t>
      </w:r>
      <w:r>
        <w:rPr>
          <w:rFonts w:hint="eastAsia" w:ascii="仿宋_GB2312" w:eastAsia="仿宋_GB2312"/>
          <w:b w:val="0"/>
          <w:bCs w:val="0"/>
          <w:sz w:val="28"/>
          <w:szCs w:val="28"/>
        </w:rPr>
        <w:t>，政府采购工程支出</w:t>
      </w:r>
      <w:r>
        <w:rPr>
          <w:rFonts w:ascii="仿宋_GB2312" w:eastAsia="仿宋_GB2312"/>
          <w:b w:val="0"/>
          <w:bCs w:val="0"/>
          <w:sz w:val="28"/>
          <w:szCs w:val="28"/>
        </w:rPr>
        <w:t>0</w:t>
      </w:r>
      <w:r>
        <w:rPr>
          <w:rFonts w:hint="eastAsia" w:ascii="仿宋_GB2312" w:eastAsia="仿宋_GB2312"/>
          <w:b w:val="0"/>
          <w:bCs w:val="0"/>
          <w:sz w:val="28"/>
          <w:szCs w:val="28"/>
        </w:rPr>
        <w:t>万元，政府采购服务支出9.30万元。授予中小企业合同金额10.83万元，占政府采购支出总额的99.91%，其中：授予小微企业合同金额10.83万元，占政府采购支出总额的99.91%。</w:t>
      </w:r>
    </w:p>
    <w:p w14:paraId="45E63C91">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350F21D5">
      <w:pPr>
        <w:ind w:firstLine="560" w:firstLineChars="200"/>
        <w:rPr>
          <w:rFonts w:ascii="仿宋_GB2312" w:eastAsia="仿宋_GB2312"/>
          <w:sz w:val="32"/>
          <w:szCs w:val="32"/>
        </w:rPr>
      </w:pPr>
      <w:r>
        <w:rPr>
          <w:rFonts w:hint="eastAsia" w:ascii="仿宋_GB2312" w:eastAsia="仿宋_GB2312"/>
          <w:sz w:val="28"/>
          <w:szCs w:val="28"/>
        </w:rPr>
        <w:t>截至12月31日，北京市反兴奋剂中心共有车辆0台；单位价值100万元（含）以上的设备0台（套）。</w:t>
      </w:r>
    </w:p>
    <w:p w14:paraId="2A9DA664">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6388D57B">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48368B8D">
      <w:pPr>
        <w:ind w:firstLine="560" w:firstLineChars="200"/>
        <w:jc w:val="left"/>
        <w:rPr>
          <w:rFonts w:ascii="仿宋_GB2312" w:eastAsia="仿宋_GB2312"/>
          <w:sz w:val="28"/>
          <w:szCs w:val="28"/>
        </w:rPr>
      </w:pPr>
      <w:r>
        <w:rPr>
          <w:rFonts w:hint="eastAsia" w:ascii="黑体" w:eastAsia="黑体"/>
          <w:sz w:val="28"/>
          <w:szCs w:val="28"/>
        </w:rPr>
        <w:t>六、</w:t>
      </w:r>
      <w:r>
        <w:rPr>
          <w:rFonts w:ascii="黑体" w:eastAsia="黑体"/>
          <w:sz w:val="28"/>
          <w:szCs w:val="28"/>
        </w:rPr>
        <w:t>专业名词解释</w:t>
      </w:r>
    </w:p>
    <w:p w14:paraId="72B82A73">
      <w:pPr>
        <w:spacing w:line="580" w:lineRule="exact"/>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376772E">
      <w:pPr>
        <w:spacing w:line="580" w:lineRule="exact"/>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0B4EA28">
      <w:pPr>
        <w:spacing w:line="580" w:lineRule="exact"/>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29EEE4C">
      <w:pPr>
        <w:spacing w:line="580" w:lineRule="exact"/>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3C5A64DC">
      <w:pPr>
        <w:spacing w:line="580" w:lineRule="exact"/>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4A055F21">
      <w:pPr>
        <w:spacing w:line="580" w:lineRule="exact"/>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206EB095">
      <w:pPr>
        <w:spacing w:line="580" w:lineRule="exact"/>
        <w:ind w:firstLine="420" w:firstLineChars="150"/>
        <w:rPr>
          <w:rFonts w:ascii="仿宋_GB2312" w:eastAsia="仿宋_GB2312"/>
          <w:sz w:val="28"/>
          <w:szCs w:val="28"/>
        </w:rPr>
      </w:pPr>
      <w:r>
        <w:rPr>
          <w:rFonts w:hint="eastAsia" w:ascii="仿宋_GB2312" w:eastAsia="仿宋_GB2312"/>
          <w:sz w:val="28"/>
          <w:szCs w:val="28"/>
        </w:rPr>
        <w:t>7</w:t>
      </w:r>
      <w:r>
        <w:rPr>
          <w:rFonts w:ascii="仿宋_GB2312" w:eastAsia="仿宋_GB2312"/>
          <w:sz w:val="28"/>
          <w:szCs w:val="28"/>
        </w:rPr>
        <w:t>.</w:t>
      </w:r>
      <w:r>
        <w:rPr>
          <w:rFonts w:hint="eastAsia" w:ascii="仿宋_GB2312" w:eastAsia="仿宋_GB2312"/>
          <w:sz w:val="28"/>
          <w:szCs w:val="28"/>
        </w:rPr>
        <w:t>文化旅游体育与传媒支出（类）体育（款）其他体育支出（项）: 反映除上述项目以外其他用于体育方面的支出。</w:t>
      </w:r>
    </w:p>
    <w:p w14:paraId="60D574CA">
      <w:pPr>
        <w:spacing w:line="580" w:lineRule="exact"/>
        <w:ind w:firstLine="420" w:firstLineChars="150"/>
        <w:rPr>
          <w:rFonts w:ascii="仿宋_GB2312" w:eastAsia="仿宋_GB2312"/>
          <w:b/>
          <w:color w:val="000000"/>
          <w:spacing w:val="-2"/>
          <w:sz w:val="32"/>
          <w:szCs w:val="32"/>
        </w:rPr>
      </w:pPr>
      <w:r>
        <w:rPr>
          <w:rFonts w:hint="eastAsia" w:ascii="仿宋_GB2312" w:eastAsia="仿宋_GB2312"/>
          <w:sz w:val="28"/>
          <w:szCs w:val="28"/>
        </w:rPr>
        <w:t>8.其他支出（类）彩票公益金安排的支出（款）用于体育事业的彩票公益金支出（项）：反映用于体育事业的彩票公益金支出。</w:t>
      </w:r>
    </w:p>
    <w:p w14:paraId="6065F5BF">
      <w:pPr>
        <w:rPr>
          <w:rFonts w:ascii="黑体" w:eastAsia="黑体"/>
          <w:sz w:val="32"/>
          <w:szCs w:val="32"/>
        </w:rPr>
      </w:pPr>
    </w:p>
    <w:p w14:paraId="02C4616B">
      <w:pPr>
        <w:pStyle w:val="2"/>
        <w:rPr>
          <w:rFonts w:hint="eastAsia" w:ascii="黑体" w:eastAsia="黑体"/>
          <w:sz w:val="32"/>
          <w:szCs w:val="32"/>
          <w:lang w:eastAsia="zh-CN"/>
        </w:rPr>
      </w:pPr>
    </w:p>
    <w:p w14:paraId="59C54A7A">
      <w:pPr>
        <w:pStyle w:val="2"/>
        <w:rPr>
          <w:rFonts w:hint="eastAsia" w:ascii="黑体" w:eastAsia="黑体"/>
          <w:sz w:val="32"/>
          <w:szCs w:val="32"/>
          <w:lang w:eastAsia="zh-CN"/>
        </w:rPr>
      </w:pPr>
    </w:p>
    <w:p w14:paraId="33931B03">
      <w:pPr>
        <w:pStyle w:val="2"/>
        <w:rPr>
          <w:rFonts w:hint="eastAsia" w:ascii="黑体" w:eastAsia="黑体"/>
          <w:sz w:val="32"/>
          <w:szCs w:val="32"/>
          <w:lang w:eastAsia="zh-CN"/>
        </w:rPr>
      </w:pPr>
    </w:p>
    <w:p w14:paraId="6BCFB1C2">
      <w:pPr>
        <w:pStyle w:val="2"/>
        <w:rPr>
          <w:rFonts w:hint="eastAsia" w:ascii="黑体" w:eastAsia="黑体"/>
          <w:sz w:val="32"/>
          <w:szCs w:val="32"/>
          <w:lang w:eastAsia="zh-CN"/>
        </w:rPr>
      </w:pPr>
    </w:p>
    <w:p w14:paraId="0BFAACDA">
      <w:pPr>
        <w:pStyle w:val="2"/>
        <w:rPr>
          <w:rFonts w:hint="eastAsia" w:ascii="黑体" w:eastAsia="黑体"/>
          <w:sz w:val="32"/>
          <w:szCs w:val="32"/>
          <w:lang w:eastAsia="zh-CN"/>
        </w:rPr>
      </w:pPr>
    </w:p>
    <w:p w14:paraId="4B245828">
      <w:pPr>
        <w:pStyle w:val="2"/>
        <w:rPr>
          <w:rFonts w:hint="eastAsia" w:ascii="黑体" w:eastAsia="黑体"/>
          <w:sz w:val="32"/>
          <w:szCs w:val="32"/>
          <w:lang w:eastAsia="zh-CN"/>
        </w:rPr>
      </w:pPr>
    </w:p>
    <w:p w14:paraId="095B83D6">
      <w:pPr>
        <w:pStyle w:val="2"/>
        <w:rPr>
          <w:rFonts w:hint="eastAsia" w:ascii="黑体" w:eastAsia="黑体"/>
          <w:sz w:val="32"/>
          <w:szCs w:val="32"/>
          <w:lang w:eastAsia="zh-CN"/>
        </w:rPr>
      </w:pPr>
    </w:p>
    <w:p w14:paraId="5FCA63D5">
      <w:pPr>
        <w:pStyle w:val="2"/>
        <w:rPr>
          <w:rFonts w:hint="eastAsia" w:ascii="黑体" w:eastAsia="黑体"/>
          <w:sz w:val="32"/>
          <w:szCs w:val="32"/>
          <w:lang w:eastAsia="zh-CN"/>
        </w:rPr>
      </w:pPr>
    </w:p>
    <w:p w14:paraId="03C23EF0">
      <w:pPr>
        <w:pStyle w:val="2"/>
        <w:rPr>
          <w:rFonts w:hint="eastAsia" w:ascii="黑体" w:eastAsia="黑体"/>
          <w:sz w:val="32"/>
          <w:szCs w:val="32"/>
          <w:lang w:eastAsia="zh-CN"/>
        </w:rPr>
      </w:pPr>
    </w:p>
    <w:p w14:paraId="7A2E9A74">
      <w:pPr>
        <w:pStyle w:val="2"/>
        <w:rPr>
          <w:rFonts w:hint="eastAsia" w:ascii="黑体" w:eastAsia="黑体"/>
          <w:sz w:val="32"/>
          <w:szCs w:val="32"/>
          <w:lang w:eastAsia="zh-CN"/>
        </w:rPr>
      </w:pPr>
    </w:p>
    <w:p w14:paraId="54BE6FF0">
      <w:pPr>
        <w:pStyle w:val="2"/>
        <w:rPr>
          <w:rFonts w:hint="eastAsia" w:ascii="黑体" w:eastAsia="黑体"/>
          <w:sz w:val="32"/>
          <w:szCs w:val="32"/>
          <w:lang w:eastAsia="zh-CN"/>
        </w:rPr>
      </w:pPr>
      <w:bookmarkStart w:id="0" w:name="_GoBack"/>
      <w:bookmarkEnd w:id="0"/>
    </w:p>
    <w:p w14:paraId="2CFA827E">
      <w:pPr>
        <w:pStyle w:val="2"/>
        <w:rPr>
          <w:rFonts w:hint="eastAsia" w:ascii="黑体" w:eastAsia="黑体"/>
          <w:sz w:val="32"/>
          <w:szCs w:val="32"/>
          <w:lang w:eastAsia="zh-CN"/>
        </w:rPr>
      </w:pPr>
    </w:p>
    <w:p w14:paraId="2F15DFF3">
      <w:pPr>
        <w:pStyle w:val="2"/>
        <w:ind w:left="0" w:leftChars="0" w:firstLine="0" w:firstLineChars="0"/>
        <w:rPr>
          <w:rFonts w:hint="eastAsia" w:ascii="黑体" w:eastAsia="黑体"/>
          <w:sz w:val="32"/>
          <w:szCs w:val="32"/>
          <w:lang w:eastAsia="zh-CN"/>
        </w:rPr>
      </w:pPr>
    </w:p>
    <w:p w14:paraId="4D899035">
      <w:pPr>
        <w:pStyle w:val="2"/>
        <w:ind w:firstLine="420"/>
      </w:pPr>
    </w:p>
    <w:p w14:paraId="49D1A3F7">
      <w:pPr>
        <w:numPr>
          <w:ilvl w:val="0"/>
          <w:numId w:val="1"/>
        </w:numPr>
        <w:ind w:firstLine="640" w:firstLineChars="200"/>
        <w:jc w:val="center"/>
        <w:rPr>
          <w:rFonts w:ascii="黑体" w:eastAsia="黑体"/>
          <w:sz w:val="32"/>
          <w:szCs w:val="32"/>
        </w:rPr>
      </w:pPr>
      <w:r>
        <w:rPr>
          <w:rFonts w:hint="eastAsia" w:ascii="黑体" w:eastAsia="黑体"/>
          <w:sz w:val="32"/>
          <w:szCs w:val="32"/>
        </w:rPr>
        <w:t xml:space="preserve"> 2024年度单位绩效评价情况</w:t>
      </w:r>
    </w:p>
    <w:p w14:paraId="415FAE64">
      <w:pPr>
        <w:ind w:firstLine="560" w:firstLineChars="200"/>
        <w:rPr>
          <w:rFonts w:ascii="黑体" w:eastAsia="黑体"/>
          <w:sz w:val="28"/>
          <w:szCs w:val="28"/>
        </w:rPr>
      </w:pPr>
      <w:r>
        <w:rPr>
          <w:rFonts w:hint="eastAsia" w:ascii="黑体" w:eastAsia="黑体"/>
          <w:sz w:val="28"/>
          <w:szCs w:val="28"/>
        </w:rPr>
        <w:t>项目支出绩效自评表（详见附件）。</w:t>
      </w:r>
    </w:p>
    <w:p w14:paraId="20E19C6C">
      <w:pPr>
        <w:tabs>
          <w:tab w:val="center" w:pos="6979"/>
        </w:tabs>
        <w:spacing w:before="156" w:beforeLines="50" w:after="156" w:afterLines="50"/>
        <w:jc w:val="center"/>
        <w:rPr>
          <w:rFonts w:ascii="宋体" w:hAnsi="宋体" w:cs="宋体"/>
          <w:b/>
          <w:bCs/>
          <w:spacing w:val="40"/>
          <w:kern w:val="0"/>
          <w:sz w:val="32"/>
          <w:szCs w:val="32"/>
        </w:rPr>
      </w:pPr>
    </w:p>
    <w:p w14:paraId="2283F8FA">
      <w:pPr>
        <w:tabs>
          <w:tab w:val="center" w:pos="6979"/>
        </w:tabs>
        <w:spacing w:before="156" w:beforeLines="50" w:after="156" w:afterLines="50"/>
        <w:jc w:val="center"/>
        <w:rPr>
          <w:rFonts w:ascii="宋体" w:hAnsi="宋体" w:cs="宋体"/>
          <w:b/>
          <w:bCs/>
          <w:spacing w:val="40"/>
          <w:kern w:val="0"/>
          <w:sz w:val="32"/>
          <w:szCs w:val="32"/>
        </w:rPr>
      </w:pPr>
    </w:p>
    <w:p w14:paraId="3BF35DCC">
      <w:pPr>
        <w:tabs>
          <w:tab w:val="center" w:pos="6979"/>
        </w:tabs>
        <w:spacing w:before="156" w:beforeLines="50" w:after="156" w:afterLines="50"/>
        <w:jc w:val="center"/>
        <w:rPr>
          <w:rFonts w:ascii="宋体" w:hAnsi="宋体" w:cs="宋体"/>
          <w:b/>
          <w:bCs/>
          <w:spacing w:val="40"/>
          <w:kern w:val="0"/>
          <w:sz w:val="32"/>
          <w:szCs w:val="32"/>
        </w:rPr>
      </w:pPr>
    </w:p>
    <w:p w14:paraId="02621FD3">
      <w:pPr>
        <w:tabs>
          <w:tab w:val="center" w:pos="6979"/>
        </w:tabs>
        <w:spacing w:before="156" w:beforeLines="50" w:after="156" w:afterLines="50"/>
        <w:jc w:val="center"/>
        <w:rPr>
          <w:rFonts w:ascii="宋体" w:hAnsi="宋体" w:cs="宋体"/>
          <w:b/>
          <w:bCs/>
          <w:spacing w:val="40"/>
          <w:kern w:val="0"/>
          <w:sz w:val="32"/>
          <w:szCs w:val="32"/>
        </w:rPr>
      </w:pPr>
    </w:p>
    <w:p w14:paraId="1D9591AD">
      <w:pPr>
        <w:ind w:firstLine="640" w:firstLineChars="200"/>
        <w:jc w:val="center"/>
        <w:rPr>
          <w:rFonts w:ascii="黑体" w:eastAsia="黑体"/>
          <w:sz w:val="32"/>
          <w:szCs w:val="32"/>
        </w:rPr>
      </w:pPr>
    </w:p>
    <w:p w14:paraId="0E0256B1">
      <w:pPr>
        <w:rPr>
          <w:rFonts w:ascii="黑体" w:eastAsia="黑体"/>
          <w:sz w:val="32"/>
          <w:szCs w:val="32"/>
        </w:rPr>
      </w:pPr>
    </w:p>
    <w:p w14:paraId="78F7F136">
      <w:pPr>
        <w:rPr>
          <w:rFonts w:hint="default" w:ascii="黑体" w:hAnsi="黑体" w:eastAsia="黑体" w:cs="黑体"/>
          <w:sz w:val="32"/>
          <w:szCs w:val="32"/>
          <w:lang w:val="en-US" w:eastAsia="zh-CN"/>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251A1">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14:paraId="7A0F8258">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358BA">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14:paraId="676FBD05">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FE1F8">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22BC9F3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17B5C"/>
    <w:multiLevelType w:val="singleLevel"/>
    <w:tmpl w:val="97A17B5C"/>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MGI5Y2MyMGE2MDRjOGEyYWYxMWE2ZGE5ZmY5NDQifQ=="/>
  </w:docVars>
  <w:rsids>
    <w:rsidRoot w:val="00172A27"/>
    <w:rsid w:val="00003B03"/>
    <w:rsid w:val="000040E6"/>
    <w:rsid w:val="00011D72"/>
    <w:rsid w:val="0001491B"/>
    <w:rsid w:val="00027CD5"/>
    <w:rsid w:val="00031B8E"/>
    <w:rsid w:val="00033329"/>
    <w:rsid w:val="00033EC1"/>
    <w:rsid w:val="00034224"/>
    <w:rsid w:val="00035259"/>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8C9"/>
    <w:rsid w:val="00096B86"/>
    <w:rsid w:val="000A1770"/>
    <w:rsid w:val="000A283C"/>
    <w:rsid w:val="000A3437"/>
    <w:rsid w:val="000A5234"/>
    <w:rsid w:val="000B15B7"/>
    <w:rsid w:val="000B70F1"/>
    <w:rsid w:val="000C1953"/>
    <w:rsid w:val="000C4611"/>
    <w:rsid w:val="000C55AB"/>
    <w:rsid w:val="000D1B61"/>
    <w:rsid w:val="000D6854"/>
    <w:rsid w:val="000E0B26"/>
    <w:rsid w:val="000E3291"/>
    <w:rsid w:val="000F08FE"/>
    <w:rsid w:val="000F172A"/>
    <w:rsid w:val="000F208B"/>
    <w:rsid w:val="000F2A48"/>
    <w:rsid w:val="000F49BE"/>
    <w:rsid w:val="00100246"/>
    <w:rsid w:val="0010682D"/>
    <w:rsid w:val="001073C6"/>
    <w:rsid w:val="00107DB5"/>
    <w:rsid w:val="00113613"/>
    <w:rsid w:val="0011483D"/>
    <w:rsid w:val="00115724"/>
    <w:rsid w:val="00123F7E"/>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5AC7"/>
    <w:rsid w:val="001A7D2E"/>
    <w:rsid w:val="001B1DF9"/>
    <w:rsid w:val="001B1E93"/>
    <w:rsid w:val="001B375E"/>
    <w:rsid w:val="001B4A46"/>
    <w:rsid w:val="001B5E87"/>
    <w:rsid w:val="001B5E91"/>
    <w:rsid w:val="001B69BF"/>
    <w:rsid w:val="001B7988"/>
    <w:rsid w:val="001D3355"/>
    <w:rsid w:val="001D6FE3"/>
    <w:rsid w:val="001D78D9"/>
    <w:rsid w:val="001D7C33"/>
    <w:rsid w:val="001E0556"/>
    <w:rsid w:val="001E2355"/>
    <w:rsid w:val="001E2379"/>
    <w:rsid w:val="001E29A9"/>
    <w:rsid w:val="001F2511"/>
    <w:rsid w:val="001F5857"/>
    <w:rsid w:val="00206EC3"/>
    <w:rsid w:val="0021047C"/>
    <w:rsid w:val="00211E4E"/>
    <w:rsid w:val="00213D1C"/>
    <w:rsid w:val="00214C3A"/>
    <w:rsid w:val="00217517"/>
    <w:rsid w:val="00222628"/>
    <w:rsid w:val="0022364F"/>
    <w:rsid w:val="002253CB"/>
    <w:rsid w:val="002326DE"/>
    <w:rsid w:val="00234314"/>
    <w:rsid w:val="00241724"/>
    <w:rsid w:val="0024390C"/>
    <w:rsid w:val="002441F4"/>
    <w:rsid w:val="00244204"/>
    <w:rsid w:val="002448A4"/>
    <w:rsid w:val="00245A0A"/>
    <w:rsid w:val="00246C42"/>
    <w:rsid w:val="002515CC"/>
    <w:rsid w:val="00253EC4"/>
    <w:rsid w:val="00254515"/>
    <w:rsid w:val="00262301"/>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783"/>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77DF5"/>
    <w:rsid w:val="00382A86"/>
    <w:rsid w:val="00383BCC"/>
    <w:rsid w:val="00385243"/>
    <w:rsid w:val="003925D4"/>
    <w:rsid w:val="0039318C"/>
    <w:rsid w:val="00393366"/>
    <w:rsid w:val="003937DC"/>
    <w:rsid w:val="00393C78"/>
    <w:rsid w:val="00393D75"/>
    <w:rsid w:val="003A2F2D"/>
    <w:rsid w:val="003A43AC"/>
    <w:rsid w:val="003A4EB6"/>
    <w:rsid w:val="003A7AE9"/>
    <w:rsid w:val="003A7BC5"/>
    <w:rsid w:val="003A7FF5"/>
    <w:rsid w:val="003B0352"/>
    <w:rsid w:val="003B139A"/>
    <w:rsid w:val="003B4437"/>
    <w:rsid w:val="003B48C4"/>
    <w:rsid w:val="003B5E20"/>
    <w:rsid w:val="003B6DAD"/>
    <w:rsid w:val="003B735F"/>
    <w:rsid w:val="003C030C"/>
    <w:rsid w:val="003C55FC"/>
    <w:rsid w:val="003D0EC3"/>
    <w:rsid w:val="003D7274"/>
    <w:rsid w:val="003E4D82"/>
    <w:rsid w:val="003E5BC1"/>
    <w:rsid w:val="003F0D1B"/>
    <w:rsid w:val="003F1DD6"/>
    <w:rsid w:val="003F286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200F"/>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1D2D"/>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4894"/>
    <w:rsid w:val="004F641B"/>
    <w:rsid w:val="004F71F3"/>
    <w:rsid w:val="00504C2D"/>
    <w:rsid w:val="005052FA"/>
    <w:rsid w:val="005069E1"/>
    <w:rsid w:val="00507E59"/>
    <w:rsid w:val="005122B5"/>
    <w:rsid w:val="0052381C"/>
    <w:rsid w:val="005346B3"/>
    <w:rsid w:val="0054051C"/>
    <w:rsid w:val="005413B7"/>
    <w:rsid w:val="00542508"/>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2C42"/>
    <w:rsid w:val="005B368E"/>
    <w:rsid w:val="005B6E69"/>
    <w:rsid w:val="005B6F03"/>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0660"/>
    <w:rsid w:val="00611BE4"/>
    <w:rsid w:val="0061219B"/>
    <w:rsid w:val="00621419"/>
    <w:rsid w:val="00626446"/>
    <w:rsid w:val="00626BE8"/>
    <w:rsid w:val="00627CED"/>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065"/>
    <w:rsid w:val="007049BF"/>
    <w:rsid w:val="00704E79"/>
    <w:rsid w:val="00707A26"/>
    <w:rsid w:val="0071120F"/>
    <w:rsid w:val="00716380"/>
    <w:rsid w:val="00720F3F"/>
    <w:rsid w:val="00722165"/>
    <w:rsid w:val="00724B1C"/>
    <w:rsid w:val="007428F0"/>
    <w:rsid w:val="007512EF"/>
    <w:rsid w:val="007551AC"/>
    <w:rsid w:val="0076101C"/>
    <w:rsid w:val="00763D87"/>
    <w:rsid w:val="007670B2"/>
    <w:rsid w:val="0077124F"/>
    <w:rsid w:val="00771795"/>
    <w:rsid w:val="00774707"/>
    <w:rsid w:val="00774925"/>
    <w:rsid w:val="00775890"/>
    <w:rsid w:val="0079279F"/>
    <w:rsid w:val="00793E69"/>
    <w:rsid w:val="007A063C"/>
    <w:rsid w:val="007A16B0"/>
    <w:rsid w:val="007A19EA"/>
    <w:rsid w:val="007A6092"/>
    <w:rsid w:val="007A60B7"/>
    <w:rsid w:val="007A64A6"/>
    <w:rsid w:val="007A6EE1"/>
    <w:rsid w:val="007A7C89"/>
    <w:rsid w:val="007A7E05"/>
    <w:rsid w:val="007B1487"/>
    <w:rsid w:val="007B2A43"/>
    <w:rsid w:val="007B326F"/>
    <w:rsid w:val="007B6A58"/>
    <w:rsid w:val="007B6C06"/>
    <w:rsid w:val="007B7B78"/>
    <w:rsid w:val="007C32B1"/>
    <w:rsid w:val="007C7A22"/>
    <w:rsid w:val="007C7C62"/>
    <w:rsid w:val="007D1076"/>
    <w:rsid w:val="007D12B7"/>
    <w:rsid w:val="007D2A49"/>
    <w:rsid w:val="007D4B46"/>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7D9"/>
    <w:rsid w:val="00826F07"/>
    <w:rsid w:val="008337CB"/>
    <w:rsid w:val="00834A3C"/>
    <w:rsid w:val="008360A0"/>
    <w:rsid w:val="00837658"/>
    <w:rsid w:val="00837CD4"/>
    <w:rsid w:val="00837F78"/>
    <w:rsid w:val="008400EE"/>
    <w:rsid w:val="00840791"/>
    <w:rsid w:val="00845576"/>
    <w:rsid w:val="008479BB"/>
    <w:rsid w:val="00850708"/>
    <w:rsid w:val="00851024"/>
    <w:rsid w:val="008526D7"/>
    <w:rsid w:val="00855061"/>
    <w:rsid w:val="0086238C"/>
    <w:rsid w:val="008655DC"/>
    <w:rsid w:val="0086732D"/>
    <w:rsid w:val="00867A6E"/>
    <w:rsid w:val="00870183"/>
    <w:rsid w:val="00875726"/>
    <w:rsid w:val="008770F0"/>
    <w:rsid w:val="00877F10"/>
    <w:rsid w:val="0088225D"/>
    <w:rsid w:val="00882F8D"/>
    <w:rsid w:val="00884FB0"/>
    <w:rsid w:val="008853A5"/>
    <w:rsid w:val="008944DA"/>
    <w:rsid w:val="00894D78"/>
    <w:rsid w:val="008A6A18"/>
    <w:rsid w:val="008A7803"/>
    <w:rsid w:val="008B033F"/>
    <w:rsid w:val="008B4003"/>
    <w:rsid w:val="008B7443"/>
    <w:rsid w:val="008C179E"/>
    <w:rsid w:val="008C2379"/>
    <w:rsid w:val="008C4FF7"/>
    <w:rsid w:val="008C5C4C"/>
    <w:rsid w:val="008C7056"/>
    <w:rsid w:val="008C706D"/>
    <w:rsid w:val="008D3145"/>
    <w:rsid w:val="008E1A54"/>
    <w:rsid w:val="008E1F95"/>
    <w:rsid w:val="008E2CE7"/>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44324"/>
    <w:rsid w:val="009524EB"/>
    <w:rsid w:val="0096110D"/>
    <w:rsid w:val="00962013"/>
    <w:rsid w:val="00963942"/>
    <w:rsid w:val="00966FD6"/>
    <w:rsid w:val="0096716C"/>
    <w:rsid w:val="009672B2"/>
    <w:rsid w:val="00971C66"/>
    <w:rsid w:val="00972363"/>
    <w:rsid w:val="00983DA2"/>
    <w:rsid w:val="0098419C"/>
    <w:rsid w:val="009843EF"/>
    <w:rsid w:val="009867F2"/>
    <w:rsid w:val="00991347"/>
    <w:rsid w:val="00996018"/>
    <w:rsid w:val="0099738E"/>
    <w:rsid w:val="009A0F8A"/>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58FC"/>
    <w:rsid w:val="009D694D"/>
    <w:rsid w:val="009E264E"/>
    <w:rsid w:val="009F0C98"/>
    <w:rsid w:val="009F0F81"/>
    <w:rsid w:val="009F2543"/>
    <w:rsid w:val="009F256D"/>
    <w:rsid w:val="009F341E"/>
    <w:rsid w:val="009F57CE"/>
    <w:rsid w:val="00A00EA7"/>
    <w:rsid w:val="00A02F0B"/>
    <w:rsid w:val="00A04FE0"/>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3783"/>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6B7F"/>
    <w:rsid w:val="00AB713D"/>
    <w:rsid w:val="00AC114C"/>
    <w:rsid w:val="00AC1478"/>
    <w:rsid w:val="00AC6C2D"/>
    <w:rsid w:val="00AC6E17"/>
    <w:rsid w:val="00AD2FF3"/>
    <w:rsid w:val="00AD7764"/>
    <w:rsid w:val="00AD7FE2"/>
    <w:rsid w:val="00AE1284"/>
    <w:rsid w:val="00AE1B18"/>
    <w:rsid w:val="00AE30E8"/>
    <w:rsid w:val="00AE7339"/>
    <w:rsid w:val="00AF1B0B"/>
    <w:rsid w:val="00AF242C"/>
    <w:rsid w:val="00AF3CC4"/>
    <w:rsid w:val="00B05903"/>
    <w:rsid w:val="00B05EA2"/>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65664"/>
    <w:rsid w:val="00B728DD"/>
    <w:rsid w:val="00B72D43"/>
    <w:rsid w:val="00B74121"/>
    <w:rsid w:val="00B74DBB"/>
    <w:rsid w:val="00B74E03"/>
    <w:rsid w:val="00B80ABA"/>
    <w:rsid w:val="00B859FF"/>
    <w:rsid w:val="00B85C1B"/>
    <w:rsid w:val="00B85FF0"/>
    <w:rsid w:val="00B86150"/>
    <w:rsid w:val="00B878F9"/>
    <w:rsid w:val="00B9044A"/>
    <w:rsid w:val="00B90FB1"/>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17E"/>
    <w:rsid w:val="00C0623C"/>
    <w:rsid w:val="00C06A07"/>
    <w:rsid w:val="00C132B6"/>
    <w:rsid w:val="00C1432D"/>
    <w:rsid w:val="00C21A6C"/>
    <w:rsid w:val="00C24A10"/>
    <w:rsid w:val="00C27003"/>
    <w:rsid w:val="00C27597"/>
    <w:rsid w:val="00C32BD4"/>
    <w:rsid w:val="00C33E48"/>
    <w:rsid w:val="00C3618B"/>
    <w:rsid w:val="00C403FB"/>
    <w:rsid w:val="00C41B65"/>
    <w:rsid w:val="00C4316E"/>
    <w:rsid w:val="00C441A2"/>
    <w:rsid w:val="00C504C4"/>
    <w:rsid w:val="00C5076B"/>
    <w:rsid w:val="00C512D4"/>
    <w:rsid w:val="00C51CF4"/>
    <w:rsid w:val="00C531E2"/>
    <w:rsid w:val="00C53204"/>
    <w:rsid w:val="00C57E34"/>
    <w:rsid w:val="00C64659"/>
    <w:rsid w:val="00C662E9"/>
    <w:rsid w:val="00C66C2D"/>
    <w:rsid w:val="00C673A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5F47"/>
    <w:rsid w:val="00CF606C"/>
    <w:rsid w:val="00CF7423"/>
    <w:rsid w:val="00D001F5"/>
    <w:rsid w:val="00D03E80"/>
    <w:rsid w:val="00D138A6"/>
    <w:rsid w:val="00D1505F"/>
    <w:rsid w:val="00D15B9F"/>
    <w:rsid w:val="00D15DD6"/>
    <w:rsid w:val="00D176BD"/>
    <w:rsid w:val="00D25548"/>
    <w:rsid w:val="00D2601F"/>
    <w:rsid w:val="00D27759"/>
    <w:rsid w:val="00D30028"/>
    <w:rsid w:val="00D325D3"/>
    <w:rsid w:val="00D408D6"/>
    <w:rsid w:val="00D511DD"/>
    <w:rsid w:val="00D55C2A"/>
    <w:rsid w:val="00D571C1"/>
    <w:rsid w:val="00D602F4"/>
    <w:rsid w:val="00D6457E"/>
    <w:rsid w:val="00D742E2"/>
    <w:rsid w:val="00D7580E"/>
    <w:rsid w:val="00D810CF"/>
    <w:rsid w:val="00D87DAF"/>
    <w:rsid w:val="00D93596"/>
    <w:rsid w:val="00D9446D"/>
    <w:rsid w:val="00DA2994"/>
    <w:rsid w:val="00DB08E8"/>
    <w:rsid w:val="00DB0DED"/>
    <w:rsid w:val="00DB3073"/>
    <w:rsid w:val="00DB31C4"/>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2586"/>
    <w:rsid w:val="00E03A46"/>
    <w:rsid w:val="00E03BCF"/>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66390"/>
    <w:rsid w:val="00E72F52"/>
    <w:rsid w:val="00E75CAD"/>
    <w:rsid w:val="00E76922"/>
    <w:rsid w:val="00E8595B"/>
    <w:rsid w:val="00E872EF"/>
    <w:rsid w:val="00E915EC"/>
    <w:rsid w:val="00EA11B1"/>
    <w:rsid w:val="00EA2224"/>
    <w:rsid w:val="00EA7194"/>
    <w:rsid w:val="00EB1329"/>
    <w:rsid w:val="00EB2987"/>
    <w:rsid w:val="00EB2D75"/>
    <w:rsid w:val="00EB34BE"/>
    <w:rsid w:val="00EB571A"/>
    <w:rsid w:val="00EC2804"/>
    <w:rsid w:val="00EC5925"/>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7E0"/>
    <w:rsid w:val="00F359B5"/>
    <w:rsid w:val="00F4144F"/>
    <w:rsid w:val="00F433F3"/>
    <w:rsid w:val="00F47F64"/>
    <w:rsid w:val="00F522D9"/>
    <w:rsid w:val="00F52F54"/>
    <w:rsid w:val="00F53584"/>
    <w:rsid w:val="00F600A4"/>
    <w:rsid w:val="00F61B24"/>
    <w:rsid w:val="00F62DE5"/>
    <w:rsid w:val="00F63F8A"/>
    <w:rsid w:val="00F6514E"/>
    <w:rsid w:val="00F703DC"/>
    <w:rsid w:val="00F71D06"/>
    <w:rsid w:val="00F73B46"/>
    <w:rsid w:val="00F73D01"/>
    <w:rsid w:val="00F74C95"/>
    <w:rsid w:val="00F7642B"/>
    <w:rsid w:val="00F76A43"/>
    <w:rsid w:val="00F80334"/>
    <w:rsid w:val="00F8139D"/>
    <w:rsid w:val="00F83DF9"/>
    <w:rsid w:val="00F85DA0"/>
    <w:rsid w:val="00F930AF"/>
    <w:rsid w:val="00F9352C"/>
    <w:rsid w:val="00F9528E"/>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3A5678"/>
    <w:rsid w:val="030B6598"/>
    <w:rsid w:val="03E2554B"/>
    <w:rsid w:val="061D286A"/>
    <w:rsid w:val="079004AC"/>
    <w:rsid w:val="08D4622C"/>
    <w:rsid w:val="08F27B84"/>
    <w:rsid w:val="0A110938"/>
    <w:rsid w:val="0A3C329E"/>
    <w:rsid w:val="0B290A5A"/>
    <w:rsid w:val="0F022F45"/>
    <w:rsid w:val="0F8E2C57"/>
    <w:rsid w:val="102F0C5A"/>
    <w:rsid w:val="1059665E"/>
    <w:rsid w:val="10AC13BA"/>
    <w:rsid w:val="14DA1983"/>
    <w:rsid w:val="151B30D7"/>
    <w:rsid w:val="17FF6273"/>
    <w:rsid w:val="1AEC0734"/>
    <w:rsid w:val="1C194E1B"/>
    <w:rsid w:val="1C8900A2"/>
    <w:rsid w:val="1DEF20B0"/>
    <w:rsid w:val="1F7E03C6"/>
    <w:rsid w:val="214243FA"/>
    <w:rsid w:val="222F1E4B"/>
    <w:rsid w:val="23A61C99"/>
    <w:rsid w:val="23DD7E27"/>
    <w:rsid w:val="257A14F5"/>
    <w:rsid w:val="26322018"/>
    <w:rsid w:val="26784290"/>
    <w:rsid w:val="27196C26"/>
    <w:rsid w:val="29EF086F"/>
    <w:rsid w:val="2A5227E6"/>
    <w:rsid w:val="2BB45FD3"/>
    <w:rsid w:val="2E1D6FFC"/>
    <w:rsid w:val="2EFFE297"/>
    <w:rsid w:val="301437CA"/>
    <w:rsid w:val="3304606B"/>
    <w:rsid w:val="350037BF"/>
    <w:rsid w:val="395A639B"/>
    <w:rsid w:val="3AAF36D1"/>
    <w:rsid w:val="3AC151B3"/>
    <w:rsid w:val="3AE5349D"/>
    <w:rsid w:val="3B7A0DC6"/>
    <w:rsid w:val="40F736DC"/>
    <w:rsid w:val="427F1BFD"/>
    <w:rsid w:val="42A67168"/>
    <w:rsid w:val="433E495C"/>
    <w:rsid w:val="451F3201"/>
    <w:rsid w:val="48030BB8"/>
    <w:rsid w:val="4AC27CB3"/>
    <w:rsid w:val="4BDF2CD4"/>
    <w:rsid w:val="4BF72BEF"/>
    <w:rsid w:val="4FD55530"/>
    <w:rsid w:val="5129221B"/>
    <w:rsid w:val="51DB3C59"/>
    <w:rsid w:val="54694499"/>
    <w:rsid w:val="55111B71"/>
    <w:rsid w:val="55222FC6"/>
    <w:rsid w:val="553562CD"/>
    <w:rsid w:val="55762E42"/>
    <w:rsid w:val="559B68D4"/>
    <w:rsid w:val="56C53F67"/>
    <w:rsid w:val="57A7B272"/>
    <w:rsid w:val="58470068"/>
    <w:rsid w:val="58627B7D"/>
    <w:rsid w:val="5A1720F9"/>
    <w:rsid w:val="5A1804F3"/>
    <w:rsid w:val="5B9C37C2"/>
    <w:rsid w:val="5BA7C654"/>
    <w:rsid w:val="5E3478C6"/>
    <w:rsid w:val="5FD4310E"/>
    <w:rsid w:val="604069F6"/>
    <w:rsid w:val="61D830DC"/>
    <w:rsid w:val="631E222D"/>
    <w:rsid w:val="648669A1"/>
    <w:rsid w:val="64C0607C"/>
    <w:rsid w:val="676F09E1"/>
    <w:rsid w:val="677350C2"/>
    <w:rsid w:val="6D602485"/>
    <w:rsid w:val="6F143527"/>
    <w:rsid w:val="70F52EE5"/>
    <w:rsid w:val="72516841"/>
    <w:rsid w:val="74EA042C"/>
    <w:rsid w:val="76F53C3E"/>
    <w:rsid w:val="78034139"/>
    <w:rsid w:val="79F71A7C"/>
    <w:rsid w:val="7A7F1C49"/>
    <w:rsid w:val="7B5B7AE6"/>
    <w:rsid w:val="7BA7071E"/>
    <w:rsid w:val="7BDF6DA8"/>
    <w:rsid w:val="7BE97AEA"/>
    <w:rsid w:val="7C7EDC1A"/>
    <w:rsid w:val="7CCED98D"/>
    <w:rsid w:val="7D08410F"/>
    <w:rsid w:val="7DB12889"/>
    <w:rsid w:val="7DB96DED"/>
    <w:rsid w:val="7DD3AD81"/>
    <w:rsid w:val="7E156974"/>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99"/>
    <w:pPr>
      <w:spacing w:before="100" w:beforeAutospacing="1" w:after="100" w:afterAutospacing="1"/>
      <w:ind w:right="238"/>
      <w:jc w:val="left"/>
    </w:pPr>
    <w:rPr>
      <w:b/>
      <w:kern w:val="0"/>
      <w:sz w:val="24"/>
      <w:szCs w:val="20"/>
    </w:rPr>
  </w:style>
  <w:style w:type="character" w:styleId="13">
    <w:name w:val="Strong"/>
    <w:autoRedefine/>
    <w:qFormat/>
    <w:uiPriority w:val="0"/>
    <w:rPr>
      <w:b/>
    </w:rPr>
  </w:style>
  <w:style w:type="character" w:styleId="14">
    <w:name w:val="page number"/>
    <w:qFormat/>
    <w:uiPriority w:val="0"/>
  </w:style>
  <w:style w:type="character" w:styleId="15">
    <w:name w:val="annotation reference"/>
    <w:basedOn w:val="12"/>
    <w:qFormat/>
    <w:uiPriority w:val="0"/>
    <w:rPr>
      <w:sz w:val="21"/>
      <w:szCs w:val="21"/>
    </w:rPr>
  </w:style>
  <w:style w:type="character" w:customStyle="1" w:styleId="16">
    <w:name w:val="页脚 字符"/>
    <w:link w:val="8"/>
    <w:qFormat/>
    <w:uiPriority w:val="0"/>
    <w:rPr>
      <w:rFonts w:eastAsia="宋体"/>
      <w:kern w:val="2"/>
      <w:sz w:val="18"/>
      <w:szCs w:val="18"/>
      <w:lang w:val="en-US" w:eastAsia="zh-CN" w:bidi="ar-SA"/>
    </w:rPr>
  </w:style>
  <w:style w:type="character" w:customStyle="1" w:styleId="17">
    <w:name w:val="页眉 字符"/>
    <w:link w:val="9"/>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 w:type="character" w:customStyle="1" w:styleId="22">
    <w:name w:val="font111"/>
    <w:basedOn w:val="12"/>
    <w:qFormat/>
    <w:uiPriority w:val="0"/>
    <w:rPr>
      <w:rFonts w:hint="eastAsia" w:ascii="宋体" w:hAnsi="宋体" w:eastAsia="宋体" w:cs="宋体"/>
      <w:color w:val="000000"/>
      <w:sz w:val="20"/>
      <w:szCs w:val="20"/>
      <w:u w:val="none"/>
    </w:rPr>
  </w:style>
  <w:style w:type="character" w:customStyle="1" w:styleId="23">
    <w:name w:val="font51"/>
    <w:basedOn w:val="12"/>
    <w:qFormat/>
    <w:uiPriority w:val="0"/>
    <w:rPr>
      <w:rFonts w:hint="eastAsia" w:ascii="宋体" w:hAnsi="宋体" w:eastAsia="宋体" w:cs="宋体"/>
      <w:color w:val="000000"/>
      <w:sz w:val="20"/>
      <w:szCs w:val="20"/>
      <w:u w:val="none"/>
    </w:rPr>
  </w:style>
  <w:style w:type="character" w:customStyle="1" w:styleId="24">
    <w:name w:val="font141"/>
    <w:basedOn w:val="12"/>
    <w:qFormat/>
    <w:uiPriority w:val="0"/>
    <w:rPr>
      <w:rFonts w:hint="eastAsia" w:ascii="宋体" w:hAnsi="宋体" w:eastAsia="宋体" w:cs="宋体"/>
      <w:color w:val="FF0000"/>
      <w:sz w:val="20"/>
      <w:szCs w:val="20"/>
      <w:u w:val="none"/>
    </w:rPr>
  </w:style>
  <w:style w:type="character" w:customStyle="1" w:styleId="25">
    <w:name w:val="font151"/>
    <w:basedOn w:val="12"/>
    <w:qFormat/>
    <w:uiPriority w:val="0"/>
    <w:rPr>
      <w:rFonts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收入决算</a:t>
            </a:r>
            <a:endParaRPr lang="en-US" sz="1100"/>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explosion val="0"/>
          <c:dPt>
            <c:idx val="0"/>
            <c:bubble3D val="0"/>
            <c:spPr>
              <a:solidFill>
                <a:schemeClr val="accent1"/>
              </a:solidFill>
              <a:ln>
                <a:solidFill>
                  <a:schemeClr val="bg1"/>
                </a:solidFill>
              </a:ln>
              <a:effectLst/>
            </c:spPr>
          </c:dPt>
          <c:dLbls>
            <c:dLbl>
              <c:idx val="0"/>
              <c:layout>
                <c:manualLayout>
                  <c:x val="0"/>
                  <c:y val="-0.130533503916828"/>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财政拨款收入</c:v>
                </c:pt>
              </c:strCache>
            </c:strRef>
          </c:cat>
          <c:val>
            <c:numRef>
              <c:f>Sheet1!$B$2</c:f>
              <c:numCache>
                <c:formatCode>General</c:formatCode>
                <c:ptCount val="1"/>
                <c:pt idx="0">
                  <c:v>1114.08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ayout>
        <c:manualLayout>
          <c:xMode val="edge"/>
          <c:yMode val="edge"/>
          <c:x val="0.781401309425116"/>
          <c:y val="0.402959516016418"/>
          <c:w val="0.201315095587126"/>
          <c:h val="0.28575210774204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
    <c:plotVisOnly val="1"/>
    <c:dispBlanksAs val="gap"/>
    <c:showDLblsOverMax val="0"/>
    <c:extLst>
      <c:ext uri="{0b15fc19-7d7d-44ad-8c2d-2c3a37ce22c3}">
        <chartProps xmlns="https://web.wps.cn/et/2018/main" chartId="{82e4c0e5-4e4a-445c-90ad-aea356e4bf36}"/>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8709315375982"/>
          <c:y val="0.160224089635854"/>
          <c:w val="0.429180695847363"/>
          <c:h val="0.714098972922502"/>
        </c:manualLayout>
      </c:layout>
      <c:pieChart>
        <c:varyColors val="1"/>
        <c:ser>
          <c:idx val="0"/>
          <c:order val="0"/>
          <c:tx>
            <c:strRef>
              <c:f>Sheet1!$B$1</c:f>
              <c:strCache>
                <c:ptCount val="1"/>
                <c:pt idx="0">
                  <c:v>支出决算</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179024364378695"/>
                  <c:y val="0.0109489255019593"/>
                </c:manualLayout>
              </c:layout>
              <c:tx>
                <c:rich>
                  <a:bodyPr rot="0" spcFirstLastPara="1" vertOverflow="ellipsis" vert="horz" wrap="square" lIns="38100" tIns="19050" rIns="38100" bIns="19050" anchor="ctr" anchorCtr="1">
                    <a:noAutofit/>
                  </a:bodyPr>
                  <a:lstStyle/>
                  <a:p>
                    <a:pPr defTabSz="914400">
                      <a:defRPr lang="zh-CN" sz="900" b="0" i="0" u="none" strike="noStrike" kern="1200" baseline="0">
                        <a:solidFill>
                          <a:schemeClr val="tx1">
                            <a:lumMod val="75000"/>
                            <a:lumOff val="25000"/>
                          </a:schemeClr>
                        </a:solidFill>
                        <a:latin typeface="+mn-lt"/>
                        <a:ea typeface="+mn-ea"/>
                        <a:cs typeface="+mn-cs"/>
                      </a:defRPr>
                    </a:pPr>
                    <a:r>
                      <a:t>5</a:t>
                    </a:r>
                    <a:r>
                      <a:rPr lang="en-US" altLang="zh-CN"/>
                      <a:t>0.72</a:t>
                    </a:r>
                    <a:r>
                      <a:t>%</a:t>
                    </a:r>
                    <a:endParaRPr lang="en-US" altLang="zh-CN"/>
                  </a:p>
                </c:rich>
              </c:tx>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122458000830704"/>
                      <c:h val="0.0933148062374556"/>
                    </c:manualLayout>
                  </c15:layout>
                </c:ext>
              </c:extLst>
            </c:dLbl>
            <c:dLbl>
              <c:idx val="1"/>
              <c:layout>
                <c:manualLayout>
                  <c:x val="0.176206509539843"/>
                  <c:y val="0.0234614790798208"/>
                </c:manualLayout>
              </c:layout>
              <c:tx>
                <c:rich>
                  <a:bodyPr rot="0" spcFirstLastPara="1" vertOverflow="ellipsis" vert="horz" wrap="square" lIns="38100" tIns="19050" rIns="38100" bIns="19050" anchor="ctr" anchorCtr="1">
                    <a:noAutofit/>
                  </a:bodyPr>
                  <a:lstStyle/>
                  <a:p>
                    <a:pPr defTabSz="914400">
                      <a:defRPr lang="zh-CN" sz="900" b="0" i="0" u="none" strike="noStrike" kern="1200" baseline="0">
                        <a:solidFill>
                          <a:schemeClr val="tx1">
                            <a:lumMod val="75000"/>
                            <a:lumOff val="25000"/>
                          </a:schemeClr>
                        </a:solidFill>
                        <a:latin typeface="+mn-lt"/>
                        <a:ea typeface="+mn-ea"/>
                        <a:cs typeface="+mn-cs"/>
                      </a:defRPr>
                    </a:pPr>
                    <a:r>
                      <a:t>49</a:t>
                    </a:r>
                    <a:r>
                      <a:rPr lang="en-US" altLang="zh-CN"/>
                      <a:t>.28</a:t>
                    </a:r>
                    <a:r>
                      <a:t>%</a:t>
                    </a:r>
                    <a:endParaRPr lang="en-US" altLang="zh-CN"/>
                  </a:p>
                </c:rich>
              </c:tx>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122458000830704"/>
                      <c:h val="0.108254115294412"/>
                    </c:manualLayout>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0.5072</c:v>
                </c:pt>
                <c:pt idx="1">
                  <c:v>0.4928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1e0844f-da7c-4434-af8a-818027999f0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2390</Words>
  <Characters>6119</Characters>
  <Lines>26</Lines>
  <Paragraphs>7</Paragraphs>
  <TotalTime>3</TotalTime>
  <ScaleCrop>false</ScaleCrop>
  <LinksUpToDate>false</LinksUpToDate>
  <CharactersWithSpaces>6708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ly</cp:lastModifiedBy>
  <cp:lastPrinted>2020-08-07T11:39:00Z</cp:lastPrinted>
  <dcterms:modified xsi:type="dcterms:W3CDTF">2025-09-05T07:14:21Z</dcterms:modified>
  <dc:title>北京市财政局关于做好向市人大常委会报送2015年度市级部门决算（草案）</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742E430397B14B1CABBF54EC33A03067_13</vt:lpwstr>
  </property>
  <property fmtid="{D5CDD505-2E9C-101B-9397-08002B2CF9AE}" pid="4" name="KSOTemplateDocerSaveRecord">
    <vt:lpwstr>eyJoZGlkIjoiYWUzODEzNGI4MjNmMzY4NjQ3ZDg0MDY0ODg5NDZhM2IiLCJ1c2VySWQiOiIyNjYxODY2MDEifQ==</vt:lpwstr>
  </property>
</Properties>
</file>