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1D230">
      <w:pPr>
        <w:jc w:val="center"/>
        <w:rPr>
          <w:rFonts w:ascii="仿宋_GB2312" w:eastAsia="仿宋_GB2312"/>
          <w:b/>
          <w:sz w:val="32"/>
          <w:szCs w:val="32"/>
        </w:rPr>
      </w:pPr>
    </w:p>
    <w:p w14:paraId="5412FCDD">
      <w:pPr>
        <w:jc w:val="center"/>
        <w:rPr>
          <w:rFonts w:ascii="黑体" w:eastAsia="黑体"/>
          <w:sz w:val="72"/>
          <w:szCs w:val="72"/>
        </w:rPr>
      </w:pPr>
    </w:p>
    <w:p w14:paraId="45B3750E">
      <w:pPr>
        <w:jc w:val="center"/>
        <w:rPr>
          <w:rFonts w:ascii="黑体" w:eastAsia="黑体"/>
          <w:sz w:val="72"/>
          <w:szCs w:val="72"/>
        </w:rPr>
      </w:pPr>
    </w:p>
    <w:p w14:paraId="0EB3A42E">
      <w:pPr>
        <w:jc w:val="center"/>
        <w:rPr>
          <w:rFonts w:ascii="黑体" w:eastAsia="黑体"/>
          <w:sz w:val="72"/>
          <w:szCs w:val="72"/>
        </w:rPr>
      </w:pPr>
    </w:p>
    <w:p w14:paraId="578729F7">
      <w:pPr>
        <w:jc w:val="center"/>
        <w:rPr>
          <w:rFonts w:ascii="黑体" w:eastAsia="黑体"/>
          <w:sz w:val="72"/>
          <w:szCs w:val="72"/>
        </w:rPr>
      </w:pPr>
    </w:p>
    <w:p w14:paraId="0B3DF92A">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78337E0B">
      <w:pPr>
        <w:jc w:val="center"/>
        <w:rPr>
          <w:rFonts w:ascii="黑体" w:eastAsia="黑体"/>
          <w:sz w:val="52"/>
          <w:szCs w:val="52"/>
        </w:rPr>
      </w:pPr>
    </w:p>
    <w:p w14:paraId="49D1C4E8">
      <w:pPr>
        <w:jc w:val="center"/>
        <w:rPr>
          <w:rFonts w:ascii="黑体" w:eastAsia="黑体"/>
          <w:sz w:val="52"/>
          <w:szCs w:val="52"/>
        </w:rPr>
      </w:pPr>
    </w:p>
    <w:p w14:paraId="5E5E5D10">
      <w:pPr>
        <w:jc w:val="center"/>
        <w:rPr>
          <w:rFonts w:ascii="黑体" w:eastAsia="黑体"/>
          <w:sz w:val="52"/>
          <w:szCs w:val="52"/>
        </w:rPr>
      </w:pPr>
    </w:p>
    <w:p w14:paraId="0DB25961">
      <w:pPr>
        <w:jc w:val="center"/>
        <w:rPr>
          <w:rFonts w:ascii="黑体" w:eastAsia="黑体"/>
          <w:sz w:val="52"/>
          <w:szCs w:val="52"/>
        </w:rPr>
      </w:pPr>
    </w:p>
    <w:p w14:paraId="432BB6BE">
      <w:pPr>
        <w:jc w:val="center"/>
        <w:rPr>
          <w:rFonts w:ascii="黑体" w:eastAsia="黑体"/>
          <w:sz w:val="32"/>
          <w:szCs w:val="32"/>
        </w:rPr>
      </w:pPr>
    </w:p>
    <w:p w14:paraId="45F1CA4C">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615A0E6D">
      <w:pPr>
        <w:spacing w:line="500" w:lineRule="exact"/>
        <w:ind w:firstLine="645"/>
        <w:jc w:val="center"/>
        <w:rPr>
          <w:rFonts w:hint="eastAsia" w:ascii="宋体" w:hAnsi="宋体" w:cs="宋体"/>
          <w:b/>
          <w:bCs/>
          <w:kern w:val="0"/>
          <w:sz w:val="36"/>
          <w:szCs w:val="36"/>
        </w:rPr>
      </w:pPr>
    </w:p>
    <w:p w14:paraId="32BEBAE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单位决算</w:t>
      </w:r>
      <w:r>
        <w:rPr>
          <w:rFonts w:hint="eastAsia" w:ascii="宋体" w:hAnsi="宋体" w:cs="宋体"/>
          <w:bCs/>
          <w:spacing w:val="40"/>
          <w:kern w:val="0"/>
          <w:sz w:val="32"/>
          <w:szCs w:val="32"/>
        </w:rPr>
        <w:t>报表</w:t>
      </w:r>
    </w:p>
    <w:p w14:paraId="7D363DCD">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A797C1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433BDF1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7E8027D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4909F72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70F1E68A">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29680D2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35EAD7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2EC0F73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D896923">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6D278D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13C8AD5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3CD21530">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eastAsia="zh-CN"/>
        </w:rPr>
        <w:t>单位决算</w:t>
      </w:r>
      <w:r>
        <w:rPr>
          <w:rFonts w:hint="eastAsia" w:ascii="宋体" w:hAnsi="宋体"/>
          <w:spacing w:val="40"/>
          <w:sz w:val="32"/>
          <w:szCs w:val="32"/>
        </w:rPr>
        <w:t>说明</w:t>
      </w:r>
    </w:p>
    <w:p w14:paraId="12B03351">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6FC81BB0">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14:paraId="26127E0C">
      <w:pPr>
        <w:tabs>
          <w:tab w:val="center" w:pos="6979"/>
        </w:tabs>
        <w:spacing w:before="156" w:beforeLines="50" w:after="156" w:afterLines="50"/>
        <w:jc w:val="center"/>
        <w:rPr>
          <w:rFonts w:ascii="宋体" w:hAnsi="宋体" w:cs="宋体"/>
          <w:b/>
          <w:bCs/>
          <w:spacing w:val="40"/>
          <w:kern w:val="0"/>
          <w:sz w:val="32"/>
          <w:szCs w:val="32"/>
        </w:rPr>
      </w:pPr>
    </w:p>
    <w:p w14:paraId="29D355D7">
      <w:pPr>
        <w:tabs>
          <w:tab w:val="center" w:pos="6979"/>
        </w:tabs>
        <w:spacing w:before="156" w:beforeLines="50" w:after="156" w:afterLines="50"/>
        <w:jc w:val="center"/>
        <w:rPr>
          <w:rFonts w:ascii="宋体" w:hAnsi="宋体" w:cs="宋体"/>
          <w:b/>
          <w:bCs/>
          <w:spacing w:val="40"/>
          <w:kern w:val="0"/>
          <w:sz w:val="32"/>
          <w:szCs w:val="32"/>
        </w:rPr>
      </w:pPr>
    </w:p>
    <w:p w14:paraId="5498A52B">
      <w:pPr>
        <w:tabs>
          <w:tab w:val="center" w:pos="6979"/>
        </w:tabs>
        <w:spacing w:before="156" w:beforeLines="50" w:after="156" w:afterLines="50"/>
        <w:jc w:val="center"/>
        <w:rPr>
          <w:rFonts w:ascii="宋体" w:hAnsi="宋体" w:cs="宋体"/>
          <w:b/>
          <w:bCs/>
          <w:spacing w:val="40"/>
          <w:kern w:val="0"/>
          <w:sz w:val="32"/>
          <w:szCs w:val="32"/>
        </w:rPr>
      </w:pPr>
    </w:p>
    <w:p w14:paraId="194C0F32">
      <w:pPr>
        <w:tabs>
          <w:tab w:val="center" w:pos="6979"/>
        </w:tabs>
        <w:spacing w:before="156" w:beforeLines="50" w:after="156" w:afterLines="50"/>
        <w:jc w:val="center"/>
        <w:rPr>
          <w:rFonts w:ascii="宋体" w:hAnsi="宋体" w:cs="宋体"/>
          <w:b/>
          <w:bCs/>
          <w:spacing w:val="40"/>
          <w:kern w:val="0"/>
          <w:sz w:val="32"/>
          <w:szCs w:val="32"/>
        </w:rPr>
      </w:pPr>
    </w:p>
    <w:p w14:paraId="7885370B">
      <w:pPr>
        <w:tabs>
          <w:tab w:val="center" w:pos="6979"/>
        </w:tabs>
        <w:spacing w:before="156" w:beforeLines="50" w:after="156" w:afterLines="50"/>
        <w:jc w:val="center"/>
        <w:rPr>
          <w:rFonts w:ascii="宋体" w:hAnsi="宋体" w:cs="宋体"/>
          <w:b/>
          <w:bCs/>
          <w:spacing w:val="40"/>
          <w:kern w:val="0"/>
          <w:sz w:val="32"/>
          <w:szCs w:val="32"/>
        </w:rPr>
      </w:pPr>
    </w:p>
    <w:p w14:paraId="57C45146">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单位决算</w:t>
      </w:r>
      <w:r>
        <w:rPr>
          <w:rFonts w:hint="eastAsia" w:ascii="宋体" w:hAnsi="宋体" w:cs="宋体"/>
          <w:b/>
          <w:bCs/>
          <w:spacing w:val="40"/>
          <w:kern w:val="0"/>
          <w:sz w:val="44"/>
          <w:szCs w:val="44"/>
        </w:rPr>
        <w:t>报表</w:t>
      </w:r>
    </w:p>
    <w:p w14:paraId="6603A38F">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43CFF22F">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单位决算</w:t>
      </w:r>
      <w:r>
        <w:rPr>
          <w:rFonts w:hint="eastAsia" w:ascii="宋体" w:hAnsi="宋体"/>
          <w:b/>
          <w:spacing w:val="40"/>
          <w:sz w:val="32"/>
          <w:szCs w:val="32"/>
        </w:rPr>
        <w:t>说明</w:t>
      </w:r>
    </w:p>
    <w:p w14:paraId="602B3C1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25C2B59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eastAsia="zh-CN"/>
        </w:rPr>
        <w:t>（</w:t>
      </w:r>
      <w:r>
        <w:rPr>
          <w:rFonts w:hint="eastAsia" w:ascii="仿宋_GB2312" w:eastAsia="仿宋_GB2312"/>
          <w:sz w:val="28"/>
          <w:szCs w:val="28"/>
          <w:lang w:val="en-US" w:eastAsia="zh-CN"/>
        </w:rPr>
        <w:t>一）</w:t>
      </w:r>
      <w:r>
        <w:rPr>
          <w:rFonts w:hint="eastAsia" w:ascii="仿宋_GB2312" w:eastAsia="仿宋_GB2312"/>
          <w:sz w:val="28"/>
          <w:szCs w:val="28"/>
          <w:lang w:eastAsia="zh-CN"/>
        </w:rPr>
        <w:t>单位</w:t>
      </w:r>
      <w:r>
        <w:rPr>
          <w:rFonts w:hint="eastAsia" w:ascii="仿宋_GB2312" w:eastAsia="仿宋_GB2312"/>
          <w:sz w:val="28"/>
          <w:szCs w:val="28"/>
        </w:rPr>
        <w:t>机构设置</w:t>
      </w:r>
    </w:p>
    <w:p w14:paraId="37B9144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根据中共北京市委机构编制委员会《关于市体育局所属事业单位改革有关事项的批复》文件核定，北京市体育竞赛管理和国际交流中心为北京市体育局直属正处级公益一类事业单位。北京市体育竞赛管理和国际交流中心内部机构设置为二室七部，办公室、综合管理部、奥运项目管理一部、奥运项目管理二部、非奥运项目管理部、外联部、赛事活动部、财务部</w:t>
      </w:r>
      <w:r>
        <w:rPr>
          <w:rFonts w:hint="eastAsia" w:ascii="仿宋_GB2312" w:eastAsia="仿宋_GB2312"/>
          <w:sz w:val="28"/>
          <w:szCs w:val="28"/>
          <w:lang w:val="en-US" w:eastAsia="zh-CN"/>
        </w:rPr>
        <w:t>和</w:t>
      </w:r>
      <w:r>
        <w:rPr>
          <w:rFonts w:hint="eastAsia" w:ascii="仿宋_GB2312" w:eastAsia="仿宋_GB2312"/>
          <w:sz w:val="28"/>
          <w:szCs w:val="28"/>
        </w:rPr>
        <w:t>党务宣传办公室。</w:t>
      </w:r>
    </w:p>
    <w:p w14:paraId="62C2405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lang w:eastAsia="zh-CN"/>
        </w:rPr>
        <w:t>（</w:t>
      </w:r>
      <w:r>
        <w:rPr>
          <w:rFonts w:hint="eastAsia" w:ascii="仿宋_GB2312" w:eastAsia="仿宋_GB2312"/>
          <w:sz w:val="28"/>
          <w:szCs w:val="28"/>
          <w:lang w:val="en-US" w:eastAsia="zh-CN"/>
        </w:rPr>
        <w:t>二）</w:t>
      </w:r>
      <w:r>
        <w:rPr>
          <w:rFonts w:hint="eastAsia" w:ascii="仿宋_GB2312" w:eastAsia="仿宋_GB2312"/>
          <w:sz w:val="28"/>
          <w:szCs w:val="28"/>
          <w:lang w:eastAsia="zh-CN"/>
        </w:rPr>
        <w:t>单位</w:t>
      </w:r>
      <w:r>
        <w:rPr>
          <w:rFonts w:hint="eastAsia" w:ascii="仿宋_GB2312" w:eastAsia="仿宋_GB2312"/>
          <w:sz w:val="28"/>
          <w:szCs w:val="28"/>
        </w:rPr>
        <w:t>职责</w:t>
      </w:r>
    </w:p>
    <w:p w14:paraId="52F70AA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北京市体育竞赛管理和国际交流中心的主要职责为：承担本市体育竞赛活动管理及相关事中事后监管等事务性工作；承担体育竞赛裁判员队伍建设相关工作；承办市体育局交办的各级各类体育竞赛活动；承担与各国（地区）体育组织开展合作交流相关工作。</w:t>
      </w:r>
    </w:p>
    <w:p w14:paraId="23A70634">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543EF0D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22801.36</w:t>
      </w:r>
      <w:r>
        <w:rPr>
          <w:rFonts w:hint="eastAsia" w:ascii="仿宋_GB2312" w:eastAsia="仿宋_GB2312"/>
          <w:sz w:val="28"/>
          <w:szCs w:val="28"/>
        </w:rPr>
        <w:t>万元，比上年增加10658.54万元，增长87.78%。</w:t>
      </w:r>
    </w:p>
    <w:p w14:paraId="0F88574B">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11EAFE8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17229.49</w:t>
      </w:r>
      <w:r>
        <w:rPr>
          <w:rFonts w:hint="eastAsia" w:ascii="仿宋_GB2312" w:eastAsia="仿宋_GB2312"/>
          <w:sz w:val="28"/>
          <w:szCs w:val="28"/>
        </w:rPr>
        <w:t>万元，比上年增加8017.86万元，增长87.04%。</w:t>
      </w:r>
      <w:r>
        <w:rPr>
          <w:rFonts w:hint="eastAsia" w:ascii="仿宋_GB2312" w:eastAsia="仿宋_GB2312"/>
          <w:sz w:val="28"/>
          <w:szCs w:val="28"/>
          <w:lang w:eastAsia="zh-CN"/>
        </w:rPr>
        <w:t>。</w:t>
      </w:r>
    </w:p>
    <w:p w14:paraId="297E733E">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15362.29</w:t>
      </w:r>
      <w:r>
        <w:rPr>
          <w:rFonts w:hint="eastAsia" w:ascii="仿宋_GB2312" w:eastAsia="仿宋_GB2312"/>
          <w:sz w:val="28"/>
          <w:szCs w:val="28"/>
        </w:rPr>
        <w:t>万元，占收入合计的</w:t>
      </w:r>
      <w:r>
        <w:rPr>
          <w:rFonts w:hint="eastAsia" w:ascii="仿宋_GB2312" w:eastAsia="仿宋_GB2312"/>
          <w:sz w:val="28"/>
          <w:szCs w:val="28"/>
          <w:lang w:eastAsia="zh-CN"/>
        </w:rPr>
        <w:t>89.16%。</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15322.29</w:t>
      </w:r>
      <w:r>
        <w:rPr>
          <w:rFonts w:hint="eastAsia" w:ascii="仿宋_GB2312" w:eastAsia="仿宋_GB2312"/>
          <w:sz w:val="28"/>
          <w:szCs w:val="28"/>
        </w:rPr>
        <w:t>万元，占收入合计的</w:t>
      </w:r>
      <w:r>
        <w:rPr>
          <w:rFonts w:hint="eastAsia" w:ascii="仿宋_GB2312" w:eastAsia="仿宋_GB2312"/>
          <w:sz w:val="28"/>
          <w:szCs w:val="28"/>
          <w:lang w:eastAsia="zh-CN"/>
        </w:rPr>
        <w:t>88.93</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40</w:t>
      </w:r>
      <w:r>
        <w:rPr>
          <w:rFonts w:hint="eastAsia" w:ascii="仿宋_GB2312" w:eastAsia="仿宋_GB2312"/>
          <w:sz w:val="28"/>
          <w:szCs w:val="28"/>
        </w:rPr>
        <w:t>万元，占收入合计的</w:t>
      </w:r>
      <w:r>
        <w:rPr>
          <w:rFonts w:hint="eastAsia" w:ascii="仿宋_GB2312" w:eastAsia="仿宋_GB2312"/>
          <w:sz w:val="28"/>
          <w:szCs w:val="28"/>
          <w:lang w:eastAsia="zh-CN"/>
        </w:rPr>
        <w:t>0.23</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6F4B6B3">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6E11F42">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1862.66</w:t>
      </w:r>
      <w:r>
        <w:rPr>
          <w:rFonts w:hint="eastAsia" w:ascii="仿宋_GB2312" w:eastAsia="仿宋_GB2312"/>
          <w:sz w:val="28"/>
          <w:szCs w:val="28"/>
        </w:rPr>
        <w:t>万元，占收入合计的</w:t>
      </w:r>
      <w:r>
        <w:rPr>
          <w:rFonts w:hint="eastAsia" w:ascii="仿宋_GB2312" w:eastAsia="仿宋_GB2312"/>
          <w:sz w:val="28"/>
          <w:szCs w:val="28"/>
          <w:lang w:eastAsia="zh-CN"/>
        </w:rPr>
        <w:t>10.81</w:t>
      </w:r>
      <w:r>
        <w:rPr>
          <w:rFonts w:hint="eastAsia" w:ascii="仿宋_GB2312" w:eastAsia="仿宋_GB2312"/>
          <w:sz w:val="28"/>
          <w:szCs w:val="28"/>
        </w:rPr>
        <w:t>%；</w:t>
      </w:r>
    </w:p>
    <w:p w14:paraId="1CF7962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77F537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7FDF204">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4.54</w:t>
      </w:r>
      <w:r>
        <w:rPr>
          <w:rFonts w:hint="eastAsia" w:ascii="仿宋_GB2312" w:eastAsia="仿宋_GB2312"/>
          <w:sz w:val="28"/>
          <w:szCs w:val="28"/>
        </w:rPr>
        <w:t>万元，占收入合计的</w:t>
      </w:r>
      <w:r>
        <w:rPr>
          <w:rFonts w:hint="eastAsia" w:ascii="仿宋_GB2312" w:eastAsia="仿宋_GB2312"/>
          <w:sz w:val="28"/>
          <w:szCs w:val="28"/>
          <w:lang w:eastAsia="zh-CN"/>
        </w:rPr>
        <w:t>0.03</w:t>
      </w:r>
      <w:r>
        <w:rPr>
          <w:rFonts w:hint="eastAsia" w:ascii="仿宋_GB2312" w:eastAsia="仿宋_GB2312"/>
          <w:sz w:val="28"/>
          <w:szCs w:val="28"/>
        </w:rPr>
        <w:t>%。</w:t>
      </w:r>
    </w:p>
    <w:p w14:paraId="16DE9781">
      <w:pPr>
        <w:spacing w:line="560" w:lineRule="exact"/>
        <w:ind w:firstLine="640"/>
        <w:jc w:val="center"/>
        <w:rPr>
          <w:rFonts w:hint="eastAsia"/>
        </w:rPr>
      </w:pPr>
      <w:r>
        <w:rPr>
          <w:rFonts w:hint="eastAsia" w:ascii="仿宋_GB2312" w:eastAsia="仿宋_GB2312"/>
          <w:color w:val="000000"/>
          <w:sz w:val="32"/>
        </w:rPr>
        <w:t>图1：收入决算</w:t>
      </w:r>
    </w:p>
    <w:p w14:paraId="1D037EA3">
      <w:pPr>
        <w:pStyle w:val="3"/>
        <w:ind w:firstLine="420"/>
        <w:jc w:val="center"/>
      </w:pPr>
      <w:r>
        <w:drawing>
          <wp:inline distT="0" distB="0" distL="114300" distR="114300">
            <wp:extent cx="4826000" cy="2743200"/>
            <wp:effectExtent l="4445" t="4445" r="8255" b="14605"/>
            <wp:docPr id="205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0146757">
      <w:pPr>
        <w:tabs>
          <w:tab w:val="center" w:pos="6979"/>
        </w:tabs>
        <w:spacing w:line="580" w:lineRule="exact"/>
        <w:ind w:firstLine="570"/>
        <w:rPr>
          <w:rFonts w:hint="eastAsia" w:ascii="仿宋_GB2312" w:eastAsia="仿宋_GB2312"/>
          <w:sz w:val="28"/>
          <w:szCs w:val="28"/>
        </w:rPr>
      </w:pPr>
    </w:p>
    <w:p w14:paraId="5BA5184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73429DE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15237.43</w:t>
      </w:r>
      <w:r>
        <w:rPr>
          <w:rFonts w:hint="eastAsia" w:ascii="仿宋_GB2312" w:eastAsia="仿宋_GB2312"/>
          <w:sz w:val="28"/>
          <w:szCs w:val="28"/>
        </w:rPr>
        <w:t>万元，比上年增加</w:t>
      </w:r>
      <w:r>
        <w:rPr>
          <w:rFonts w:hint="eastAsia" w:ascii="仿宋_GB2312" w:eastAsia="仿宋_GB2312"/>
          <w:sz w:val="28"/>
          <w:szCs w:val="28"/>
          <w:lang w:val="en-US" w:eastAsia="zh-CN"/>
        </w:rPr>
        <w:t>9032.11</w:t>
      </w:r>
      <w:r>
        <w:rPr>
          <w:rFonts w:hint="eastAsia" w:ascii="仿宋_GB2312" w:eastAsia="仿宋_GB2312"/>
          <w:sz w:val="28"/>
          <w:szCs w:val="28"/>
        </w:rPr>
        <w:t>万元，增长</w:t>
      </w:r>
      <w:r>
        <w:rPr>
          <w:rFonts w:hint="eastAsia" w:ascii="仿宋_GB2312" w:eastAsia="仿宋_GB2312"/>
          <w:sz w:val="28"/>
          <w:szCs w:val="28"/>
          <w:lang w:val="en-US" w:eastAsia="zh-CN"/>
        </w:rPr>
        <w:t>145.55</w:t>
      </w:r>
      <w:r>
        <w:rPr>
          <w:rFonts w:hint="eastAsia" w:ascii="仿宋_GB2312" w:eastAsia="仿宋_GB2312"/>
          <w:sz w:val="28"/>
          <w:szCs w:val="28"/>
        </w:rPr>
        <w:t>%，其中：基本支出</w:t>
      </w:r>
      <w:r>
        <w:rPr>
          <w:rFonts w:ascii="仿宋_GB2312" w:eastAsia="仿宋_GB2312"/>
          <w:sz w:val="28"/>
          <w:szCs w:val="28"/>
        </w:rPr>
        <w:t>1845.92</w:t>
      </w:r>
      <w:r>
        <w:rPr>
          <w:rFonts w:hint="eastAsia" w:ascii="仿宋_GB2312" w:eastAsia="仿宋_GB2312"/>
          <w:sz w:val="28"/>
          <w:szCs w:val="28"/>
        </w:rPr>
        <w:t>万元，占支出合计的</w:t>
      </w:r>
      <w:r>
        <w:rPr>
          <w:rFonts w:hint="eastAsia" w:ascii="仿宋_GB2312" w:eastAsia="仿宋_GB2312"/>
          <w:sz w:val="28"/>
          <w:szCs w:val="28"/>
          <w:lang w:eastAsia="zh-CN"/>
        </w:rPr>
        <w:t>12.11</w:t>
      </w:r>
      <w:r>
        <w:rPr>
          <w:rFonts w:hint="eastAsia" w:ascii="仿宋_GB2312" w:eastAsia="仿宋_GB2312"/>
          <w:sz w:val="28"/>
          <w:szCs w:val="28"/>
        </w:rPr>
        <w:t>%；项目支出</w:t>
      </w:r>
      <w:r>
        <w:rPr>
          <w:rFonts w:ascii="仿宋_GB2312" w:eastAsia="仿宋_GB2312"/>
          <w:sz w:val="28"/>
          <w:szCs w:val="28"/>
        </w:rPr>
        <w:t>13391.51</w:t>
      </w:r>
      <w:r>
        <w:rPr>
          <w:rFonts w:hint="eastAsia" w:ascii="仿宋_GB2312" w:eastAsia="仿宋_GB2312"/>
          <w:sz w:val="28"/>
          <w:szCs w:val="28"/>
        </w:rPr>
        <w:t>万元，占支出合计的</w:t>
      </w:r>
      <w:r>
        <w:rPr>
          <w:rFonts w:hint="eastAsia" w:ascii="仿宋_GB2312" w:eastAsia="仿宋_GB2312"/>
          <w:sz w:val="28"/>
          <w:szCs w:val="28"/>
          <w:lang w:eastAsia="zh-CN"/>
        </w:rPr>
        <w:t>87.89</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06398D9F">
      <w:pPr>
        <w:pStyle w:val="2"/>
        <w:jc w:val="center"/>
        <w:rPr>
          <w:rFonts w:hint="eastAsia"/>
        </w:rPr>
      </w:pPr>
      <w:r>
        <w:rPr>
          <w:rFonts w:hint="eastAsia" w:ascii="仿宋_GB2312" w:eastAsia="仿宋_GB2312"/>
          <w:color w:val="000000"/>
          <w:sz w:val="32"/>
        </w:rPr>
        <w:t>图2：基本支出和项目支出情况</w:t>
      </w:r>
    </w:p>
    <w:p w14:paraId="5EA5F981">
      <w:pPr>
        <w:jc w:val="center"/>
        <w:rPr>
          <w:rFonts w:ascii="黑体" w:eastAsia="黑体"/>
          <w:b/>
          <w:sz w:val="28"/>
          <w:szCs w:val="28"/>
        </w:rPr>
      </w:pPr>
      <w:r>
        <w:drawing>
          <wp:inline distT="0" distB="0" distL="114300" distR="114300">
            <wp:extent cx="4825365" cy="2742565"/>
            <wp:effectExtent l="4445" t="4445" r="8890" b="15240"/>
            <wp:docPr id="207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1AE998">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2117C604">
      <w:pPr>
        <w:tabs>
          <w:tab w:val="center" w:pos="6979"/>
        </w:tabs>
        <w:spacing w:line="580" w:lineRule="exact"/>
        <w:ind w:firstLine="548" w:firstLineChars="196"/>
        <w:rPr>
          <w:rFonts w:hint="eastAsia" w:ascii="仿宋_GB2312" w:eastAsia="仿宋_GB2312"/>
          <w:sz w:val="28"/>
          <w:szCs w:val="28"/>
          <w:lang w:val="en-US" w:eastAsia="zh-CN"/>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18647.38</w:t>
      </w:r>
      <w:r>
        <w:rPr>
          <w:rFonts w:hint="eastAsia" w:ascii="仿宋_GB2312" w:eastAsia="仿宋_GB2312"/>
          <w:sz w:val="28"/>
          <w:szCs w:val="28"/>
        </w:rPr>
        <w:t>万元，比上年增加</w:t>
      </w:r>
      <w:r>
        <w:rPr>
          <w:rFonts w:hint="eastAsia" w:ascii="仿宋_GB2312" w:eastAsia="仿宋_GB2312"/>
          <w:sz w:val="28"/>
          <w:szCs w:val="28"/>
          <w:lang w:val="en-US" w:eastAsia="zh-CN"/>
        </w:rPr>
        <w:t>9556.20</w:t>
      </w:r>
      <w:r>
        <w:rPr>
          <w:rFonts w:hint="eastAsia" w:ascii="仿宋_GB2312" w:eastAsia="仿宋_GB2312"/>
          <w:sz w:val="28"/>
          <w:szCs w:val="28"/>
        </w:rPr>
        <w:t>万元，增长</w:t>
      </w:r>
      <w:r>
        <w:rPr>
          <w:rFonts w:hint="eastAsia" w:ascii="仿宋_GB2312" w:eastAsia="仿宋_GB2312"/>
          <w:sz w:val="28"/>
          <w:szCs w:val="28"/>
          <w:lang w:val="en-US" w:eastAsia="zh-CN"/>
        </w:rPr>
        <w:t>105.12%</w:t>
      </w:r>
      <w:r>
        <w:rPr>
          <w:rFonts w:hint="eastAsia" w:ascii="仿宋_GB2312" w:eastAsia="仿宋_GB2312"/>
          <w:sz w:val="28"/>
          <w:szCs w:val="28"/>
        </w:rPr>
        <w:t>。主要</w:t>
      </w:r>
      <w:r>
        <w:rPr>
          <w:rFonts w:hint="eastAsia" w:ascii="仿宋_GB2312" w:eastAsia="仿宋_GB2312"/>
          <w:sz w:val="28"/>
          <w:szCs w:val="28"/>
          <w:lang w:val="en-US" w:eastAsia="zh-CN"/>
        </w:rPr>
        <w:t>原因：大力开展双奥赛事名城建设，增加了赛事筹办经费。</w:t>
      </w:r>
    </w:p>
    <w:p w14:paraId="2372019E">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508844A8">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2F134D3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14261.08</w:t>
      </w:r>
      <w:r>
        <w:rPr>
          <w:rFonts w:hint="eastAsia" w:ascii="仿宋_GB2312" w:eastAsia="仿宋_GB2312"/>
          <w:sz w:val="28"/>
          <w:szCs w:val="28"/>
        </w:rPr>
        <w:t>万元，主要用于以下方面：文化旅游体育与传媒支出</w:t>
      </w:r>
      <w:r>
        <w:rPr>
          <w:rFonts w:hint="eastAsia" w:ascii="仿宋_GB2312" w:eastAsia="仿宋_GB2312"/>
          <w:sz w:val="28"/>
          <w:szCs w:val="28"/>
          <w:lang w:val="en-US" w:eastAsia="zh-CN"/>
        </w:rPr>
        <w:t>14261.08</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99.72</w:t>
      </w:r>
      <w:r>
        <w:rPr>
          <w:rFonts w:hint="eastAsia" w:ascii="仿宋_GB2312" w:eastAsia="仿宋_GB2312"/>
          <w:sz w:val="28"/>
          <w:szCs w:val="28"/>
        </w:rPr>
        <w:t>%；。</w:t>
      </w:r>
    </w:p>
    <w:p w14:paraId="070E9C27">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3D71604C">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“文化旅游体育与传媒支出”202</w:t>
      </w:r>
      <w:r>
        <w:rPr>
          <w:rFonts w:hint="eastAsia" w:ascii="仿宋_GB2312" w:eastAsia="仿宋_GB2312"/>
          <w:sz w:val="28"/>
          <w:szCs w:val="28"/>
          <w:lang w:val="en-US" w:eastAsia="zh-CN"/>
        </w:rPr>
        <w:t>4</w:t>
      </w:r>
      <w:r>
        <w:rPr>
          <w:rFonts w:hint="eastAsia" w:ascii="仿宋_GB2312" w:eastAsia="仿宋_GB2312"/>
          <w:sz w:val="28"/>
          <w:szCs w:val="28"/>
        </w:rPr>
        <w:t>年度年初预算11058.07万元，202</w:t>
      </w:r>
      <w:r>
        <w:rPr>
          <w:rFonts w:hint="eastAsia" w:ascii="仿宋_GB2312" w:eastAsia="仿宋_GB2312"/>
          <w:sz w:val="28"/>
          <w:szCs w:val="28"/>
          <w:lang w:val="en-US" w:eastAsia="zh-CN"/>
        </w:rPr>
        <w:t>4</w:t>
      </w:r>
      <w:r>
        <w:rPr>
          <w:rFonts w:hint="eastAsia" w:ascii="仿宋_GB2312" w:eastAsia="仿宋_GB2312"/>
          <w:sz w:val="28"/>
          <w:szCs w:val="28"/>
        </w:rPr>
        <w:t>年度决算14261.08万元，</w:t>
      </w:r>
      <w:r>
        <w:rPr>
          <w:rFonts w:hint="eastAsia" w:ascii="仿宋_GB2312" w:eastAsia="仿宋_GB2312"/>
          <w:sz w:val="28"/>
          <w:szCs w:val="28"/>
          <w:lang w:eastAsia="zh-CN"/>
        </w:rPr>
        <w:t>完成年初预算的128.97%</w:t>
      </w:r>
      <w:r>
        <w:rPr>
          <w:rFonts w:hint="eastAsia" w:ascii="仿宋_GB2312" w:eastAsia="仿宋_GB2312"/>
          <w:sz w:val="28"/>
          <w:szCs w:val="28"/>
        </w:rPr>
        <w:t>。其中：</w:t>
      </w:r>
    </w:p>
    <w:p w14:paraId="73DABD1C">
      <w:pPr>
        <w:tabs>
          <w:tab w:val="center" w:pos="6979"/>
        </w:tabs>
        <w:spacing w:line="58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体育</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年度年初预算11058.07万元，202</w:t>
      </w:r>
      <w:r>
        <w:rPr>
          <w:rFonts w:hint="eastAsia" w:ascii="仿宋_GB2312" w:eastAsia="仿宋_GB2312"/>
          <w:sz w:val="28"/>
          <w:szCs w:val="28"/>
          <w:lang w:val="en-US" w:eastAsia="zh-CN"/>
        </w:rPr>
        <w:t>4</w:t>
      </w:r>
      <w:r>
        <w:rPr>
          <w:rFonts w:hint="eastAsia" w:ascii="仿宋_GB2312" w:eastAsia="仿宋_GB2312"/>
          <w:sz w:val="28"/>
          <w:szCs w:val="28"/>
        </w:rPr>
        <w:t>年度决算14261.08万元，</w:t>
      </w:r>
      <w:r>
        <w:rPr>
          <w:rFonts w:hint="eastAsia" w:ascii="仿宋_GB2312" w:eastAsia="仿宋_GB2312"/>
          <w:sz w:val="28"/>
          <w:szCs w:val="28"/>
          <w:lang w:eastAsia="zh-CN"/>
        </w:rPr>
        <w:t>完成年初预算的128.97%</w:t>
      </w:r>
      <w:r>
        <w:rPr>
          <w:rFonts w:hint="eastAsia" w:ascii="仿宋_GB2312" w:eastAsia="仿宋_GB2312"/>
          <w:sz w:val="28"/>
          <w:szCs w:val="28"/>
        </w:rPr>
        <w:t>。主要原因：</w:t>
      </w:r>
      <w:r>
        <w:rPr>
          <w:rFonts w:hint="eastAsia" w:ascii="仿宋_GB2312" w:eastAsia="仿宋_GB2312"/>
          <w:sz w:val="28"/>
          <w:szCs w:val="28"/>
          <w:lang w:val="en-US" w:eastAsia="zh-CN"/>
        </w:rPr>
        <w:t>大力开展双奥赛事名城建设，增加了赛事筹办经费。</w:t>
      </w:r>
      <w:bookmarkStart w:id="0" w:name="_GoBack"/>
      <w:bookmarkEnd w:id="0"/>
    </w:p>
    <w:p w14:paraId="38E9F1FB">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039319D4">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3203BB00">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40</w:t>
      </w:r>
      <w:r>
        <w:rPr>
          <w:rFonts w:hint="eastAsia" w:ascii="仿宋_GB2312" w:eastAsia="仿宋_GB2312"/>
          <w:sz w:val="28"/>
          <w:szCs w:val="28"/>
        </w:rPr>
        <w:t>万元，主要用于以下方面：</w:t>
      </w:r>
      <w:r>
        <w:rPr>
          <w:rFonts w:hint="eastAsia" w:ascii="仿宋_GB2312" w:eastAsia="仿宋_GB2312"/>
          <w:sz w:val="28"/>
          <w:szCs w:val="28"/>
          <w:lang w:eastAsia="zh-CN"/>
        </w:rPr>
        <w:t>其他</w:t>
      </w:r>
      <w:r>
        <w:rPr>
          <w:rFonts w:hint="eastAsia" w:ascii="仿宋_GB2312" w:eastAsia="仿宋_GB2312"/>
          <w:sz w:val="28"/>
          <w:szCs w:val="28"/>
        </w:rPr>
        <w:t>支出</w:t>
      </w:r>
      <w:r>
        <w:rPr>
          <w:rFonts w:hint="eastAsia" w:ascii="仿宋_GB2312" w:eastAsia="仿宋_GB2312"/>
          <w:sz w:val="28"/>
          <w:szCs w:val="28"/>
          <w:lang w:val="en-US" w:eastAsia="zh-CN"/>
        </w:rPr>
        <w:t>40</w:t>
      </w:r>
      <w:r>
        <w:rPr>
          <w:rFonts w:hint="eastAsia" w:ascii="仿宋_GB2312" w:eastAsia="仿宋_GB2312"/>
          <w:sz w:val="28"/>
          <w:szCs w:val="28"/>
        </w:rPr>
        <w:t>万元，占本年财政拨款支出</w:t>
      </w:r>
      <w:r>
        <w:rPr>
          <w:rFonts w:hint="eastAsia" w:ascii="仿宋_GB2312" w:eastAsia="仿宋_GB2312"/>
          <w:sz w:val="28"/>
          <w:szCs w:val="28"/>
          <w:lang w:val="en-US" w:eastAsia="zh-CN"/>
        </w:rPr>
        <w:t>0.28</w:t>
      </w:r>
      <w:r>
        <w:rPr>
          <w:rFonts w:hint="eastAsia" w:ascii="仿宋_GB2312" w:eastAsia="仿宋_GB2312"/>
          <w:sz w:val="28"/>
          <w:szCs w:val="28"/>
        </w:rPr>
        <w:t>%。</w:t>
      </w:r>
    </w:p>
    <w:p w14:paraId="67CEB63C">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7857D6D8">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eastAsia="zh-CN"/>
        </w:rPr>
        <w:t>其他</w:t>
      </w:r>
      <w:r>
        <w:rPr>
          <w:rFonts w:hint="eastAsia" w:ascii="仿宋_GB2312" w:eastAsia="仿宋_GB2312"/>
          <w:sz w:val="28"/>
          <w:szCs w:val="28"/>
        </w:rPr>
        <w:t>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w:t>
      </w:r>
    </w:p>
    <w:p w14:paraId="7A6D1DB8">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“彩票公益金安排的支出”202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40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p>
    <w:p w14:paraId="268570A5">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CBB5A49">
      <w:pPr>
        <w:ind w:firstLine="537" w:firstLineChars="192"/>
        <w:rPr>
          <w:rFonts w:ascii="仿宋_GB2312" w:eastAsia="仿宋_GB2312"/>
          <w:sz w:val="28"/>
          <w:szCs w:val="28"/>
        </w:rPr>
      </w:pPr>
      <w:r>
        <w:rPr>
          <w:rFonts w:hint="eastAsia" w:ascii="仿宋_GB2312" w:eastAsia="仿宋_GB2312"/>
          <w:sz w:val="28"/>
          <w:szCs w:val="28"/>
          <w:lang w:eastAsia="zh-CN"/>
        </w:rPr>
        <w:t>本单位无此项经费</w:t>
      </w:r>
      <w:r>
        <w:rPr>
          <w:rFonts w:hint="eastAsia" w:ascii="仿宋_GB2312" w:eastAsia="仿宋_GB2312"/>
          <w:sz w:val="28"/>
          <w:szCs w:val="28"/>
        </w:rPr>
        <w:t>。</w:t>
      </w:r>
    </w:p>
    <w:p w14:paraId="72EF3560">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7F139FB0">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1625.52</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5E38BEBC">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6C0673C0">
      <w:pPr>
        <w:tabs>
          <w:tab w:val="center" w:pos="6979"/>
        </w:tabs>
        <w:jc w:val="center"/>
        <w:rPr>
          <w:rFonts w:hint="eastAsia" w:ascii="宋体" w:hAnsi="宋体" w:cs="宋体"/>
          <w:b/>
          <w:bCs/>
          <w:spacing w:val="40"/>
          <w:kern w:val="0"/>
          <w:sz w:val="32"/>
          <w:szCs w:val="32"/>
        </w:rPr>
      </w:pPr>
    </w:p>
    <w:p w14:paraId="04BF76F6">
      <w:pPr>
        <w:tabs>
          <w:tab w:val="center" w:pos="6979"/>
        </w:tabs>
        <w:jc w:val="center"/>
        <w:rPr>
          <w:rFonts w:hint="eastAsia" w:ascii="宋体" w:hAnsi="宋体" w:cs="宋体"/>
          <w:b/>
          <w:bCs/>
          <w:spacing w:val="40"/>
          <w:kern w:val="0"/>
          <w:sz w:val="32"/>
          <w:szCs w:val="32"/>
        </w:rPr>
      </w:pPr>
    </w:p>
    <w:p w14:paraId="7190BF66">
      <w:pPr>
        <w:tabs>
          <w:tab w:val="center" w:pos="6979"/>
        </w:tabs>
        <w:jc w:val="center"/>
        <w:rPr>
          <w:rFonts w:hint="eastAsia" w:ascii="宋体" w:hAnsi="宋体" w:cs="宋体"/>
          <w:b/>
          <w:bCs/>
          <w:spacing w:val="40"/>
          <w:kern w:val="0"/>
          <w:sz w:val="32"/>
          <w:szCs w:val="32"/>
        </w:rPr>
      </w:pPr>
    </w:p>
    <w:p w14:paraId="1D8264D4">
      <w:pPr>
        <w:tabs>
          <w:tab w:val="center" w:pos="6979"/>
        </w:tabs>
        <w:jc w:val="center"/>
        <w:rPr>
          <w:rFonts w:hint="eastAsia" w:ascii="宋体" w:hAnsi="宋体" w:cs="宋体"/>
          <w:b/>
          <w:bCs/>
          <w:spacing w:val="40"/>
          <w:kern w:val="0"/>
          <w:sz w:val="32"/>
          <w:szCs w:val="32"/>
        </w:rPr>
      </w:pPr>
    </w:p>
    <w:p w14:paraId="607E439C">
      <w:pPr>
        <w:tabs>
          <w:tab w:val="center" w:pos="6979"/>
        </w:tabs>
        <w:jc w:val="center"/>
        <w:rPr>
          <w:rFonts w:hint="eastAsia" w:ascii="宋体" w:hAnsi="宋体" w:cs="宋体"/>
          <w:b/>
          <w:bCs/>
          <w:spacing w:val="40"/>
          <w:kern w:val="0"/>
          <w:sz w:val="32"/>
          <w:szCs w:val="32"/>
        </w:rPr>
      </w:pPr>
    </w:p>
    <w:p w14:paraId="10233D53">
      <w:pPr>
        <w:tabs>
          <w:tab w:val="center" w:pos="6979"/>
        </w:tabs>
        <w:jc w:val="center"/>
        <w:rPr>
          <w:rFonts w:hint="eastAsia" w:ascii="宋体" w:hAnsi="宋体" w:cs="宋体"/>
          <w:b/>
          <w:bCs/>
          <w:spacing w:val="40"/>
          <w:kern w:val="0"/>
          <w:sz w:val="32"/>
          <w:szCs w:val="32"/>
        </w:rPr>
      </w:pPr>
    </w:p>
    <w:p w14:paraId="6072FE7F">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7ED06AF5">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650825F7">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18.79</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19</w:t>
      </w:r>
      <w:r>
        <w:rPr>
          <w:rFonts w:hint="eastAsia" w:ascii="仿宋_GB2312" w:eastAsia="仿宋_GB2312"/>
          <w:sz w:val="28"/>
          <w:szCs w:val="28"/>
        </w:rPr>
        <w:t>万元减少0.21万元。其中：</w:t>
      </w:r>
    </w:p>
    <w:p w14:paraId="54C1FA8B">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年度年初预算数0万元</w:t>
      </w:r>
      <w:r>
        <w:rPr>
          <w:rFonts w:hint="eastAsia" w:ascii="仿宋_GB2312" w:eastAsia="仿宋_GB2312"/>
          <w:sz w:val="28"/>
          <w:szCs w:val="28"/>
          <w:lang w:eastAsia="zh-CN"/>
        </w:rPr>
        <w:t>持平。</w:t>
      </w:r>
    </w:p>
    <w:p w14:paraId="1A589DBB">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年度年初预算数0万元</w:t>
      </w:r>
      <w:r>
        <w:rPr>
          <w:rFonts w:hint="eastAsia" w:ascii="仿宋_GB2312" w:eastAsia="仿宋_GB2312"/>
          <w:sz w:val="28"/>
          <w:szCs w:val="28"/>
          <w:lang w:eastAsia="zh-CN"/>
        </w:rPr>
        <w:t>持平。</w:t>
      </w:r>
    </w:p>
    <w:p w14:paraId="411CC6B1">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18.79</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19</w:t>
      </w:r>
      <w:r>
        <w:rPr>
          <w:rFonts w:hint="eastAsia" w:ascii="仿宋_GB2312" w:eastAsia="仿宋_GB2312"/>
          <w:sz w:val="28"/>
          <w:szCs w:val="28"/>
        </w:rPr>
        <w:t>万元减少0.21万元。其中，公务用车购置</w:t>
      </w:r>
      <w:r>
        <w:rPr>
          <w:rFonts w:hint="eastAsia" w:ascii="仿宋_GB2312" w:eastAsia="仿宋_GB2312"/>
          <w:sz w:val="28"/>
          <w:szCs w:val="28"/>
          <w:highlight w:val="none"/>
        </w:rPr>
        <w:t>费202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年度决算数</w:t>
      </w:r>
      <w:r>
        <w:rPr>
          <w:rFonts w:hint="eastAsia" w:ascii="仿宋_GB2312" w:eastAsia="仿宋_GB2312"/>
          <w:sz w:val="28"/>
          <w:szCs w:val="28"/>
          <w:highlight w:val="none"/>
          <w:lang w:val="en-US" w:eastAsia="zh-CN"/>
        </w:rPr>
        <w:t>0</w:t>
      </w:r>
      <w:r>
        <w:rPr>
          <w:rFonts w:hint="eastAsia" w:ascii="仿宋_GB2312" w:eastAsia="仿宋_GB2312"/>
          <w:sz w:val="28"/>
          <w:szCs w:val="28"/>
          <w:highlight w:val="none"/>
        </w:rPr>
        <w:t>万元，</w:t>
      </w:r>
      <w:r>
        <w:rPr>
          <w:rFonts w:hint="eastAsia" w:ascii="仿宋_GB2312" w:eastAsia="仿宋_GB2312"/>
          <w:sz w:val="28"/>
          <w:szCs w:val="28"/>
          <w:highlight w:val="none"/>
          <w:lang w:val="en-US" w:eastAsia="zh-CN"/>
        </w:rPr>
        <w:t>2024年度更新</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辆。公务用车运行维护费202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年度决算数</w:t>
      </w:r>
      <w:r>
        <w:rPr>
          <w:rFonts w:hint="eastAsia" w:ascii="仿宋_GB2312" w:eastAsia="仿宋_GB2312"/>
          <w:sz w:val="28"/>
          <w:szCs w:val="28"/>
          <w:highlight w:val="none"/>
          <w:lang w:val="en-US" w:eastAsia="zh-CN"/>
        </w:rPr>
        <w:t>18.79</w:t>
      </w:r>
      <w:r>
        <w:rPr>
          <w:rFonts w:hint="eastAsia" w:ascii="仿宋_GB2312" w:eastAsia="仿宋_GB2312"/>
          <w:sz w:val="28"/>
          <w:szCs w:val="28"/>
          <w:highlight w:val="none"/>
        </w:rPr>
        <w:t>万元，主要原因：厉行勤俭节约，压减公务用车运行维护支出。202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年度公务用车保有量</w:t>
      </w:r>
      <w:r>
        <w:rPr>
          <w:rFonts w:ascii="仿宋_GB2312" w:eastAsia="仿宋_GB2312"/>
          <w:sz w:val="28"/>
          <w:szCs w:val="28"/>
          <w:highlight w:val="none"/>
        </w:rPr>
        <w:t>14</w:t>
      </w:r>
      <w:r>
        <w:rPr>
          <w:rFonts w:hint="eastAsia" w:ascii="仿宋_GB2312" w:eastAsia="仿宋_GB2312"/>
          <w:sz w:val="28"/>
          <w:szCs w:val="28"/>
          <w:highlight w:val="none"/>
        </w:rPr>
        <w:t>辆。</w:t>
      </w:r>
    </w:p>
    <w:p w14:paraId="4C07A019">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7D70BCE9">
      <w:pPr>
        <w:ind w:firstLine="537" w:firstLineChars="192"/>
        <w:rPr>
          <w:rFonts w:hint="eastAsia" w:ascii="仿宋_GB2312" w:eastAsia="仿宋_GB2312"/>
          <w:sz w:val="28"/>
          <w:szCs w:val="28"/>
        </w:rPr>
      </w:pPr>
      <w:r>
        <w:rPr>
          <w:rFonts w:hint="eastAsia" w:ascii="仿宋_GB2312" w:eastAsia="仿宋_GB2312"/>
          <w:sz w:val="28"/>
          <w:szCs w:val="28"/>
        </w:rPr>
        <w:t>我单位不在机关运行经费统计范围之内。</w:t>
      </w:r>
    </w:p>
    <w:p w14:paraId="2D1C1184">
      <w:pPr>
        <w:ind w:left="540"/>
        <w:rPr>
          <w:rFonts w:hint="eastAsia" w:ascii="黑体" w:eastAsia="黑体"/>
          <w:sz w:val="28"/>
          <w:szCs w:val="28"/>
        </w:rPr>
      </w:pPr>
      <w:r>
        <w:rPr>
          <w:rFonts w:hint="eastAsia" w:ascii="黑体" w:eastAsia="黑体"/>
          <w:sz w:val="28"/>
          <w:szCs w:val="28"/>
        </w:rPr>
        <w:t>三、政府采购支出情况</w:t>
      </w:r>
    </w:p>
    <w:p w14:paraId="37B5067F">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3910.34</w:t>
      </w:r>
      <w:r>
        <w:rPr>
          <w:rFonts w:hint="eastAsia" w:ascii="仿宋_GB2312" w:eastAsia="仿宋_GB2312"/>
          <w:sz w:val="28"/>
          <w:szCs w:val="28"/>
        </w:rPr>
        <w:t>万元，其中：政府采购货物支出</w:t>
      </w:r>
      <w:r>
        <w:rPr>
          <w:rFonts w:ascii="仿宋_GB2312" w:eastAsia="仿宋_GB2312"/>
          <w:sz w:val="28"/>
          <w:szCs w:val="28"/>
        </w:rPr>
        <w:t>0.9</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3909.45</w:t>
      </w:r>
      <w:r>
        <w:rPr>
          <w:rFonts w:hint="eastAsia" w:ascii="仿宋_GB2312" w:eastAsia="仿宋_GB2312"/>
          <w:sz w:val="28"/>
          <w:szCs w:val="28"/>
        </w:rPr>
        <w:t>万元。授予中小企业合同金额</w:t>
      </w:r>
      <w:r>
        <w:rPr>
          <w:rFonts w:ascii="仿宋_GB2312" w:eastAsia="仿宋_GB2312"/>
          <w:sz w:val="28"/>
          <w:szCs w:val="28"/>
        </w:rPr>
        <w:t>1273.21</w:t>
      </w:r>
      <w:r>
        <w:rPr>
          <w:rFonts w:hint="eastAsia" w:ascii="仿宋_GB2312" w:eastAsia="仿宋_GB2312"/>
          <w:sz w:val="28"/>
          <w:szCs w:val="28"/>
        </w:rPr>
        <w:t>万元，占政府采购支出总额的</w:t>
      </w:r>
      <w:r>
        <w:rPr>
          <w:rFonts w:hint="eastAsia" w:ascii="仿宋_GB2312" w:eastAsia="仿宋_GB2312"/>
          <w:sz w:val="28"/>
          <w:szCs w:val="28"/>
          <w:lang w:eastAsia="zh-CN"/>
        </w:rPr>
        <w:t>32.56</w:t>
      </w:r>
      <w:r>
        <w:rPr>
          <w:rFonts w:hint="eastAsia" w:ascii="仿宋_GB2312" w:eastAsia="仿宋_GB2312"/>
          <w:sz w:val="28"/>
          <w:szCs w:val="28"/>
        </w:rPr>
        <w:t>%，其中：授予小微企业合同金额</w:t>
      </w:r>
      <w:r>
        <w:rPr>
          <w:rFonts w:ascii="仿宋_GB2312" w:eastAsia="仿宋_GB2312"/>
          <w:sz w:val="28"/>
          <w:szCs w:val="28"/>
        </w:rPr>
        <w:t>986.34</w:t>
      </w:r>
      <w:r>
        <w:rPr>
          <w:rFonts w:hint="eastAsia" w:ascii="仿宋_GB2312" w:eastAsia="仿宋_GB2312"/>
          <w:sz w:val="28"/>
          <w:szCs w:val="28"/>
        </w:rPr>
        <w:t>万元，占政府采购支出总额的</w:t>
      </w:r>
      <w:r>
        <w:rPr>
          <w:rFonts w:ascii="仿宋_GB2312" w:eastAsia="仿宋_GB2312"/>
          <w:sz w:val="28"/>
          <w:szCs w:val="28"/>
        </w:rPr>
        <w:t>25.22</w:t>
      </w:r>
      <w:r>
        <w:rPr>
          <w:rFonts w:hint="eastAsia" w:ascii="仿宋_GB2312" w:eastAsia="仿宋_GB2312"/>
          <w:sz w:val="28"/>
          <w:szCs w:val="28"/>
        </w:rPr>
        <w:t>%。</w:t>
      </w:r>
    </w:p>
    <w:p w14:paraId="3F280CEA">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3B4F072C">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12月31日，北京市体育竞赛管理和国际交流中心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15</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7FA215F">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7CEFCCE3">
      <w:pPr>
        <w:ind w:firstLine="537" w:firstLineChars="192"/>
        <w:rPr>
          <w:rFonts w:hint="eastAsia" w:ascii="仿宋_GB2312" w:eastAsia="仿宋_GB2312"/>
          <w:sz w:val="28"/>
          <w:szCs w:val="28"/>
        </w:rPr>
      </w:pPr>
      <w:r>
        <w:rPr>
          <w:rFonts w:hint="eastAsia" w:ascii="仿宋_GB2312" w:eastAsia="仿宋_GB2312"/>
          <w:sz w:val="28"/>
          <w:szCs w:val="28"/>
        </w:rPr>
        <w:t>本单位无此项经费。</w:t>
      </w:r>
    </w:p>
    <w:p w14:paraId="099FD310">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44540000">
      <w:pPr>
        <w:ind w:firstLine="560" w:firstLineChars="200"/>
        <w:jc w:val="both"/>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24C4FFF7">
      <w:pPr>
        <w:ind w:firstLine="560" w:firstLineChars="200"/>
        <w:jc w:val="both"/>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335F85C9">
      <w:pPr>
        <w:ind w:firstLine="560" w:firstLineChars="200"/>
        <w:jc w:val="both"/>
        <w:rPr>
          <w:rFonts w:hint="eastAsia" w:ascii="仿宋_GB2312" w:eastAsia="仿宋_GB2312"/>
          <w:sz w:val="28"/>
          <w:szCs w:val="28"/>
        </w:rPr>
      </w:pPr>
      <w:r>
        <w:rPr>
          <w:rFonts w:hint="eastAsia" w:ascii="仿宋_GB2312" w:eastAsia="仿宋_GB2312"/>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84B9195">
      <w:pPr>
        <w:ind w:firstLine="560" w:firstLineChars="200"/>
        <w:jc w:val="both"/>
        <w:rPr>
          <w:rFonts w:hint="eastAsia" w:ascii="仿宋_GB2312" w:eastAsia="仿宋_GB2312"/>
          <w:sz w:val="28"/>
          <w:szCs w:val="28"/>
        </w:rPr>
      </w:pPr>
      <w:r>
        <w:rPr>
          <w:rFonts w:hint="eastAsia" w:ascii="仿宋_GB2312" w:eastAsia="仿宋_GB2312"/>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2618F2D">
      <w:pPr>
        <w:ind w:firstLine="560" w:firstLineChars="200"/>
        <w:jc w:val="both"/>
        <w:rPr>
          <w:rFonts w:hint="eastAsia" w:ascii="仿宋_GB2312" w:eastAsia="仿宋_GB2312"/>
          <w:sz w:val="28"/>
          <w:szCs w:val="28"/>
        </w:rPr>
      </w:pPr>
      <w:r>
        <w:rPr>
          <w:rFonts w:hint="eastAsia" w:ascii="仿宋_GB2312" w:eastAsia="仿宋_GB2312"/>
          <w:sz w:val="28"/>
          <w:szCs w:val="28"/>
        </w:rPr>
        <w:t>5.政府采购：指各级国家机关、事业单位和团体组织，使用财政性资金采购依法制定的集中目录以内的或者采购限额标准以上的货物、工程和服务的行为，是规范财政支出管理和强化预算约束的有效措施。</w:t>
      </w:r>
    </w:p>
    <w:p w14:paraId="6DA80EC2">
      <w:pPr>
        <w:ind w:firstLine="560" w:firstLineChars="200"/>
        <w:jc w:val="both"/>
        <w:rPr>
          <w:rFonts w:hint="eastAsia" w:ascii="仿宋_GB2312" w:eastAsia="仿宋_GB2312"/>
          <w:sz w:val="28"/>
          <w:szCs w:val="28"/>
        </w:rPr>
      </w:pPr>
      <w:r>
        <w:rPr>
          <w:rFonts w:hint="eastAsia" w:ascii="仿宋_GB2312" w:eastAsia="仿宋_GB2312"/>
          <w:sz w:val="28"/>
          <w:szCs w:val="28"/>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151F0304">
      <w:pPr>
        <w:ind w:firstLine="560" w:firstLineChars="200"/>
        <w:jc w:val="both"/>
        <w:rPr>
          <w:rFonts w:hint="eastAsia" w:ascii="仿宋_GB2312" w:eastAsia="仿宋_GB2312"/>
          <w:sz w:val="28"/>
          <w:szCs w:val="28"/>
        </w:rPr>
      </w:pPr>
      <w:r>
        <w:rPr>
          <w:rFonts w:hint="eastAsia" w:ascii="仿宋_GB2312" w:eastAsia="仿宋_GB2312"/>
          <w:sz w:val="28"/>
          <w:szCs w:val="28"/>
        </w:rPr>
        <w:t>7.教育支出（类）进修及培训（款）培训支出（项）：反映各部门安排的用于培训的支出。</w:t>
      </w:r>
    </w:p>
    <w:p w14:paraId="7D6B7FFD">
      <w:pPr>
        <w:ind w:firstLine="560" w:firstLineChars="200"/>
        <w:jc w:val="both"/>
        <w:rPr>
          <w:rFonts w:hint="eastAsia" w:ascii="仿宋_GB2312" w:eastAsia="仿宋_GB2312"/>
          <w:sz w:val="28"/>
          <w:szCs w:val="28"/>
        </w:rPr>
      </w:pPr>
      <w:r>
        <w:rPr>
          <w:rFonts w:hint="eastAsia" w:ascii="仿宋_GB2312" w:eastAsia="仿宋_GB2312"/>
          <w:sz w:val="28"/>
          <w:szCs w:val="28"/>
        </w:rPr>
        <w:t>8.文化旅游体育与传媒支出（类）体育（款）体育竞赛（项）：反映综合性运动会及单项体育比赛支出。</w:t>
      </w:r>
    </w:p>
    <w:p w14:paraId="3E6CAB0E">
      <w:pPr>
        <w:ind w:firstLine="560" w:firstLineChars="200"/>
        <w:jc w:val="both"/>
        <w:rPr>
          <w:rFonts w:hint="eastAsia" w:ascii="黑体" w:eastAsia="黑体"/>
          <w:sz w:val="32"/>
          <w:szCs w:val="32"/>
        </w:rPr>
      </w:pPr>
      <w:r>
        <w:rPr>
          <w:rFonts w:hint="eastAsia" w:ascii="仿宋_GB2312" w:eastAsia="仿宋_GB2312"/>
          <w:sz w:val="28"/>
          <w:szCs w:val="28"/>
        </w:rPr>
        <w:t>9.其他支出（类）彩票公益金安排的支出（款）用于体育事业的彩票公益金支出（项）：反映用于体育事业的彩票公益金支出。</w:t>
      </w:r>
    </w:p>
    <w:p w14:paraId="080F336F">
      <w:pPr>
        <w:tabs>
          <w:tab w:val="center" w:pos="6979"/>
        </w:tabs>
        <w:spacing w:line="380" w:lineRule="exact"/>
        <w:jc w:val="center"/>
        <w:rPr>
          <w:rFonts w:ascii="宋体" w:hAnsi="宋体" w:cs="宋体"/>
          <w:b/>
          <w:bCs/>
          <w:kern w:val="0"/>
          <w:sz w:val="28"/>
          <w:szCs w:val="28"/>
        </w:rPr>
      </w:pPr>
    </w:p>
    <w:p w14:paraId="735510D8">
      <w:pPr>
        <w:tabs>
          <w:tab w:val="center" w:pos="6979"/>
        </w:tabs>
        <w:spacing w:line="380" w:lineRule="exact"/>
        <w:jc w:val="center"/>
        <w:rPr>
          <w:rFonts w:ascii="宋体" w:hAnsi="宋体" w:cs="宋体"/>
          <w:b/>
          <w:bCs/>
          <w:kern w:val="0"/>
          <w:sz w:val="28"/>
          <w:szCs w:val="28"/>
        </w:rPr>
      </w:pPr>
    </w:p>
    <w:p w14:paraId="78239C3A">
      <w:pPr>
        <w:jc w:val="both"/>
        <w:rPr>
          <w:rFonts w:hint="eastAsia" w:ascii="黑体" w:eastAsia="黑体"/>
          <w:sz w:val="32"/>
          <w:szCs w:val="32"/>
        </w:rPr>
      </w:pPr>
    </w:p>
    <w:p w14:paraId="7C1A7A8C">
      <w:pPr>
        <w:ind w:firstLine="640" w:firstLineChars="200"/>
        <w:jc w:val="center"/>
        <w:rPr>
          <w:rFonts w:hint="eastAsia" w:ascii="黑体" w:eastAsia="黑体"/>
          <w:sz w:val="32"/>
          <w:szCs w:val="32"/>
        </w:rPr>
      </w:pPr>
    </w:p>
    <w:p w14:paraId="66AA92E5">
      <w:pPr>
        <w:ind w:firstLine="640" w:firstLineChars="200"/>
        <w:jc w:val="center"/>
        <w:rPr>
          <w:rFonts w:hint="eastAsia" w:ascii="黑体" w:eastAsia="黑体"/>
          <w:sz w:val="32"/>
          <w:szCs w:val="32"/>
        </w:rPr>
      </w:pPr>
    </w:p>
    <w:p w14:paraId="1EE962D0">
      <w:pPr>
        <w:ind w:firstLine="640" w:firstLineChars="200"/>
        <w:jc w:val="center"/>
        <w:rPr>
          <w:rFonts w:hint="eastAsia" w:ascii="黑体" w:eastAsia="黑体"/>
          <w:sz w:val="32"/>
          <w:szCs w:val="32"/>
        </w:rPr>
      </w:pPr>
    </w:p>
    <w:p w14:paraId="02ACA7EE">
      <w:pPr>
        <w:ind w:firstLine="640" w:firstLineChars="200"/>
        <w:jc w:val="center"/>
        <w:rPr>
          <w:rFonts w:hint="eastAsia" w:ascii="黑体" w:eastAsia="黑体"/>
          <w:sz w:val="32"/>
          <w:szCs w:val="32"/>
        </w:rPr>
      </w:pPr>
    </w:p>
    <w:p w14:paraId="46E74BD4">
      <w:pPr>
        <w:ind w:firstLine="640" w:firstLineChars="200"/>
        <w:jc w:val="center"/>
        <w:rPr>
          <w:rFonts w:hint="eastAsia" w:ascii="黑体" w:eastAsia="黑体"/>
          <w:sz w:val="32"/>
          <w:szCs w:val="32"/>
        </w:rPr>
      </w:pPr>
    </w:p>
    <w:p w14:paraId="4AD382C6">
      <w:pPr>
        <w:ind w:firstLine="640" w:firstLineChars="200"/>
        <w:jc w:val="center"/>
        <w:rPr>
          <w:rFonts w:hint="eastAsia" w:ascii="黑体" w:eastAsia="黑体"/>
          <w:sz w:val="32"/>
          <w:szCs w:val="32"/>
        </w:rPr>
      </w:pPr>
    </w:p>
    <w:p w14:paraId="5682364D">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val="en-US" w:eastAsia="zh-CN"/>
        </w:rPr>
        <w:t>单位</w:t>
      </w:r>
      <w:r>
        <w:rPr>
          <w:rFonts w:hint="eastAsia" w:ascii="黑体" w:eastAsia="黑体"/>
          <w:sz w:val="32"/>
          <w:szCs w:val="32"/>
        </w:rPr>
        <w:t>绩效评价情况</w:t>
      </w:r>
    </w:p>
    <w:p w14:paraId="0A5D81E6">
      <w:pPr>
        <w:ind w:firstLine="560" w:firstLineChars="200"/>
        <w:rPr>
          <w:rFonts w:hint="eastAsia" w:ascii="黑体" w:eastAsia="黑体"/>
          <w:sz w:val="28"/>
          <w:szCs w:val="28"/>
          <w:highlight w:val="yellow"/>
        </w:rPr>
      </w:pPr>
    </w:p>
    <w:p w14:paraId="06D001CE">
      <w:p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14:paraId="4D89691B">
      <w:pPr>
        <w:spacing w:line="480" w:lineRule="exact"/>
        <w:rPr>
          <w:rFonts w:hint="eastAsia" w:ascii="仿宋_GB2312" w:hAnsi="仿宋_GB2312" w:eastAsia="仿宋_GB2312" w:cs="仿宋_GB2312"/>
          <w:sz w:val="32"/>
          <w:szCs w:val="32"/>
        </w:rPr>
      </w:pPr>
    </w:p>
    <w:p w14:paraId="195A5F43">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D7D57">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2070EFF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07A6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1E4D8440">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414C">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89F30B2">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hZGY0YjhlNTFkZGY2Mjg3NTYwNjc0YjMxZjdlZjg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64A683D"/>
    <w:rsid w:val="077A3CEC"/>
    <w:rsid w:val="079004AC"/>
    <w:rsid w:val="0AD41965"/>
    <w:rsid w:val="0B7D6A04"/>
    <w:rsid w:val="0BA148CA"/>
    <w:rsid w:val="0C1165C4"/>
    <w:rsid w:val="0D6D544B"/>
    <w:rsid w:val="0DD136FE"/>
    <w:rsid w:val="0EF12AE6"/>
    <w:rsid w:val="0F8E2C57"/>
    <w:rsid w:val="1059665E"/>
    <w:rsid w:val="10AC13BA"/>
    <w:rsid w:val="11F1104F"/>
    <w:rsid w:val="145A6C1B"/>
    <w:rsid w:val="14952165"/>
    <w:rsid w:val="14B73493"/>
    <w:rsid w:val="167A2FF9"/>
    <w:rsid w:val="18581C69"/>
    <w:rsid w:val="1AEC0734"/>
    <w:rsid w:val="1AEF21EF"/>
    <w:rsid w:val="1DEF20B0"/>
    <w:rsid w:val="214243FA"/>
    <w:rsid w:val="21AD613C"/>
    <w:rsid w:val="22467189"/>
    <w:rsid w:val="23C505DF"/>
    <w:rsid w:val="257A14F5"/>
    <w:rsid w:val="27196C26"/>
    <w:rsid w:val="28690433"/>
    <w:rsid w:val="29EF086F"/>
    <w:rsid w:val="2EFFE297"/>
    <w:rsid w:val="301437CA"/>
    <w:rsid w:val="305F38FB"/>
    <w:rsid w:val="31707702"/>
    <w:rsid w:val="31B60FAE"/>
    <w:rsid w:val="347E0BAB"/>
    <w:rsid w:val="349D1F0A"/>
    <w:rsid w:val="34DD0473"/>
    <w:rsid w:val="3C684897"/>
    <w:rsid w:val="3E143542"/>
    <w:rsid w:val="433E495C"/>
    <w:rsid w:val="489F2FD7"/>
    <w:rsid w:val="4AC27CB3"/>
    <w:rsid w:val="4BF72BEF"/>
    <w:rsid w:val="4FA90297"/>
    <w:rsid w:val="4FC41A43"/>
    <w:rsid w:val="51A670F9"/>
    <w:rsid w:val="51DB3C59"/>
    <w:rsid w:val="550C0952"/>
    <w:rsid w:val="5540169E"/>
    <w:rsid w:val="55762E42"/>
    <w:rsid w:val="57A7B272"/>
    <w:rsid w:val="58470068"/>
    <w:rsid w:val="58747CAC"/>
    <w:rsid w:val="5A1720F9"/>
    <w:rsid w:val="5B9C37C2"/>
    <w:rsid w:val="5BA7C654"/>
    <w:rsid w:val="5FB7255D"/>
    <w:rsid w:val="60A54109"/>
    <w:rsid w:val="61021EFD"/>
    <w:rsid w:val="61D01CDF"/>
    <w:rsid w:val="63091321"/>
    <w:rsid w:val="64C0607C"/>
    <w:rsid w:val="65756C86"/>
    <w:rsid w:val="670603C0"/>
    <w:rsid w:val="674D385B"/>
    <w:rsid w:val="676F09E1"/>
    <w:rsid w:val="67825B46"/>
    <w:rsid w:val="6A6E7A81"/>
    <w:rsid w:val="71793A80"/>
    <w:rsid w:val="7357290B"/>
    <w:rsid w:val="73E208E9"/>
    <w:rsid w:val="77F05BF6"/>
    <w:rsid w:val="798524E4"/>
    <w:rsid w:val="7A7F1C49"/>
    <w:rsid w:val="7B5B7AE6"/>
    <w:rsid w:val="7B7B6628"/>
    <w:rsid w:val="7BA7071E"/>
    <w:rsid w:val="7BDF6DA8"/>
    <w:rsid w:val="7C7EDC1A"/>
    <w:rsid w:val="7CCED98D"/>
    <w:rsid w:val="7D08410F"/>
    <w:rsid w:val="7DB96DED"/>
    <w:rsid w:val="7DD3AD81"/>
    <w:rsid w:val="7EBF4B32"/>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2020202120222023&#30456;&#20851;&#19994;&#21153;&#36164;&#26009;\07&#20915;&#31639;\2024&#24180;&#20915;&#31639;\&#20915;&#31639;&#33609;&#26696;\&#26032;&#24314;%20XLS%20&#24037;&#20316;&#34920;2024.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20202120222023&#30456;&#20851;&#19994;&#21153;&#36164;&#26009;\07&#20915;&#31639;\2024&#24180;&#20915;&#31639;\&#20915;&#31639;&#33609;&#26696;\&#20915;&#31639;&#20844;&#24320;\&#23548;&#20986;&#25968;&#25454;\&#26032;&#24314;%20xls%20&#24037;&#20316;&#34920;202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a:t>
            </a:r>
            <a:endParaRPr sz="1400" b="1" i="0" u="none" strike="noStrike" baseline="0">
              <a:solidFill>
                <a:srgbClr val="404040">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a:solidFill>
                  <a:schemeClr val="bg1"/>
                </a:solidFill>
              </a:ln>
              <a:effectLst/>
            </c:spPr>
          </c:dPt>
          <c:dPt>
            <c:idx val="1"/>
            <c:bubble3D val="0"/>
            <c:explosion val="0"/>
            <c:spPr>
              <a:solidFill>
                <a:schemeClr val="accent2"/>
              </a:solidFill>
              <a:ln>
                <a:solidFill>
                  <a:schemeClr val="bg1"/>
                </a:solidFill>
              </a:ln>
              <a:effectLst/>
            </c:spPr>
          </c:dPt>
          <c:dPt>
            <c:idx val="2"/>
            <c:bubble3D val="0"/>
            <c:explosion val="0"/>
            <c:spPr>
              <a:solidFill>
                <a:schemeClr val="accent3"/>
              </a:solidFill>
              <a:ln>
                <a:solidFill>
                  <a:schemeClr val="bg1"/>
                </a:solidFill>
              </a:ln>
              <a:effectLst/>
            </c:spPr>
          </c:dPt>
          <c:dLbls>
            <c:dLbl>
              <c:idx val="0"/>
              <c:layout>
                <c:manualLayout>
                  <c:x val="0.110321963983436"/>
                  <c:y val="-0.0532643463003141"/>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308798541793761"/>
                  <c:y val="0.0473159440697701"/>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355613602463399"/>
                  <c:y val="0.0196203641915852"/>
                </c:manualLayout>
              </c:layout>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0"/>
            <c:extLst>
              <c:ext xmlns:c15="http://schemas.microsoft.com/office/drawing/2012/chart" uri="{CE6537A1-D6FC-4f65-9D91-7224C49458BB}">
                <c15:layout/>
                <c15:showLeaderLines val="0"/>
                <c15:leaderLines/>
              </c:ext>
            </c:extLst>
          </c:dLbls>
          <c:cat>
            <c:strRef>
              <c:f>'[新建 XLS 工作表2024.xls]制图'!$C$4:$C$6</c:f>
              <c:strCache>
                <c:ptCount val="3"/>
                <c:pt idx="0">
                  <c:v>财政拨款收入</c:v>
                </c:pt>
                <c:pt idx="1">
                  <c:v>事业收入</c:v>
                </c:pt>
                <c:pt idx="2">
                  <c:v>其他收入</c:v>
                </c:pt>
              </c:strCache>
            </c:strRef>
          </c:cat>
          <c:val>
            <c:numRef>
              <c:f>'[新建 XLS 工作表2024.xls]制图'!$D$4:$D$6</c:f>
              <c:numCache>
                <c:formatCode>General</c:formatCode>
                <c:ptCount val="3"/>
                <c:pt idx="0">
                  <c:v>15362.29</c:v>
                </c:pt>
                <c:pt idx="1">
                  <c:v>1862.66</c:v>
                </c:pt>
                <c:pt idx="2">
                  <c:v>4.54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a4213f1-918b-4074-91d6-ec8c00cc6071}"/>
      </c:ext>
    </c:extLst>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explosion val="0"/>
            <c:spPr>
              <a:solidFill>
                <a:schemeClr val="accent1"/>
              </a:solidFill>
              <a:ln>
                <a:solidFill>
                  <a:schemeClr val="bg1"/>
                </a:solidFill>
              </a:ln>
              <a:effectLst/>
            </c:spPr>
          </c:dPt>
          <c:dPt>
            <c:idx val="1"/>
            <c:bubble3D val="0"/>
            <c:explosion val="0"/>
            <c:spPr>
              <a:solidFill>
                <a:schemeClr val="accent2"/>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'[新建 xls 工作表2024.xls]制图'!$C$22:$C$23</c:f>
              <c:strCache>
                <c:ptCount val="2"/>
                <c:pt idx="0">
                  <c:v>基本支出</c:v>
                </c:pt>
                <c:pt idx="1">
                  <c:v>项目支出</c:v>
                </c:pt>
              </c:strCache>
            </c:strRef>
          </c:cat>
          <c:val>
            <c:numRef>
              <c:f>'[新建 xls 工作表2024.xls]制图'!$D$22:$D$23</c:f>
              <c:numCache>
                <c:formatCode>General</c:formatCode>
                <c:ptCount val="2"/>
                <c:pt idx="0">
                  <c:v>1845.92</c:v>
                </c:pt>
                <c:pt idx="1">
                  <c:v>13391.51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4e8ecf8-8729-4ad6-a6d9-fd638ecadcd5}"/>
      </c:ext>
    </c:extLst>
  </c:chart>
  <c:spPr>
    <a:solidFill>
      <a:schemeClr val="bg1"/>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268</Words>
  <Characters>286</Characters>
  <Lines>44</Lines>
  <Paragraphs>12</Paragraphs>
  <TotalTime>0</TotalTime>
  <ScaleCrop>false</ScaleCrop>
  <LinksUpToDate>false</LinksUpToDate>
  <CharactersWithSpaces>298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l</cp:lastModifiedBy>
  <cp:lastPrinted>2025-08-25T01:34:00Z</cp:lastPrinted>
  <dcterms:modified xsi:type="dcterms:W3CDTF">2025-09-03T09:50:13Z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eyJoZGlkIjoiMTNlNzcyMGVjMWI1YTM4ZDAzN2YxMmYxNmU5MGUzZmQiLCJ1c2VySWQiOiIxMTM2NzE2NjQ1In0=</vt:lpwstr>
  </property>
</Properties>
</file>