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8C344">
      <w:pPr>
        <w:ind w:firstLine="640" w:firstLineChars="200"/>
        <w:jc w:val="center"/>
        <w:rPr>
          <w:rFonts w:ascii="仿宋_GB2312" w:eastAsia="仿宋_GB2312"/>
          <w:b/>
          <w:sz w:val="32"/>
          <w:szCs w:val="32"/>
        </w:rPr>
      </w:pPr>
    </w:p>
    <w:p w14:paraId="6681C5BC">
      <w:pPr>
        <w:ind w:firstLine="1440" w:firstLineChars="200"/>
        <w:jc w:val="center"/>
        <w:rPr>
          <w:rFonts w:ascii="黑体" w:eastAsia="黑体"/>
          <w:sz w:val="72"/>
          <w:szCs w:val="72"/>
        </w:rPr>
      </w:pPr>
    </w:p>
    <w:p w14:paraId="1520B9AE">
      <w:pPr>
        <w:pStyle w:val="2"/>
      </w:pPr>
    </w:p>
    <w:p w14:paraId="67D37E9B">
      <w:pPr>
        <w:ind w:firstLine="1440" w:firstLineChars="200"/>
        <w:jc w:val="center"/>
        <w:rPr>
          <w:rFonts w:ascii="黑体" w:eastAsia="黑体"/>
          <w:sz w:val="72"/>
          <w:szCs w:val="72"/>
        </w:rPr>
      </w:pPr>
    </w:p>
    <w:p w14:paraId="303DAC6B">
      <w:pPr>
        <w:ind w:firstLine="1440" w:firstLineChars="200"/>
        <w:jc w:val="center"/>
        <w:rPr>
          <w:rFonts w:ascii="黑体" w:eastAsia="黑体"/>
          <w:sz w:val="72"/>
          <w:szCs w:val="72"/>
        </w:rPr>
      </w:pPr>
      <w:r>
        <w:rPr>
          <w:rFonts w:hint="eastAsia" w:ascii="黑体" w:eastAsia="黑体"/>
          <w:sz w:val="72"/>
          <w:szCs w:val="72"/>
        </w:rPr>
        <w:t>2024年度单位决算（公开</w:t>
      </w:r>
      <w:r>
        <w:rPr>
          <w:rFonts w:ascii="黑体" w:eastAsia="黑体"/>
          <w:sz w:val="72"/>
          <w:szCs w:val="72"/>
        </w:rPr>
        <w:t>）</w:t>
      </w:r>
    </w:p>
    <w:p w14:paraId="700E26EF">
      <w:pPr>
        <w:ind w:firstLine="1040" w:firstLineChars="200"/>
        <w:jc w:val="center"/>
        <w:rPr>
          <w:rFonts w:ascii="黑体" w:eastAsia="黑体"/>
          <w:sz w:val="52"/>
          <w:szCs w:val="52"/>
        </w:rPr>
      </w:pPr>
    </w:p>
    <w:p w14:paraId="56A21F08">
      <w:pPr>
        <w:ind w:firstLine="1040" w:firstLineChars="200"/>
        <w:jc w:val="center"/>
        <w:rPr>
          <w:rFonts w:ascii="黑体" w:eastAsia="黑体"/>
          <w:sz w:val="52"/>
          <w:szCs w:val="52"/>
        </w:rPr>
      </w:pPr>
    </w:p>
    <w:p w14:paraId="7D363C8E">
      <w:pPr>
        <w:ind w:firstLine="1040" w:firstLineChars="200"/>
        <w:jc w:val="center"/>
        <w:rPr>
          <w:rFonts w:ascii="黑体" w:eastAsia="黑体"/>
          <w:sz w:val="52"/>
          <w:szCs w:val="52"/>
        </w:rPr>
      </w:pPr>
    </w:p>
    <w:p w14:paraId="4CFD2592">
      <w:pPr>
        <w:pStyle w:val="2"/>
      </w:pPr>
      <w:bookmarkStart w:id="0" w:name="_GoBack"/>
      <w:bookmarkEnd w:id="0"/>
    </w:p>
    <w:p w14:paraId="50240840">
      <w:pPr>
        <w:ind w:firstLine="1040" w:firstLineChars="200"/>
        <w:jc w:val="center"/>
        <w:rPr>
          <w:rFonts w:ascii="黑体" w:eastAsia="黑体"/>
          <w:sz w:val="52"/>
          <w:szCs w:val="52"/>
        </w:rPr>
      </w:pPr>
    </w:p>
    <w:p w14:paraId="646C7365">
      <w:pPr>
        <w:spacing w:line="500" w:lineRule="exact"/>
        <w:ind w:firstLine="880" w:firstLineChars="200"/>
        <w:jc w:val="center"/>
        <w:rPr>
          <w:rFonts w:ascii="宋体" w:hAnsi="宋体" w:cs="宋体"/>
          <w:b/>
          <w:bCs/>
          <w:kern w:val="0"/>
          <w:sz w:val="44"/>
          <w:szCs w:val="36"/>
        </w:rPr>
      </w:pPr>
      <w:r>
        <w:rPr>
          <w:rFonts w:hint="eastAsia" w:ascii="宋体" w:hAnsi="宋体" w:cs="宋体"/>
          <w:b/>
          <w:bCs/>
          <w:kern w:val="0"/>
          <w:sz w:val="44"/>
          <w:szCs w:val="36"/>
        </w:rPr>
        <w:t>目    录</w:t>
      </w:r>
    </w:p>
    <w:p w14:paraId="19A13F23">
      <w:pPr>
        <w:spacing w:line="500" w:lineRule="exact"/>
        <w:ind w:firstLine="720" w:firstLineChars="200"/>
        <w:jc w:val="center"/>
        <w:rPr>
          <w:rFonts w:ascii="宋体" w:hAnsi="宋体" w:cs="宋体"/>
          <w:b/>
          <w:bCs/>
          <w:kern w:val="0"/>
          <w:sz w:val="36"/>
          <w:szCs w:val="36"/>
        </w:rPr>
      </w:pPr>
    </w:p>
    <w:p w14:paraId="61369EBC">
      <w:pPr>
        <w:tabs>
          <w:tab w:val="center" w:pos="6979"/>
        </w:tabs>
        <w:spacing w:line="500" w:lineRule="exact"/>
        <w:ind w:firstLine="800" w:firstLineChars="2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2024年度单位决算报表</w:t>
      </w:r>
    </w:p>
    <w:p w14:paraId="30B82C72">
      <w:pPr>
        <w:tabs>
          <w:tab w:val="center" w:pos="6979"/>
        </w:tabs>
        <w:spacing w:line="500" w:lineRule="exact"/>
        <w:ind w:firstLine="800" w:firstLineChars="2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01578D8">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5C353938">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464E5750">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5FBA6E4D">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528C010">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5F86A536">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37AF779">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8C6E91D">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6FB7E388">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BBC992A">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7A1AF6A6">
      <w:pPr>
        <w:tabs>
          <w:tab w:val="center" w:pos="6979"/>
        </w:tabs>
        <w:spacing w:line="500" w:lineRule="exact"/>
        <w:ind w:firstLine="800" w:firstLineChars="2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54D3CD34">
      <w:pPr>
        <w:tabs>
          <w:tab w:val="center" w:pos="6979"/>
        </w:tabs>
        <w:spacing w:line="500" w:lineRule="exact"/>
        <w:ind w:firstLine="800" w:firstLineChars="2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2024年度单位决算说明</w:t>
      </w:r>
    </w:p>
    <w:p w14:paraId="05BA294D">
      <w:pPr>
        <w:tabs>
          <w:tab w:val="center" w:pos="6979"/>
        </w:tabs>
        <w:spacing w:line="500" w:lineRule="exact"/>
        <w:ind w:firstLine="800" w:firstLineChars="2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4F07D02C">
      <w:pPr>
        <w:tabs>
          <w:tab w:val="center" w:pos="6979"/>
        </w:tabs>
        <w:spacing w:line="500" w:lineRule="exact"/>
        <w:ind w:firstLine="800" w:firstLineChars="200"/>
        <w:jc w:val="left"/>
        <w:rPr>
          <w:rFonts w:ascii="宋体" w:hAnsi="宋体" w:cs="宋体"/>
          <w:spacing w:val="40"/>
          <w:kern w:val="0"/>
          <w:sz w:val="36"/>
          <w:szCs w:val="32"/>
        </w:rPr>
      </w:pPr>
      <w:r>
        <w:rPr>
          <w:rFonts w:hint="eastAsia" w:ascii="宋体" w:hAnsi="宋体" w:cs="宋体"/>
          <w:spacing w:val="40"/>
          <w:kern w:val="0"/>
          <w:sz w:val="32"/>
          <w:szCs w:val="32"/>
        </w:rPr>
        <w:t>第四部分 2024年度单位绩效评价情况</w:t>
      </w:r>
    </w:p>
    <w:p w14:paraId="773918B5">
      <w:pPr>
        <w:tabs>
          <w:tab w:val="center" w:pos="6979"/>
        </w:tabs>
        <w:spacing w:before="156" w:beforeLines="50" w:after="156" w:afterLines="50"/>
        <w:ind w:firstLine="800" w:firstLineChars="200"/>
        <w:jc w:val="center"/>
        <w:rPr>
          <w:rFonts w:ascii="宋体" w:hAnsi="宋体" w:cs="宋体"/>
          <w:b/>
          <w:bCs/>
          <w:spacing w:val="40"/>
          <w:kern w:val="0"/>
          <w:sz w:val="32"/>
          <w:szCs w:val="32"/>
        </w:rPr>
      </w:pPr>
    </w:p>
    <w:p w14:paraId="629F498F">
      <w:pPr>
        <w:tabs>
          <w:tab w:val="center" w:pos="6979"/>
        </w:tabs>
        <w:spacing w:before="156" w:beforeLines="50" w:after="156" w:afterLines="50"/>
        <w:ind w:firstLine="800" w:firstLineChars="200"/>
        <w:jc w:val="center"/>
        <w:rPr>
          <w:rFonts w:ascii="宋体" w:hAnsi="宋体" w:cs="宋体"/>
          <w:b/>
          <w:bCs/>
          <w:spacing w:val="40"/>
          <w:kern w:val="0"/>
          <w:sz w:val="32"/>
          <w:szCs w:val="32"/>
        </w:rPr>
      </w:pPr>
    </w:p>
    <w:p w14:paraId="739A0481">
      <w:pPr>
        <w:tabs>
          <w:tab w:val="center" w:pos="6979"/>
        </w:tabs>
        <w:spacing w:before="156" w:beforeLines="50" w:after="156" w:afterLines="50"/>
        <w:ind w:firstLine="800" w:firstLineChars="200"/>
        <w:jc w:val="center"/>
        <w:rPr>
          <w:rFonts w:ascii="宋体" w:hAnsi="宋体" w:cs="宋体"/>
          <w:b/>
          <w:bCs/>
          <w:spacing w:val="40"/>
          <w:kern w:val="0"/>
          <w:sz w:val="32"/>
          <w:szCs w:val="32"/>
        </w:rPr>
      </w:pPr>
    </w:p>
    <w:p w14:paraId="16D3601A">
      <w:pPr>
        <w:tabs>
          <w:tab w:val="center" w:pos="6979"/>
        </w:tabs>
        <w:spacing w:before="156" w:beforeLines="50" w:after="156" w:afterLines="50"/>
        <w:ind w:firstLine="800" w:firstLineChars="200"/>
        <w:jc w:val="center"/>
        <w:rPr>
          <w:rFonts w:ascii="宋体" w:hAnsi="宋体" w:cs="宋体"/>
          <w:b/>
          <w:bCs/>
          <w:spacing w:val="40"/>
          <w:kern w:val="0"/>
          <w:sz w:val="32"/>
          <w:szCs w:val="32"/>
        </w:rPr>
      </w:pPr>
    </w:p>
    <w:p w14:paraId="33FE1039">
      <w:pPr>
        <w:tabs>
          <w:tab w:val="center" w:pos="6979"/>
        </w:tabs>
        <w:spacing w:before="156" w:beforeLines="50" w:after="156" w:afterLines="50"/>
        <w:ind w:firstLine="800" w:firstLineChars="200"/>
        <w:jc w:val="center"/>
        <w:rPr>
          <w:rFonts w:ascii="宋体" w:hAnsi="宋体" w:cs="宋体"/>
          <w:b/>
          <w:bCs/>
          <w:spacing w:val="40"/>
          <w:kern w:val="0"/>
          <w:sz w:val="32"/>
          <w:szCs w:val="32"/>
        </w:rPr>
      </w:pPr>
    </w:p>
    <w:p w14:paraId="07A2F936">
      <w:pPr>
        <w:tabs>
          <w:tab w:val="center" w:pos="6979"/>
        </w:tabs>
        <w:spacing w:before="156" w:beforeLines="50" w:after="156" w:afterLines="50"/>
        <w:ind w:firstLine="1040" w:firstLineChars="20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2024年度单位决算报表</w:t>
      </w:r>
    </w:p>
    <w:p w14:paraId="5A1DBE25">
      <w:pPr>
        <w:pStyle w:val="2"/>
        <w:ind w:firstLine="560" w:firstLineChars="200"/>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b w:val="0"/>
          <w:bCs w:val="0"/>
          <w:sz w:val="28"/>
          <w:szCs w:val="28"/>
        </w:rPr>
        <w:t>报表详见附件。</w:t>
      </w:r>
    </w:p>
    <w:p w14:paraId="154CBE5A">
      <w:pPr>
        <w:tabs>
          <w:tab w:val="center" w:pos="6979"/>
        </w:tabs>
        <w:spacing w:before="156" w:beforeLines="50" w:after="156" w:afterLines="50"/>
        <w:ind w:firstLine="800" w:firstLineChars="20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2024年度单位决算说明</w:t>
      </w:r>
    </w:p>
    <w:p w14:paraId="327130A4">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黑体" w:eastAsia="黑体"/>
          <w:b/>
          <w:sz w:val="28"/>
          <w:szCs w:val="28"/>
        </w:rPr>
      </w:pPr>
      <w:r>
        <w:rPr>
          <w:rFonts w:hint="eastAsia" w:ascii="黑体" w:eastAsia="黑体"/>
          <w:b/>
          <w:sz w:val="28"/>
          <w:szCs w:val="28"/>
        </w:rPr>
        <w:t>一、单位基本情况</w:t>
      </w:r>
    </w:p>
    <w:p w14:paraId="2232CA70">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s="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cs="仿宋_GB2312"/>
          <w:sz w:val="28"/>
          <w:szCs w:val="28"/>
        </w:rPr>
        <w:t>单位机构设置</w:t>
      </w:r>
    </w:p>
    <w:p w14:paraId="4EF98F0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cs="仿宋_GB2312"/>
          <w:sz w:val="28"/>
          <w:szCs w:val="28"/>
        </w:rPr>
      </w:pPr>
      <w:r>
        <w:rPr>
          <w:rFonts w:hint="eastAsia" w:ascii="仿宋_GB2312" w:eastAsia="仿宋_GB2312" w:cs="仿宋_GB2312"/>
          <w:sz w:val="28"/>
          <w:szCs w:val="28"/>
        </w:rPr>
        <w:t>根据《中共北京市委机构编制委员会关于市体育局所属事业单位改革有关事项的批复》文件核定，我单位为市体育局直属的公益一类事业单位。北京市体育设施管理中心内设5个部门，分别为：办公室、财务部、设施管理部、设施发展部、法务部。</w:t>
      </w:r>
    </w:p>
    <w:p w14:paraId="28C9A52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hAnsi="Calibri" w:eastAsia="仿宋_GB2312" w:cs="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hAnsi="Calibri" w:eastAsia="仿宋_GB2312" w:cs="仿宋_GB2312"/>
          <w:sz w:val="28"/>
          <w:szCs w:val="28"/>
        </w:rPr>
        <w:t>单位职责</w:t>
      </w:r>
    </w:p>
    <w:p w14:paraId="71C95319">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hAnsi="Calibri" w:eastAsia="仿宋_GB2312" w:cs="仿宋_GB2312"/>
          <w:sz w:val="28"/>
          <w:szCs w:val="28"/>
        </w:rPr>
      </w:pPr>
      <w:r>
        <w:rPr>
          <w:rFonts w:hint="eastAsia" w:ascii="仿宋_GB2312" w:hAnsi="Calibri" w:eastAsia="仿宋_GB2312" w:cs="仿宋_GB2312"/>
          <w:sz w:val="28"/>
          <w:szCs w:val="28"/>
        </w:rPr>
        <w:t>承担市体育局所属体育设施的管理、利用和资源整合等事务性工作。</w:t>
      </w:r>
    </w:p>
    <w:p w14:paraId="1F4F328D">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黑体" w:eastAsia="黑体"/>
          <w:b/>
          <w:sz w:val="28"/>
          <w:szCs w:val="28"/>
        </w:rPr>
      </w:pPr>
      <w:r>
        <w:rPr>
          <w:rFonts w:hint="eastAsia" w:ascii="黑体" w:eastAsia="黑体"/>
          <w:b/>
          <w:sz w:val="28"/>
          <w:szCs w:val="28"/>
        </w:rPr>
        <w:t>二、收入支出决算总体情况说明</w:t>
      </w:r>
    </w:p>
    <w:p w14:paraId="4F1FE0AB">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846.95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减少351.74万元，下降16.00%。</w:t>
      </w:r>
    </w:p>
    <w:p w14:paraId="6B2E6DCD">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0F123301">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845.68</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减少299.41万元，下降13.96%。</w:t>
      </w:r>
    </w:p>
    <w:p w14:paraId="78B21101">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845.4</w:t>
      </w:r>
      <w:r>
        <w:rPr>
          <w:rFonts w:hint="eastAsia" w:ascii="仿宋_GB2312" w:eastAsia="仿宋_GB2312"/>
          <w:sz w:val="28"/>
          <w:szCs w:val="28"/>
        </w:rPr>
        <w:t>1万元，占收入合计的99.99%。其中：一般公共预算财政拨款收入</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845.4</w:t>
      </w:r>
      <w:r>
        <w:rPr>
          <w:rFonts w:hint="eastAsia" w:ascii="仿宋_GB2312" w:eastAsia="仿宋_GB2312"/>
          <w:sz w:val="28"/>
          <w:szCs w:val="28"/>
        </w:rPr>
        <w:t>1万元，占收入合计的99.99%；政府性基金预算财政拨款收入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4410AEFD">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F48F25B">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540E7070">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55926BF3">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3CED4803">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0.27</w:t>
      </w:r>
      <w:r>
        <w:rPr>
          <w:rFonts w:hint="eastAsia" w:ascii="仿宋_GB2312" w:eastAsia="仿宋_GB2312"/>
          <w:sz w:val="28"/>
          <w:szCs w:val="28"/>
        </w:rPr>
        <w:t>万元，占收入合计的0.01%。</w:t>
      </w:r>
    </w:p>
    <w:p w14:paraId="30CF597E">
      <w:pPr>
        <w:pStyle w:val="2"/>
        <w:ind w:firstLine="640" w:firstLineChars="200"/>
        <w:jc w:val="center"/>
      </w:pPr>
      <w:r>
        <w:rPr>
          <w:rFonts w:hint="eastAsia" w:ascii="仿宋_GB2312" w:eastAsia="仿宋_GB2312"/>
          <w:color w:val="000000"/>
          <w:sz w:val="32"/>
        </w:rPr>
        <w:t>图1：收入决算</w:t>
      </w:r>
    </w:p>
    <w:p w14:paraId="67D48F23">
      <w:pPr>
        <w:pStyle w:val="3"/>
        <w:ind w:firstLine="420"/>
        <w:jc w:val="center"/>
      </w:pPr>
      <w:r>
        <w:drawing>
          <wp:inline distT="0" distB="0" distL="0" distR="0">
            <wp:extent cx="4733925" cy="2543175"/>
            <wp:effectExtent l="4445" t="5080" r="5080" b="4445"/>
            <wp:docPr id="1" name="对象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E5CDC41">
      <w:pPr>
        <w:pStyle w:val="3"/>
        <w:ind w:firstLine="420"/>
        <w:jc w:val="center"/>
      </w:pPr>
    </w:p>
    <w:p w14:paraId="4A3A7B72">
      <w:pPr>
        <w:pStyle w:val="3"/>
        <w:ind w:firstLine="420"/>
        <w:jc w:val="center"/>
      </w:pPr>
    </w:p>
    <w:p w14:paraId="2F62D923">
      <w:pPr>
        <w:pStyle w:val="3"/>
        <w:ind w:firstLine="420"/>
        <w:jc w:val="center"/>
      </w:pPr>
    </w:p>
    <w:p w14:paraId="4E98195B">
      <w:pPr>
        <w:pStyle w:val="3"/>
        <w:ind w:firstLine="420"/>
        <w:jc w:val="center"/>
      </w:pPr>
    </w:p>
    <w:p w14:paraId="090EA62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03FE5A92">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836.2</w:t>
      </w:r>
      <w:r>
        <w:rPr>
          <w:rFonts w:hint="eastAsia" w:ascii="仿宋_GB2312" w:eastAsia="仿宋_GB2312"/>
          <w:sz w:val="28"/>
          <w:szCs w:val="28"/>
        </w:rPr>
        <w:t>0万元，</w:t>
      </w:r>
      <w:r>
        <w:rPr>
          <w:rFonts w:ascii="仿宋_GB2312" w:eastAsia="仿宋_GB2312"/>
          <w:sz w:val="28"/>
          <w:szCs w:val="28"/>
        </w:rPr>
        <w:t>比上年</w:t>
      </w:r>
      <w:r>
        <w:rPr>
          <w:rFonts w:hint="eastAsia" w:ascii="仿宋_GB2312" w:eastAsia="仿宋_GB2312"/>
          <w:sz w:val="28"/>
          <w:szCs w:val="28"/>
        </w:rPr>
        <w:t>减少113.6</w:t>
      </w:r>
      <w:r>
        <w:rPr>
          <w:rFonts w:hint="eastAsia" w:ascii="仿宋_GB2312" w:eastAsia="仿宋_GB2312"/>
          <w:sz w:val="28"/>
          <w:szCs w:val="28"/>
          <w:lang w:val="en-US" w:eastAsia="zh-CN"/>
        </w:rPr>
        <w:t>2</w:t>
      </w:r>
      <w:r>
        <w:rPr>
          <w:rFonts w:hint="eastAsia" w:ascii="仿宋_GB2312" w:eastAsia="仿宋_GB2312"/>
          <w:sz w:val="28"/>
          <w:szCs w:val="28"/>
        </w:rPr>
        <w:t>万元，下降5.83%，其中：基本支出</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221.37</w:t>
      </w:r>
      <w:r>
        <w:rPr>
          <w:rFonts w:hint="eastAsia" w:ascii="仿宋_GB2312" w:eastAsia="仿宋_GB2312"/>
          <w:sz w:val="28"/>
          <w:szCs w:val="28"/>
        </w:rPr>
        <w:t>万元，占支出合计的66.52%；项目支出</w:t>
      </w:r>
      <w:r>
        <w:rPr>
          <w:rFonts w:ascii="仿宋_GB2312" w:eastAsia="仿宋_GB2312"/>
          <w:sz w:val="28"/>
          <w:szCs w:val="28"/>
        </w:rPr>
        <w:t>614.83</w:t>
      </w:r>
      <w:r>
        <w:rPr>
          <w:rFonts w:hint="eastAsia" w:ascii="仿宋_GB2312" w:eastAsia="仿宋_GB2312"/>
          <w:sz w:val="28"/>
          <w:szCs w:val="28"/>
        </w:rPr>
        <w:t>万元，占支出合计的33.48%；上缴上级支出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342D846B">
      <w:pPr>
        <w:spacing w:line="560" w:lineRule="exact"/>
        <w:ind w:firstLine="640" w:firstLineChars="200"/>
        <w:rPr>
          <w:rFonts w:ascii="仿宋_GB2312" w:eastAsia="仿宋_GB2312" w:cs="Droid Sans"/>
          <w:color w:val="000000"/>
          <w:sz w:val="32"/>
          <w:szCs w:val="32"/>
        </w:rPr>
      </w:pPr>
    </w:p>
    <w:p w14:paraId="552D7A10">
      <w:pPr>
        <w:pStyle w:val="2"/>
        <w:ind w:firstLine="640" w:firstLineChars="200"/>
        <w:jc w:val="center"/>
        <w:rPr>
          <w:rFonts w:ascii="仿宋_GB2312" w:eastAsia="仿宋_GB2312"/>
          <w:color w:val="000000"/>
          <w:sz w:val="32"/>
        </w:rPr>
      </w:pPr>
      <w:r>
        <w:rPr>
          <w:rFonts w:hint="eastAsia" w:ascii="仿宋_GB2312" w:eastAsia="仿宋_GB2312"/>
          <w:color w:val="000000"/>
          <w:sz w:val="32"/>
        </w:rPr>
        <w:t>图2：基本支出和项目支出情况</w:t>
      </w:r>
    </w:p>
    <w:p w14:paraId="00FF0224">
      <w:pPr>
        <w:ind w:firstLine="420" w:firstLineChars="200"/>
        <w:jc w:val="center"/>
        <w:rPr>
          <w:rFonts w:ascii="黑体" w:eastAsia="黑体"/>
          <w:b/>
          <w:sz w:val="28"/>
          <w:szCs w:val="28"/>
        </w:rPr>
      </w:pPr>
      <w:r>
        <w:drawing>
          <wp:inline distT="0" distB="0" distL="0" distR="0">
            <wp:extent cx="4295775" cy="2762250"/>
            <wp:effectExtent l="0" t="0" r="0" b="0"/>
            <wp:docPr id="4" name="对象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6F2FD5A">
      <w:pPr>
        <w:ind w:firstLine="200"/>
      </w:pPr>
    </w:p>
    <w:p w14:paraId="3E244591">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410BF90">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845.4</w:t>
      </w:r>
      <w:r>
        <w:rPr>
          <w:rFonts w:hint="eastAsia" w:ascii="仿宋_GB2312" w:eastAsia="仿宋_GB2312"/>
          <w:sz w:val="28"/>
          <w:szCs w:val="28"/>
        </w:rPr>
        <w:t>0万元，比上年减少352.89万元，下降16.05%。主要原因：一是人员减少；二是落实厉行节约政策，压减项目支出。</w:t>
      </w:r>
    </w:p>
    <w:p w14:paraId="5E6A0AB2">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hint="eastAsia" w:ascii="黑体" w:eastAsia="黑体"/>
          <w:b/>
          <w:sz w:val="28"/>
          <w:szCs w:val="28"/>
        </w:rPr>
      </w:pPr>
      <w:r>
        <w:rPr>
          <w:rFonts w:hint="eastAsia" w:ascii="黑体" w:eastAsia="黑体"/>
          <w:b/>
          <w:sz w:val="28"/>
          <w:szCs w:val="28"/>
        </w:rPr>
        <w:t>四、一般公共预算财政拨款支出决算情况说明</w:t>
      </w:r>
    </w:p>
    <w:p w14:paraId="1597D30F">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ascii="黑体" w:eastAsia="黑体"/>
          <w:b/>
          <w:sz w:val="28"/>
          <w:szCs w:val="28"/>
        </w:rPr>
      </w:pPr>
      <w:r>
        <w:rPr>
          <w:rFonts w:hint="eastAsia" w:ascii="仿宋_GB2312" w:eastAsia="仿宋_GB2312"/>
          <w:sz w:val="28"/>
          <w:szCs w:val="28"/>
        </w:rPr>
        <w:t>（一）一般公共预算财政拨款支出决算总体情况</w:t>
      </w:r>
    </w:p>
    <w:p w14:paraId="380A7900">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hint="eastAsia"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836.2</w:t>
      </w:r>
      <w:r>
        <w:rPr>
          <w:rFonts w:hint="eastAsia" w:ascii="仿宋_GB2312" w:eastAsia="仿宋_GB2312"/>
          <w:sz w:val="28"/>
          <w:szCs w:val="28"/>
        </w:rPr>
        <w:t>0万元，主要用于以下方面：</w:t>
      </w:r>
      <w:r>
        <w:rPr>
          <w:rFonts w:hint="eastAsia" w:ascii="仿宋_GB2312" w:hAnsi="仿宋" w:eastAsia="仿宋_GB2312" w:cs="仿宋"/>
          <w:sz w:val="28"/>
          <w:szCs w:val="28"/>
        </w:rPr>
        <w:t>文化旅游体育与传媒支出1</w:t>
      </w:r>
      <w:r>
        <w:rPr>
          <w:rFonts w:hint="eastAsia" w:ascii="仿宋_GB2312" w:hAnsi="仿宋" w:eastAsia="仿宋_GB2312" w:cs="仿宋"/>
          <w:sz w:val="28"/>
          <w:szCs w:val="28"/>
          <w:lang w:val="en-US" w:eastAsia="zh-CN"/>
        </w:rPr>
        <w:t>,</w:t>
      </w:r>
      <w:r>
        <w:rPr>
          <w:rFonts w:hint="eastAsia" w:ascii="仿宋_GB2312" w:hAnsi="仿宋" w:eastAsia="仿宋_GB2312" w:cs="仿宋"/>
          <w:sz w:val="28"/>
          <w:szCs w:val="28"/>
        </w:rPr>
        <w:t>835.67元，占本年财政拨款支出99.97%；社会保障和就业支出0.53万元，占本年财政拨款支出0.03%。</w:t>
      </w:r>
    </w:p>
    <w:p w14:paraId="1FF6CEF3">
      <w:pPr>
        <w:keepNext w:val="0"/>
        <w:keepLines w:val="0"/>
        <w:pageBreakBefore w:val="0"/>
        <w:widowControl w:val="0"/>
        <w:tabs>
          <w:tab w:val="center" w:pos="6979"/>
        </w:tabs>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（二）一般公共预算财政拨款支出决算具体情况</w:t>
      </w:r>
    </w:p>
    <w:p w14:paraId="63DDD204">
      <w:pPr>
        <w:keepNext w:val="0"/>
        <w:keepLines w:val="0"/>
        <w:pageBreakBefore w:val="0"/>
        <w:widowControl w:val="0"/>
        <w:kinsoku/>
        <w:wordWrap/>
        <w:overflowPunct/>
        <w:topLinePunct w:val="0"/>
        <w:autoSpaceDE w:val="0"/>
        <w:autoSpaceDN w:val="0"/>
        <w:bidi w:val="0"/>
        <w:adjustRightInd w:val="0"/>
        <w:snapToGrid/>
        <w:spacing w:line="580" w:lineRule="exact"/>
        <w:ind w:left="0" w:leftChars="0" w:firstLine="560" w:firstLineChars="200"/>
        <w:jc w:val="left"/>
        <w:textAlignment w:val="auto"/>
        <w:rPr>
          <w:rFonts w:ascii="仿宋_GB2312" w:eastAsia="仿宋_GB2312"/>
          <w:sz w:val="28"/>
          <w:szCs w:val="28"/>
        </w:rPr>
      </w:pPr>
      <w:r>
        <w:rPr>
          <w:rFonts w:hint="eastAsia" w:ascii="仿宋_GB2312" w:eastAsia="仿宋_GB2312"/>
          <w:sz w:val="28"/>
          <w:szCs w:val="28"/>
        </w:rPr>
        <w:t>1.“文化旅游体育与传媒支出”2024年度预算1</w:t>
      </w:r>
      <w:r>
        <w:rPr>
          <w:rFonts w:hint="eastAsia" w:ascii="仿宋_GB2312" w:eastAsia="仿宋_GB2312"/>
          <w:sz w:val="28"/>
          <w:szCs w:val="28"/>
          <w:lang w:val="en-US" w:eastAsia="zh-CN"/>
        </w:rPr>
        <w:t>,</w:t>
      </w:r>
      <w:r>
        <w:rPr>
          <w:rFonts w:hint="eastAsia" w:ascii="仿宋_GB2312" w:eastAsia="仿宋_GB2312"/>
          <w:sz w:val="28"/>
          <w:szCs w:val="28"/>
        </w:rPr>
        <w:t>861.43万元，2024年度决算1</w:t>
      </w:r>
      <w:r>
        <w:rPr>
          <w:rFonts w:hint="eastAsia" w:ascii="仿宋_GB2312" w:eastAsia="仿宋_GB2312"/>
          <w:sz w:val="28"/>
          <w:szCs w:val="28"/>
          <w:lang w:val="en-US" w:eastAsia="zh-CN"/>
        </w:rPr>
        <w:t>,</w:t>
      </w:r>
      <w:r>
        <w:rPr>
          <w:rFonts w:hint="eastAsia" w:ascii="仿宋_GB2312" w:eastAsia="仿宋_GB2312"/>
          <w:sz w:val="28"/>
          <w:szCs w:val="28"/>
        </w:rPr>
        <w:t>835.67万元，完成年初预算的98.62%。其中：</w:t>
      </w:r>
    </w:p>
    <w:p w14:paraId="14B64DA7">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“体育”2024年度年初预算1</w:t>
      </w:r>
      <w:r>
        <w:rPr>
          <w:rFonts w:hint="eastAsia" w:ascii="仿宋_GB2312" w:eastAsia="仿宋_GB2312"/>
          <w:sz w:val="28"/>
          <w:szCs w:val="28"/>
          <w:lang w:val="en-US" w:eastAsia="zh-CN"/>
        </w:rPr>
        <w:t>,</w:t>
      </w:r>
      <w:r>
        <w:rPr>
          <w:rFonts w:hint="eastAsia" w:ascii="仿宋_GB2312" w:eastAsia="仿宋_GB2312"/>
          <w:sz w:val="28"/>
          <w:szCs w:val="28"/>
        </w:rPr>
        <w:t>861.43万元，2024年度决算1</w:t>
      </w:r>
      <w:r>
        <w:rPr>
          <w:rFonts w:hint="eastAsia" w:ascii="仿宋_GB2312" w:eastAsia="仿宋_GB2312"/>
          <w:sz w:val="28"/>
          <w:szCs w:val="28"/>
          <w:lang w:val="en-US" w:eastAsia="zh-CN"/>
        </w:rPr>
        <w:t>,</w:t>
      </w:r>
      <w:r>
        <w:rPr>
          <w:rFonts w:hint="eastAsia" w:ascii="仿宋_GB2312" w:eastAsia="仿宋_GB2312"/>
          <w:sz w:val="28"/>
          <w:szCs w:val="28"/>
        </w:rPr>
        <w:t>835.67万元，完成年初预算的98.62%。与年初预算数基本持平。</w:t>
      </w:r>
    </w:p>
    <w:p w14:paraId="7B763E47">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2、</w:t>
      </w:r>
      <w:r>
        <w:rPr>
          <w:rFonts w:hint="eastAsia" w:ascii="仿宋_GB2312" w:hAnsi="仿宋" w:eastAsia="仿宋_GB2312" w:cs="仿宋"/>
          <w:sz w:val="28"/>
          <w:szCs w:val="28"/>
        </w:rPr>
        <w:t>“社会保障和就业支出”</w:t>
      </w:r>
      <w:r>
        <w:rPr>
          <w:rFonts w:hint="eastAsia" w:ascii="仿宋_GB2312" w:eastAsia="仿宋_GB2312"/>
          <w:sz w:val="28"/>
          <w:szCs w:val="28"/>
        </w:rPr>
        <w:t>2024年度年初预算0.53万元，2024年度决算0.53万元，完成年初预算的100.00%。其中：</w:t>
      </w:r>
    </w:p>
    <w:p w14:paraId="0B3A6C43">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hAnsi="仿宋" w:eastAsia="仿宋_GB2312" w:cs="仿宋"/>
          <w:sz w:val="28"/>
          <w:szCs w:val="28"/>
        </w:rPr>
      </w:pPr>
      <w:r>
        <w:rPr>
          <w:rFonts w:hint="eastAsia" w:ascii="仿宋_GB2312" w:hAnsi="仿宋" w:eastAsia="仿宋_GB2312" w:cs="仿宋"/>
          <w:sz w:val="28"/>
          <w:szCs w:val="28"/>
        </w:rPr>
        <w:t>“行政事业单位养老支出”</w:t>
      </w:r>
      <w:r>
        <w:rPr>
          <w:rFonts w:hint="eastAsia" w:ascii="仿宋_GB2312" w:eastAsia="仿宋_GB2312"/>
          <w:sz w:val="28"/>
          <w:szCs w:val="28"/>
        </w:rPr>
        <w:t>2024年度年初预算0.53万元，2024年度决算0.53万元，完成年初预算的100.00%。</w:t>
      </w:r>
    </w:p>
    <w:p w14:paraId="65518FCE">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黑体" w:eastAsia="黑体"/>
          <w:b/>
          <w:sz w:val="28"/>
          <w:szCs w:val="28"/>
        </w:rPr>
        <w:t>五、政府性基金预算财政拨款支出决算情况说明</w:t>
      </w:r>
    </w:p>
    <w:p w14:paraId="2DE47E55">
      <w:pPr>
        <w:pStyle w:val="10"/>
        <w:keepNext w:val="0"/>
        <w:keepLines w:val="0"/>
        <w:pageBreakBefore w:val="0"/>
        <w:widowControl w:val="0"/>
        <w:kinsoku/>
        <w:wordWrap/>
        <w:overflowPunct/>
        <w:topLinePunct w:val="0"/>
        <w:bidi w:val="0"/>
        <w:snapToGrid/>
        <w:spacing w:before="0" w:beforeAutospacing="0" w:after="0" w:afterAutospacing="0" w:line="580" w:lineRule="exact"/>
        <w:ind w:left="0" w:leftChars="0" w:right="0" w:firstLine="560" w:firstLineChars="200"/>
        <w:jc w:val="both"/>
        <w:textAlignment w:val="auto"/>
        <w:rPr>
          <w:rFonts w:ascii="仿宋_GB2312" w:hAnsi="仿宋" w:eastAsia="仿宋_GB2312" w:cs="仿宋"/>
          <w:b w:val="0"/>
          <w:bCs/>
          <w:kern w:val="2"/>
          <w:sz w:val="28"/>
          <w:szCs w:val="28"/>
        </w:rPr>
      </w:pPr>
      <w:r>
        <w:rPr>
          <w:rFonts w:hint="eastAsia" w:ascii="仿宋_GB2312" w:hAnsi="仿宋" w:eastAsia="仿宋_GB2312" w:cs="仿宋"/>
          <w:b w:val="0"/>
          <w:bCs/>
          <w:kern w:val="2"/>
          <w:sz w:val="28"/>
          <w:szCs w:val="28"/>
        </w:rPr>
        <w:t>本单位无此项经费。</w:t>
      </w:r>
    </w:p>
    <w:p w14:paraId="45289B48">
      <w:pPr>
        <w:pStyle w:val="10"/>
        <w:keepNext w:val="0"/>
        <w:keepLines w:val="0"/>
        <w:pageBreakBefore w:val="0"/>
        <w:widowControl w:val="0"/>
        <w:kinsoku/>
        <w:wordWrap/>
        <w:overflowPunct/>
        <w:topLinePunct w:val="0"/>
        <w:bidi w:val="0"/>
        <w:snapToGrid/>
        <w:spacing w:before="0" w:beforeAutospacing="0" w:after="0" w:afterAutospacing="0" w:line="580" w:lineRule="exact"/>
        <w:ind w:left="0" w:leftChars="0" w:right="0" w:firstLine="560" w:firstLineChars="200"/>
        <w:jc w:val="both"/>
        <w:textAlignment w:val="auto"/>
        <w:rPr>
          <w:rFonts w:ascii="黑体" w:eastAsia="黑体"/>
          <w:sz w:val="28"/>
          <w:szCs w:val="28"/>
        </w:rPr>
      </w:pPr>
      <w:r>
        <w:rPr>
          <w:rFonts w:hint="eastAsia" w:ascii="黑体" w:eastAsia="黑体"/>
          <w:sz w:val="28"/>
          <w:szCs w:val="28"/>
        </w:rPr>
        <w:t>六、国有资本经营预算财</w:t>
      </w:r>
      <w:r>
        <w:rPr>
          <w:rFonts w:ascii="黑体" w:eastAsia="黑体"/>
          <w:sz w:val="28"/>
          <w:szCs w:val="28"/>
        </w:rPr>
        <w:t>政拨款</w:t>
      </w:r>
      <w:r>
        <w:rPr>
          <w:rFonts w:hint="eastAsia" w:ascii="黑体" w:eastAsia="黑体"/>
          <w:sz w:val="28"/>
          <w:szCs w:val="28"/>
        </w:rPr>
        <w:t>收支情况</w:t>
      </w:r>
    </w:p>
    <w:p w14:paraId="77001100">
      <w:pPr>
        <w:pStyle w:val="10"/>
        <w:keepNext w:val="0"/>
        <w:keepLines w:val="0"/>
        <w:pageBreakBefore w:val="0"/>
        <w:widowControl w:val="0"/>
        <w:kinsoku/>
        <w:wordWrap/>
        <w:overflowPunct/>
        <w:topLinePunct w:val="0"/>
        <w:bidi w:val="0"/>
        <w:snapToGrid/>
        <w:spacing w:before="0" w:beforeAutospacing="0" w:after="0" w:afterAutospacing="0" w:line="580" w:lineRule="exact"/>
        <w:ind w:left="0" w:leftChars="0" w:right="0" w:firstLine="560" w:firstLineChars="200"/>
        <w:jc w:val="both"/>
        <w:textAlignment w:val="auto"/>
        <w:rPr>
          <w:rFonts w:ascii="仿宋_GB2312" w:hAnsi="仿宋" w:eastAsia="仿宋_GB2312" w:cs="仿宋"/>
          <w:b w:val="0"/>
          <w:bCs/>
          <w:kern w:val="2"/>
          <w:sz w:val="28"/>
          <w:szCs w:val="28"/>
        </w:rPr>
      </w:pPr>
      <w:r>
        <w:rPr>
          <w:rFonts w:hint="eastAsia" w:ascii="仿宋_GB2312" w:hAnsi="仿宋" w:eastAsia="仿宋_GB2312" w:cs="仿宋"/>
          <w:b w:val="0"/>
          <w:bCs/>
          <w:kern w:val="2"/>
          <w:sz w:val="28"/>
          <w:szCs w:val="28"/>
        </w:rPr>
        <w:t>本单位无此项经费。</w:t>
      </w:r>
    </w:p>
    <w:p w14:paraId="1F660BC8">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b/>
          <w:sz w:val="28"/>
          <w:szCs w:val="28"/>
        </w:rPr>
        <w:t>七、财政拨款基本支出决算情况说明</w:t>
      </w:r>
    </w:p>
    <w:p w14:paraId="494CCE39">
      <w:pPr>
        <w:keepNext w:val="0"/>
        <w:keepLines w:val="0"/>
        <w:pageBreakBefore w:val="0"/>
        <w:widowControl w:val="0"/>
        <w:tabs>
          <w:tab w:val="center" w:pos="6979"/>
        </w:tabs>
        <w:kinsoku/>
        <w:wordWrap/>
        <w:overflowPunct/>
        <w:topLinePunct w:val="0"/>
        <w:bidi w:val="0"/>
        <w:snapToGrid/>
        <w:spacing w:line="580" w:lineRule="exact"/>
        <w:ind w:left="0" w:leftChars="0" w:firstLine="565" w:firstLineChars="202"/>
        <w:textAlignment w:val="auto"/>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1</w:t>
      </w:r>
      <w:r>
        <w:rPr>
          <w:rFonts w:hint="eastAsia" w:ascii="仿宋_GB2312" w:eastAsia="仿宋_GB2312"/>
          <w:sz w:val="28"/>
          <w:szCs w:val="28"/>
          <w:lang w:val="en-US" w:eastAsia="zh-CN"/>
        </w:rPr>
        <w:t>,</w:t>
      </w:r>
      <w:r>
        <w:rPr>
          <w:rFonts w:ascii="仿宋_GB2312" w:eastAsia="仿宋_GB2312"/>
          <w:sz w:val="28"/>
          <w:szCs w:val="28"/>
        </w:rPr>
        <w:t>221.37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04AFA8AA">
      <w:pPr>
        <w:keepNext w:val="0"/>
        <w:keepLines w:val="0"/>
        <w:pageBreakBefore w:val="0"/>
        <w:widowControl w:val="0"/>
        <w:kinsoku/>
        <w:wordWrap/>
        <w:overflowPunct/>
        <w:topLinePunct w:val="0"/>
        <w:autoSpaceDE w:val="0"/>
        <w:autoSpaceDN w:val="0"/>
        <w:bidi w:val="0"/>
        <w:adjustRightInd w:val="0"/>
        <w:snapToGrid/>
        <w:spacing w:line="580" w:lineRule="exact"/>
        <w:ind w:left="0" w:leftChars="0" w:firstLine="640" w:firstLineChars="200"/>
        <w:textAlignment w:val="auto"/>
        <w:rPr>
          <w:rFonts w:ascii="宋体" w:hAnsi="宋体"/>
          <w:b/>
          <w:spacing w:val="40"/>
          <w:sz w:val="32"/>
          <w:szCs w:val="32"/>
        </w:rPr>
      </w:pPr>
      <w:r>
        <w:rPr>
          <w:rFonts w:ascii="仿宋_GB2312" w:eastAsia="仿宋_GB2312"/>
          <w:b/>
          <w:sz w:val="32"/>
          <w:szCs w:val="32"/>
        </w:rPr>
        <w:tab/>
      </w:r>
    </w:p>
    <w:p w14:paraId="2B90C61F">
      <w:pPr>
        <w:keepNext w:val="0"/>
        <w:keepLines w:val="0"/>
        <w:pageBreakBefore w:val="0"/>
        <w:widowControl w:val="0"/>
        <w:tabs>
          <w:tab w:val="center" w:pos="6979"/>
        </w:tabs>
        <w:kinsoku/>
        <w:wordWrap/>
        <w:overflowPunct/>
        <w:topLinePunct w:val="0"/>
        <w:bidi w:val="0"/>
        <w:snapToGrid/>
        <w:spacing w:line="580" w:lineRule="exact"/>
        <w:ind w:left="0" w:leftChars="0" w:firstLine="800" w:firstLineChars="200"/>
        <w:jc w:val="center"/>
        <w:textAlignment w:val="auto"/>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7D05066C">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sz w:val="28"/>
          <w:szCs w:val="28"/>
        </w:rPr>
        <w:t>一、“三公”经费财政拨款决算情况</w:t>
      </w:r>
    </w:p>
    <w:p w14:paraId="61325365">
      <w:pPr>
        <w:keepNext w:val="0"/>
        <w:keepLines w:val="0"/>
        <w:pageBreakBefore w:val="0"/>
        <w:widowControl w:val="0"/>
        <w:kinsoku/>
        <w:wordWrap/>
        <w:overflowPunct/>
        <w:topLinePunct w:val="0"/>
        <w:bidi w:val="0"/>
        <w:snapToGrid/>
        <w:spacing w:line="580" w:lineRule="exact"/>
        <w:ind w:left="0" w:leftChars="0" w:firstLine="565" w:firstLineChars="202"/>
        <w:textAlignment w:val="auto"/>
        <w:rPr>
          <w:rFonts w:hint="eastAsia"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18.7</w:t>
      </w:r>
      <w:r>
        <w:rPr>
          <w:rFonts w:hint="eastAsia" w:ascii="仿宋_GB2312" w:eastAsia="仿宋_GB2312"/>
          <w:sz w:val="28"/>
          <w:szCs w:val="28"/>
        </w:rPr>
        <w:t>0万元，其中：</w:t>
      </w:r>
    </w:p>
    <w:p w14:paraId="03035DCF">
      <w:pPr>
        <w:keepNext w:val="0"/>
        <w:keepLines w:val="0"/>
        <w:pageBreakBefore w:val="0"/>
        <w:widowControl w:val="0"/>
        <w:kinsoku/>
        <w:wordWrap/>
        <w:overflowPunct/>
        <w:topLinePunct w:val="0"/>
        <w:bidi w:val="0"/>
        <w:snapToGrid/>
        <w:spacing w:line="580" w:lineRule="exact"/>
        <w:ind w:left="0" w:leftChars="0" w:firstLine="565" w:firstLineChars="202"/>
        <w:textAlignment w:val="auto"/>
        <w:rPr>
          <w:rFonts w:hint="eastAsia" w:ascii="仿宋_GB2312" w:eastAsia="仿宋_GB2312"/>
          <w:sz w:val="28"/>
          <w:szCs w:val="28"/>
        </w:rPr>
      </w:pPr>
      <w:r>
        <w:rPr>
          <w:rFonts w:hint="eastAsia" w:ascii="仿宋_GB2312" w:eastAsia="仿宋_GB2312"/>
          <w:sz w:val="28"/>
          <w:szCs w:val="28"/>
        </w:rPr>
        <w:t>1.因公出国（境）费用。</w:t>
      </w:r>
      <w:r>
        <w:rPr>
          <w:rFonts w:hint="eastAsia" w:ascii="仿宋_GB2312" w:eastAsia="仿宋_GB2312" w:cs="仿宋_GB2312"/>
          <w:sz w:val="28"/>
          <w:szCs w:val="28"/>
        </w:rPr>
        <w:t>2024年本单位无此项经费。</w:t>
      </w:r>
    </w:p>
    <w:p w14:paraId="732FAF9A">
      <w:pPr>
        <w:keepNext w:val="0"/>
        <w:keepLines w:val="0"/>
        <w:pageBreakBefore w:val="0"/>
        <w:widowControl w:val="0"/>
        <w:kinsoku/>
        <w:wordWrap/>
        <w:overflowPunct/>
        <w:topLinePunct w:val="0"/>
        <w:bidi w:val="0"/>
        <w:snapToGrid/>
        <w:spacing w:line="580" w:lineRule="exact"/>
        <w:ind w:left="0" w:leftChars="0" w:firstLine="565" w:firstLineChars="202"/>
        <w:textAlignment w:val="auto"/>
        <w:rPr>
          <w:rFonts w:ascii="仿宋_GB2312" w:eastAsia="仿宋_GB2312"/>
          <w:sz w:val="28"/>
          <w:szCs w:val="28"/>
        </w:rPr>
      </w:pPr>
      <w:r>
        <w:rPr>
          <w:rFonts w:hint="eastAsia" w:ascii="仿宋_GB2312" w:eastAsia="仿宋_GB2312"/>
          <w:sz w:val="28"/>
          <w:szCs w:val="28"/>
        </w:rPr>
        <w:t>2.公务接待费。</w:t>
      </w:r>
      <w:r>
        <w:rPr>
          <w:rFonts w:hint="eastAsia" w:ascii="仿宋_GB2312" w:eastAsia="仿宋_GB2312" w:cs="仿宋_GB2312"/>
          <w:sz w:val="28"/>
          <w:szCs w:val="28"/>
        </w:rPr>
        <w:t>2024年本单位无此项经费。</w:t>
      </w:r>
    </w:p>
    <w:p w14:paraId="7AFA5180">
      <w:pPr>
        <w:ind w:firstLine="560" w:firstLineChars="200"/>
        <w:rPr>
          <w:rFonts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公务用车购置及运行维护费。2024年度决算数18.70万元，</w:t>
      </w:r>
      <w:r>
        <w:rPr>
          <w:rFonts w:hint="eastAsia" w:ascii="仿宋_GB2312" w:eastAsia="仿宋_GB2312"/>
          <w:sz w:val="28"/>
          <w:szCs w:val="28"/>
          <w:lang w:val="en-US" w:eastAsia="zh-CN"/>
        </w:rPr>
        <w:t>比2024年度年初预算数20.48万元减少1.78万元。其中，</w:t>
      </w:r>
      <w:r>
        <w:rPr>
          <w:rFonts w:hint="eastAsia" w:ascii="仿宋_GB2312" w:eastAsia="仿宋_GB2312"/>
          <w:sz w:val="28"/>
          <w:szCs w:val="28"/>
        </w:rPr>
        <w:t>公务用车购置费2024年度决算数17.98万元，</w:t>
      </w:r>
      <w:r>
        <w:rPr>
          <w:rFonts w:hint="eastAsia" w:ascii="仿宋_GB2312" w:eastAsia="仿宋_GB2312"/>
          <w:sz w:val="28"/>
          <w:szCs w:val="28"/>
          <w:lang w:eastAsia="zh-CN"/>
        </w:rPr>
        <w:t>完成年初预算数的</w:t>
      </w:r>
      <w:r>
        <w:rPr>
          <w:rFonts w:hint="eastAsia" w:ascii="仿宋_GB2312" w:eastAsia="仿宋_GB2312"/>
          <w:sz w:val="28"/>
          <w:szCs w:val="28"/>
          <w:lang w:val="en-US" w:eastAsia="zh-CN"/>
        </w:rPr>
        <w:t>100%，</w:t>
      </w:r>
      <w:r>
        <w:rPr>
          <w:rFonts w:hint="eastAsia" w:ascii="仿宋_GB2312" w:eastAsia="仿宋_GB2312"/>
          <w:sz w:val="28"/>
          <w:szCs w:val="28"/>
        </w:rPr>
        <w:t>2024年度更新1辆。公务用车运行维护费2024年度决算数0.72万元，主要原因：落实</w:t>
      </w:r>
      <w:r>
        <w:rPr>
          <w:rFonts w:hint="eastAsia" w:ascii="仿宋_GB2312" w:eastAsia="仿宋_GB2312"/>
          <w:sz w:val="28"/>
          <w:szCs w:val="28"/>
          <w:lang w:eastAsia="zh-CN"/>
        </w:rPr>
        <w:t>政府过紧日子要求，</w:t>
      </w:r>
      <w:r>
        <w:rPr>
          <w:rFonts w:hint="eastAsia" w:ascii="仿宋_GB2312" w:eastAsia="仿宋_GB2312"/>
          <w:sz w:val="28"/>
          <w:szCs w:val="28"/>
        </w:rPr>
        <w:t>减少公车出行。2024年度公务用车保有量1辆。</w:t>
      </w:r>
    </w:p>
    <w:p w14:paraId="490FEC1E">
      <w:pPr>
        <w:keepNext w:val="0"/>
        <w:keepLines w:val="0"/>
        <w:pageBreakBefore w:val="0"/>
        <w:widowControl w:val="0"/>
        <w:tabs>
          <w:tab w:val="center" w:pos="6979"/>
        </w:tabs>
        <w:kinsoku/>
        <w:wordWrap/>
        <w:overflowPunct/>
        <w:topLinePunct w:val="0"/>
        <w:bidi w:val="0"/>
        <w:snapToGrid/>
        <w:spacing w:line="580" w:lineRule="exact"/>
        <w:ind w:left="0" w:leftChars="0" w:firstLine="565" w:firstLineChars="202"/>
        <w:textAlignment w:val="auto"/>
        <w:rPr>
          <w:rFonts w:ascii="黑体" w:eastAsia="黑体"/>
          <w:sz w:val="28"/>
          <w:szCs w:val="28"/>
        </w:rPr>
      </w:pPr>
      <w:r>
        <w:rPr>
          <w:rFonts w:hint="eastAsia" w:ascii="黑体" w:eastAsia="黑体"/>
          <w:sz w:val="28"/>
          <w:szCs w:val="28"/>
        </w:rPr>
        <w:t>二、机关运行经费支出情况</w:t>
      </w:r>
    </w:p>
    <w:p w14:paraId="5760696F">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cs="仿宋_GB2312"/>
          <w:sz w:val="28"/>
          <w:szCs w:val="28"/>
        </w:rPr>
      </w:pPr>
      <w:r>
        <w:rPr>
          <w:rFonts w:hint="eastAsia" w:ascii="仿宋_GB2312" w:eastAsia="仿宋_GB2312" w:cs="仿宋_GB2312"/>
          <w:sz w:val="28"/>
          <w:szCs w:val="28"/>
        </w:rPr>
        <w:t>我单位不在机关运行经费统计范围之内。</w:t>
      </w:r>
    </w:p>
    <w:p w14:paraId="58072843">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sz w:val="28"/>
          <w:szCs w:val="28"/>
        </w:rPr>
        <w:t>三、政府采购支出情况</w:t>
      </w:r>
    </w:p>
    <w:p w14:paraId="7057FDC9">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552.53</w:t>
      </w:r>
      <w:r>
        <w:rPr>
          <w:rFonts w:hint="eastAsia" w:ascii="仿宋_GB2312" w:eastAsia="仿宋_GB2312"/>
          <w:sz w:val="28"/>
          <w:szCs w:val="28"/>
        </w:rPr>
        <w:t>万元，其中：政府采购货物支出</w:t>
      </w:r>
      <w:r>
        <w:rPr>
          <w:rFonts w:ascii="仿宋_GB2312" w:eastAsia="仿宋_GB2312"/>
          <w:sz w:val="28"/>
          <w:szCs w:val="28"/>
        </w:rPr>
        <w:t>21.65</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530.88</w:t>
      </w:r>
      <w:r>
        <w:rPr>
          <w:rFonts w:hint="eastAsia" w:ascii="仿宋_GB2312" w:eastAsia="仿宋_GB2312"/>
          <w:sz w:val="28"/>
          <w:szCs w:val="28"/>
        </w:rPr>
        <w:t>万元。授予中小企业合同金额</w:t>
      </w:r>
      <w:r>
        <w:rPr>
          <w:rFonts w:ascii="仿宋_GB2312" w:eastAsia="仿宋_GB2312"/>
          <w:sz w:val="28"/>
          <w:szCs w:val="28"/>
        </w:rPr>
        <w:t>547.21</w:t>
      </w:r>
      <w:r>
        <w:rPr>
          <w:rFonts w:hint="eastAsia" w:ascii="仿宋_GB2312" w:eastAsia="仿宋_GB2312"/>
          <w:sz w:val="28"/>
          <w:szCs w:val="28"/>
        </w:rPr>
        <w:t>万元，占政府采购支出总额的99.04%，其中：授予小微企业合同金额</w:t>
      </w:r>
      <w:r>
        <w:rPr>
          <w:rFonts w:ascii="仿宋_GB2312" w:eastAsia="仿宋_GB2312"/>
          <w:sz w:val="28"/>
          <w:szCs w:val="28"/>
        </w:rPr>
        <w:t>528.35</w:t>
      </w:r>
      <w:r>
        <w:rPr>
          <w:rFonts w:hint="eastAsia" w:ascii="仿宋_GB2312" w:eastAsia="仿宋_GB2312"/>
          <w:sz w:val="28"/>
          <w:szCs w:val="28"/>
        </w:rPr>
        <w:t>万元，占政府采购支出总额的</w:t>
      </w:r>
      <w:r>
        <w:rPr>
          <w:rFonts w:ascii="仿宋_GB2312" w:eastAsia="仿宋_GB2312"/>
          <w:sz w:val="28"/>
          <w:szCs w:val="28"/>
        </w:rPr>
        <w:t>95.62</w:t>
      </w:r>
      <w:r>
        <w:rPr>
          <w:rFonts w:hint="eastAsia" w:ascii="仿宋_GB2312" w:eastAsia="仿宋_GB2312"/>
          <w:sz w:val="28"/>
          <w:szCs w:val="28"/>
        </w:rPr>
        <w:t>%。</w:t>
      </w:r>
    </w:p>
    <w:p w14:paraId="026AB563">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sz w:val="28"/>
          <w:szCs w:val="28"/>
        </w:rPr>
        <w:t>四、国有资产占用情况</w:t>
      </w:r>
    </w:p>
    <w:p w14:paraId="7A4F1FB8">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32"/>
          <w:szCs w:val="32"/>
        </w:rPr>
      </w:pPr>
      <w:r>
        <w:rPr>
          <w:rFonts w:hint="eastAsia" w:ascii="仿宋_GB2312" w:eastAsia="仿宋_GB2312"/>
          <w:sz w:val="28"/>
          <w:szCs w:val="28"/>
        </w:rPr>
        <w:t>截至12月31日，北京市体育设施管理中心共有车辆1台；单位价值100万元（含）以上的设备0台（套）。</w:t>
      </w:r>
    </w:p>
    <w:p w14:paraId="30249DFF">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2F124AB6">
      <w:pPr>
        <w:keepNext w:val="0"/>
        <w:keepLines w:val="0"/>
        <w:pageBreakBefore w:val="0"/>
        <w:widowControl w:val="0"/>
        <w:kinsoku/>
        <w:wordWrap/>
        <w:overflowPunct/>
        <w:topLinePunct w:val="0"/>
        <w:bidi w:val="0"/>
        <w:snapToGrid/>
        <w:spacing w:line="580" w:lineRule="exact"/>
        <w:ind w:left="0" w:leftChars="0"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本单位无此项经费。</w:t>
      </w:r>
    </w:p>
    <w:p w14:paraId="6B74F3A1">
      <w:pPr>
        <w:keepNext w:val="0"/>
        <w:keepLines w:val="0"/>
        <w:pageBreakBefore w:val="0"/>
        <w:widowControl w:val="0"/>
        <w:kinsoku/>
        <w:wordWrap/>
        <w:overflowPunct/>
        <w:topLinePunct w:val="0"/>
        <w:bidi w:val="0"/>
        <w:snapToGrid/>
        <w:spacing w:line="580" w:lineRule="exact"/>
        <w:ind w:left="0" w:leftChars="0" w:firstLine="560" w:firstLineChars="200"/>
        <w:jc w:val="left"/>
        <w:textAlignment w:val="auto"/>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AB2DAB4">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A521B1C">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20BCA102">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CF03D7D">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39EBCE18">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仿宋_GB2312" w:eastAsia="仿宋_GB2312" w:cs="仿宋_GB2312"/>
          <w:sz w:val="28"/>
          <w:szCs w:val="28"/>
        </w:rPr>
      </w:pPr>
      <w:r>
        <w:rPr>
          <w:rFonts w:hint="eastAsia" w:ascii="仿宋_GB2312" w:eastAsia="仿宋_GB2312"/>
          <w:sz w:val="28"/>
          <w:szCs w:val="28"/>
        </w:rPr>
        <w:t>5.</w:t>
      </w:r>
      <w:r>
        <w:rPr>
          <w:rFonts w:hint="eastAsia" w:ascii="仿宋_GB2312" w:eastAsia="仿宋_GB2312" w:cs="仿宋_GB2312"/>
          <w:sz w:val="28"/>
          <w:szCs w:val="28"/>
        </w:rPr>
        <w:t>文化旅游体育与传媒支出（类）体育（款）其他体育支出（项）：反映其他用于体育方面的支出</w:t>
      </w:r>
    </w:p>
    <w:p w14:paraId="0AFDDD19">
      <w:pPr>
        <w:keepNext w:val="0"/>
        <w:keepLines w:val="0"/>
        <w:pageBreakBefore w:val="0"/>
        <w:widowControl w:val="0"/>
        <w:kinsoku/>
        <w:wordWrap/>
        <w:overflowPunct/>
        <w:topLinePunct w:val="0"/>
        <w:bidi w:val="0"/>
        <w:snapToGrid/>
        <w:spacing w:line="580" w:lineRule="exact"/>
        <w:ind w:left="0" w:leftChars="0" w:firstLine="560" w:firstLineChars="200"/>
        <w:textAlignment w:val="auto"/>
      </w:pPr>
      <w:r>
        <w:rPr>
          <w:rFonts w:hint="eastAsia" w:ascii="仿宋_GB2312" w:eastAsia="仿宋_GB2312" w:cs="仿宋_GB2312"/>
          <w:sz w:val="28"/>
          <w:szCs w:val="28"/>
        </w:rPr>
        <w:t>6.社会保障和就业支出（类）行政事业单位养老支出（款）其他行政事业单位养老支出（项）：反映其他用于行政事业单位养老方面的支出。</w:t>
      </w:r>
    </w:p>
    <w:p w14:paraId="7FD6BD95">
      <w:pPr>
        <w:keepNext w:val="0"/>
        <w:keepLines w:val="0"/>
        <w:pageBreakBefore w:val="0"/>
        <w:widowControl w:val="0"/>
        <w:kinsoku/>
        <w:wordWrap/>
        <w:overflowPunct/>
        <w:topLinePunct w:val="0"/>
        <w:bidi w:val="0"/>
        <w:snapToGrid/>
        <w:spacing w:line="580" w:lineRule="exact"/>
        <w:ind w:left="0" w:leftChars="0" w:firstLine="640" w:firstLineChars="200"/>
        <w:jc w:val="center"/>
        <w:textAlignment w:val="auto"/>
        <w:rPr>
          <w:rFonts w:ascii="黑体" w:eastAsia="黑体"/>
          <w:sz w:val="32"/>
          <w:szCs w:val="32"/>
        </w:rPr>
      </w:pPr>
    </w:p>
    <w:p w14:paraId="03DC2DED">
      <w:pPr>
        <w:keepNext w:val="0"/>
        <w:keepLines w:val="0"/>
        <w:pageBreakBefore w:val="0"/>
        <w:widowControl w:val="0"/>
        <w:kinsoku/>
        <w:wordWrap/>
        <w:overflowPunct/>
        <w:topLinePunct w:val="0"/>
        <w:bidi w:val="0"/>
        <w:snapToGrid/>
        <w:spacing w:line="580" w:lineRule="exact"/>
        <w:ind w:left="0" w:leftChars="0" w:firstLine="640" w:firstLineChars="200"/>
        <w:jc w:val="center"/>
        <w:textAlignment w:val="auto"/>
        <w:rPr>
          <w:rFonts w:ascii="黑体" w:eastAsia="黑体"/>
          <w:sz w:val="32"/>
          <w:szCs w:val="32"/>
        </w:rPr>
      </w:pPr>
      <w:r>
        <w:rPr>
          <w:rFonts w:hint="eastAsia" w:ascii="黑体" w:eastAsia="黑体"/>
          <w:sz w:val="32"/>
          <w:szCs w:val="32"/>
        </w:rPr>
        <w:t>第四部分  2024年度部门绩效评价情况</w:t>
      </w:r>
    </w:p>
    <w:p w14:paraId="11EA1C8A">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p>
    <w:p w14:paraId="5031E11B">
      <w:pPr>
        <w:keepNext w:val="0"/>
        <w:keepLines w:val="0"/>
        <w:pageBreakBefore w:val="0"/>
        <w:widowControl w:val="0"/>
        <w:kinsoku/>
        <w:wordWrap/>
        <w:overflowPunct/>
        <w:topLinePunct w:val="0"/>
        <w:bidi w:val="0"/>
        <w:snapToGrid/>
        <w:spacing w:line="580" w:lineRule="exact"/>
        <w:ind w:left="0" w:leftChars="0" w:firstLine="560" w:firstLineChars="200"/>
        <w:textAlignment w:val="auto"/>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3EE4921D">
      <w:pPr>
        <w:spacing w:line="480" w:lineRule="exact"/>
        <w:ind w:firstLine="420" w:firstLineChars="200"/>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Arial Unicode MS"/>
    <w:panose1 w:val="00000000000000000000"/>
    <w:charset w:val="00"/>
    <w:family w:val="auto"/>
    <w:pitch w:val="default"/>
    <w:sig w:usb0="00000000" w:usb1="00000000" w:usb2="00000000" w:usb3="00000000" w:csb0="00040001" w:csb1="00000000"/>
  </w:font>
  <w:font w:name="思源宋体">
    <w:altName w:val="宋体"/>
    <w:panose1 w:val="02020400000000000000"/>
    <w:charset w:val="86"/>
    <w:family w:val="auto"/>
    <w:pitch w:val="default"/>
    <w:sig w:usb0="00000000" w:usb1="00000000" w:usb2="00000016" w:usb3="00000000" w:csb0="602E0107"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619AA">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3</w:t>
    </w:r>
    <w:r>
      <w:fldChar w:fldCharType="end"/>
    </w:r>
  </w:p>
  <w:p w14:paraId="4AAC2DB8">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7259B">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5</w:t>
    </w:r>
    <w:r>
      <w:fldChar w:fldCharType="end"/>
    </w:r>
  </w:p>
  <w:p w14:paraId="5AAEAF9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12754">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15</w:t>
    </w:r>
    <w:r>
      <w:fldChar w:fldCharType="end"/>
    </w:r>
  </w:p>
  <w:p w14:paraId="12B23432">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34FDE"/>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524"/>
    <w:rsid w:val="001E29A9"/>
    <w:rsid w:val="001F5857"/>
    <w:rsid w:val="00206EC3"/>
    <w:rsid w:val="0021047C"/>
    <w:rsid w:val="00211E4E"/>
    <w:rsid w:val="00213D1C"/>
    <w:rsid w:val="00214C3A"/>
    <w:rsid w:val="00217517"/>
    <w:rsid w:val="00222628"/>
    <w:rsid w:val="002253CB"/>
    <w:rsid w:val="002267A6"/>
    <w:rsid w:val="00227970"/>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873CD"/>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2F6662"/>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44CA6"/>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1E68"/>
    <w:rsid w:val="003C55FC"/>
    <w:rsid w:val="003D0EC3"/>
    <w:rsid w:val="003D7274"/>
    <w:rsid w:val="003E4D82"/>
    <w:rsid w:val="003E5BC1"/>
    <w:rsid w:val="003E68FA"/>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67408"/>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A7EAE"/>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61A78"/>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12C7C"/>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0DA0"/>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464E3"/>
    <w:rsid w:val="00850708"/>
    <w:rsid w:val="00851024"/>
    <w:rsid w:val="008526D7"/>
    <w:rsid w:val="0086238C"/>
    <w:rsid w:val="008655DC"/>
    <w:rsid w:val="0086732D"/>
    <w:rsid w:val="00870183"/>
    <w:rsid w:val="00875726"/>
    <w:rsid w:val="00877F10"/>
    <w:rsid w:val="0088225D"/>
    <w:rsid w:val="00882F8D"/>
    <w:rsid w:val="00884FB0"/>
    <w:rsid w:val="008853A5"/>
    <w:rsid w:val="00885B18"/>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5164"/>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15FE0"/>
    <w:rsid w:val="00C21A6C"/>
    <w:rsid w:val="00C24A10"/>
    <w:rsid w:val="00C27003"/>
    <w:rsid w:val="00C27597"/>
    <w:rsid w:val="00C32BD4"/>
    <w:rsid w:val="00C33E48"/>
    <w:rsid w:val="00C3618B"/>
    <w:rsid w:val="00C403FB"/>
    <w:rsid w:val="00C4316E"/>
    <w:rsid w:val="00C441A2"/>
    <w:rsid w:val="00C5076B"/>
    <w:rsid w:val="00C5086A"/>
    <w:rsid w:val="00C512D4"/>
    <w:rsid w:val="00C51CF4"/>
    <w:rsid w:val="00C531E2"/>
    <w:rsid w:val="00C53204"/>
    <w:rsid w:val="00C57E34"/>
    <w:rsid w:val="00C64659"/>
    <w:rsid w:val="00C662E9"/>
    <w:rsid w:val="00C66C2D"/>
    <w:rsid w:val="00C7190B"/>
    <w:rsid w:val="00C76852"/>
    <w:rsid w:val="00C76E6F"/>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350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2B83"/>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06E3"/>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08DB"/>
    <w:rsid w:val="00FD1162"/>
    <w:rsid w:val="00FD2232"/>
    <w:rsid w:val="00FD4AE7"/>
    <w:rsid w:val="00FD65A9"/>
    <w:rsid w:val="00FD7508"/>
    <w:rsid w:val="00FE1E51"/>
    <w:rsid w:val="00FE2496"/>
    <w:rsid w:val="00FE4593"/>
    <w:rsid w:val="00FE6A2B"/>
    <w:rsid w:val="00FF0275"/>
    <w:rsid w:val="00FF07B3"/>
    <w:rsid w:val="00FF1E37"/>
    <w:rsid w:val="02F120AB"/>
    <w:rsid w:val="032B5196"/>
    <w:rsid w:val="035A763F"/>
    <w:rsid w:val="04C3537C"/>
    <w:rsid w:val="06EA0D75"/>
    <w:rsid w:val="079004AC"/>
    <w:rsid w:val="0B377D17"/>
    <w:rsid w:val="0BA148CA"/>
    <w:rsid w:val="0C1165C4"/>
    <w:rsid w:val="0D6D544B"/>
    <w:rsid w:val="0DD136FE"/>
    <w:rsid w:val="0F2C6085"/>
    <w:rsid w:val="0F8E2C57"/>
    <w:rsid w:val="1059665E"/>
    <w:rsid w:val="10AC13BA"/>
    <w:rsid w:val="145A6C1B"/>
    <w:rsid w:val="14B73493"/>
    <w:rsid w:val="167A2FF9"/>
    <w:rsid w:val="18581C69"/>
    <w:rsid w:val="1AEC0734"/>
    <w:rsid w:val="1DA07278"/>
    <w:rsid w:val="1DEF20B0"/>
    <w:rsid w:val="214243FA"/>
    <w:rsid w:val="21AD613C"/>
    <w:rsid w:val="222F7701"/>
    <w:rsid w:val="22467189"/>
    <w:rsid w:val="257A14F5"/>
    <w:rsid w:val="27196C26"/>
    <w:rsid w:val="29EF086F"/>
    <w:rsid w:val="2EFFE297"/>
    <w:rsid w:val="2FF7BD03"/>
    <w:rsid w:val="301437CA"/>
    <w:rsid w:val="349D1F0A"/>
    <w:rsid w:val="34DD0473"/>
    <w:rsid w:val="36373D14"/>
    <w:rsid w:val="391D45C1"/>
    <w:rsid w:val="3C684897"/>
    <w:rsid w:val="433E495C"/>
    <w:rsid w:val="43642884"/>
    <w:rsid w:val="44D56A71"/>
    <w:rsid w:val="44E12C26"/>
    <w:rsid w:val="465210D4"/>
    <w:rsid w:val="489F2FD7"/>
    <w:rsid w:val="492478B1"/>
    <w:rsid w:val="4AC27CB3"/>
    <w:rsid w:val="4BF72BEF"/>
    <w:rsid w:val="4DD7375A"/>
    <w:rsid w:val="4FA90297"/>
    <w:rsid w:val="4FC41A43"/>
    <w:rsid w:val="51DB3C59"/>
    <w:rsid w:val="550C0952"/>
    <w:rsid w:val="55762E42"/>
    <w:rsid w:val="55FFF00F"/>
    <w:rsid w:val="57A7B272"/>
    <w:rsid w:val="57D8136E"/>
    <w:rsid w:val="58470068"/>
    <w:rsid w:val="58747CAC"/>
    <w:rsid w:val="5A1720F9"/>
    <w:rsid w:val="5B9C37C2"/>
    <w:rsid w:val="5BA7C654"/>
    <w:rsid w:val="60A54109"/>
    <w:rsid w:val="61D01CDF"/>
    <w:rsid w:val="64C0607C"/>
    <w:rsid w:val="65756C86"/>
    <w:rsid w:val="674D385B"/>
    <w:rsid w:val="676F09E1"/>
    <w:rsid w:val="6A911AA3"/>
    <w:rsid w:val="6BEA157C"/>
    <w:rsid w:val="71793A80"/>
    <w:rsid w:val="7357290B"/>
    <w:rsid w:val="73696ADC"/>
    <w:rsid w:val="75127BB4"/>
    <w:rsid w:val="75D36F1A"/>
    <w:rsid w:val="798524E4"/>
    <w:rsid w:val="7A7F1C49"/>
    <w:rsid w:val="7B5B7AE6"/>
    <w:rsid w:val="7B7B6628"/>
    <w:rsid w:val="7BA7071E"/>
    <w:rsid w:val="7BDF6DA8"/>
    <w:rsid w:val="7C7EDC1A"/>
    <w:rsid w:val="7CCED98D"/>
    <w:rsid w:val="7D08410F"/>
    <w:rsid w:val="7DB96DED"/>
    <w:rsid w:val="7DD3AD81"/>
    <w:rsid w:val="7F7FE70F"/>
    <w:rsid w:val="7F9F3A0E"/>
    <w:rsid w:val="7FFF772F"/>
    <w:rsid w:val="89FE93F0"/>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link w:val="23"/>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7"/>
    <w:qFormat/>
    <w:uiPriority w:val="0"/>
    <w:pPr>
      <w:tabs>
        <w:tab w:val="center" w:pos="4153"/>
        <w:tab w:val="right" w:pos="8306"/>
      </w:tabs>
      <w:snapToGrid w:val="0"/>
      <w:jc w:val="left"/>
    </w:pPr>
    <w:rPr>
      <w:sz w:val="18"/>
      <w:szCs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paragraph" w:styleId="11">
    <w:name w:val="annotation subject"/>
    <w:basedOn w:val="4"/>
    <w:next w:val="4"/>
    <w:link w:val="24"/>
    <w:qFormat/>
    <w:uiPriority w:val="0"/>
    <w:rPr>
      <w:b/>
      <w:bCs/>
    </w:rPr>
  </w:style>
  <w:style w:type="character" w:styleId="14">
    <w:name w:val="Strong"/>
    <w:qFormat/>
    <w:uiPriority w:val="0"/>
    <w:rPr>
      <w:b/>
    </w:rPr>
  </w:style>
  <w:style w:type="character" w:styleId="15">
    <w:name w:val="page number"/>
    <w:qFormat/>
    <w:uiPriority w:val="0"/>
  </w:style>
  <w:style w:type="character" w:styleId="16">
    <w:name w:val="annotation reference"/>
    <w:basedOn w:val="13"/>
    <w:qFormat/>
    <w:uiPriority w:val="0"/>
    <w:rPr>
      <w:sz w:val="21"/>
      <w:szCs w:val="21"/>
    </w:rPr>
  </w:style>
  <w:style w:type="character" w:customStyle="1" w:styleId="17">
    <w:name w:val="页脚 Char"/>
    <w:link w:val="8"/>
    <w:qFormat/>
    <w:uiPriority w:val="0"/>
    <w:rPr>
      <w:rFonts w:eastAsia="宋体"/>
      <w:kern w:val="2"/>
      <w:sz w:val="18"/>
      <w:szCs w:val="18"/>
      <w:lang w:val="en-US" w:eastAsia="zh-CN" w:bidi="ar-SA"/>
    </w:rPr>
  </w:style>
  <w:style w:type="character" w:customStyle="1" w:styleId="18">
    <w:name w:val="页眉 Char"/>
    <w:link w:val="9"/>
    <w:qFormat/>
    <w:uiPriority w:val="0"/>
    <w:rPr>
      <w:rFonts w:ascii="Calibri" w:hAnsi="Calibri" w:eastAsia="宋体"/>
      <w:kern w:val="2"/>
      <w:sz w:val="18"/>
      <w:szCs w:val="18"/>
      <w:lang w:val="en-US" w:eastAsia="zh-CN" w:bidi="ar-SA"/>
    </w:rPr>
  </w:style>
  <w:style w:type="paragraph" w:customStyle="1" w:styleId="19">
    <w:name w:val="Char Char Char Char Char Char Char"/>
    <w:basedOn w:val="1"/>
    <w:qFormat/>
    <w:uiPriority w:val="0"/>
    <w:rPr>
      <w:rFonts w:ascii="Tahoma" w:hAnsi="Tahoma"/>
      <w:sz w:val="24"/>
      <w:szCs w:val="20"/>
    </w:rPr>
  </w:style>
  <w:style w:type="paragraph" w:customStyle="1" w:styleId="20">
    <w:name w:val="Char1 Char Char Char"/>
    <w:basedOn w:val="1"/>
    <w:qFormat/>
    <w:uiPriority w:val="0"/>
    <w:pPr>
      <w:widowControl/>
      <w:spacing w:after="160" w:line="240" w:lineRule="exact"/>
      <w:jc w:val="left"/>
    </w:pPr>
    <w:rPr>
      <w:szCs w:val="20"/>
    </w:rPr>
  </w:style>
  <w:style w:type="paragraph" w:customStyle="1" w:styleId="21">
    <w:name w:val="Char"/>
    <w:basedOn w:val="1"/>
    <w:qFormat/>
    <w:uiPriority w:val="0"/>
    <w:rPr>
      <w:rFonts w:ascii="Tahoma" w:hAnsi="Tahoma"/>
      <w:sz w:val="24"/>
      <w:szCs w:val="20"/>
    </w:rPr>
  </w:style>
  <w:style w:type="paragraph" w:customStyle="1" w:styleId="22">
    <w:name w:val="Char Char3 Char Char"/>
    <w:basedOn w:val="1"/>
    <w:qFormat/>
    <w:uiPriority w:val="0"/>
    <w:rPr>
      <w:szCs w:val="21"/>
    </w:rPr>
  </w:style>
  <w:style w:type="character" w:customStyle="1" w:styleId="23">
    <w:name w:val="批注文字 Char"/>
    <w:basedOn w:val="13"/>
    <w:link w:val="4"/>
    <w:qFormat/>
    <w:uiPriority w:val="0"/>
    <w:rPr>
      <w:kern w:val="2"/>
      <w:sz w:val="21"/>
      <w:szCs w:val="24"/>
    </w:rPr>
  </w:style>
  <w:style w:type="character" w:customStyle="1" w:styleId="24">
    <w:name w:val="批注主题 Char"/>
    <w:basedOn w:val="23"/>
    <w:link w:val="11"/>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395" b="0" i="0" u="none" strike="noStrike" kern="1200" spc="0" baseline="0">
                <a:solidFill>
                  <a:schemeClr val="tx1">
                    <a:lumMod val="65000"/>
                    <a:lumOff val="35000"/>
                  </a:schemeClr>
                </a:solidFill>
                <a:latin typeface="+mn-lt"/>
                <a:ea typeface="+mn-ea"/>
                <a:cs typeface="+mn-cs"/>
              </a:defRPr>
            </a:pPr>
            <a:r>
              <a:rPr lang="zh-CN" altLang="en-US"/>
              <a:t>收入决算</a:t>
            </a:r>
            <a:endParaRPr lang="zh-CN" altLang="en-US"/>
          </a:p>
        </c:rich>
      </c:tx>
      <c:layout/>
      <c:overlay val="0"/>
      <c:spPr>
        <a:noFill/>
        <a:ln w="25349">
          <a:noFill/>
        </a:ln>
      </c:spPr>
    </c:title>
    <c:autoTitleDeleted val="0"/>
    <c:plotArea>
      <c:layout/>
      <c:pieChart>
        <c:varyColors val="1"/>
        <c:ser>
          <c:idx val="0"/>
          <c:order val="0"/>
          <c:explosion val="0"/>
          <c:dPt>
            <c:idx val="0"/>
            <c:bubble3D val="0"/>
            <c:spPr>
              <a:solidFill>
                <a:schemeClr val="accent1"/>
              </a:solidFill>
              <a:ln w="19012">
                <a:solidFill>
                  <a:schemeClr val="lt1"/>
                </a:solidFill>
              </a:ln>
              <a:effectLst/>
            </c:spPr>
          </c:dPt>
          <c:dPt>
            <c:idx val="1"/>
            <c:bubble3D val="0"/>
            <c:spPr>
              <a:solidFill>
                <a:schemeClr val="accent2"/>
              </a:solidFill>
              <a:ln w="19012">
                <a:solidFill>
                  <a:schemeClr val="lt1"/>
                </a:solidFill>
              </a:ln>
              <a:effectLst/>
            </c:spPr>
          </c:dPt>
          <c:dLbls>
            <c:dLbl>
              <c:idx val="0"/>
              <c:layout>
                <c:manualLayout>
                  <c:x val="-0.00111871261993895"/>
                  <c:y val="-0.17546575160595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w="25349">
                <a:noFill/>
              </a:ln>
              <a:effectLst/>
            </c:spPr>
            <c:txPr>
              <a:bodyPr rot="0" spcFirstLastPara="1" vertOverflow="ellipsis" vert="horz" wrap="square" lIns="38100" tIns="19050" rIns="38100" bIns="19050" anchor="ctr" anchorCtr="1">
                <a:spAutoFit/>
              </a:bodyPr>
              <a:lstStyle/>
              <a:p>
                <a:pPr>
                  <a:defRPr lang="zh-CN" sz="105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06" cap="flat" cmpd="sng" algn="ctr">
                      <a:solidFill>
                        <a:schemeClr val="tx1">
                          <a:lumMod val="35000"/>
                          <a:lumOff val="65000"/>
                        </a:schemeClr>
                      </a:solidFill>
                      <a:prstDash val="solid"/>
                      <a:round/>
                    </a:ln>
                    <a:effectLst/>
                  </c:spPr>
                </c15:leaderLines>
              </c:ext>
            </c:extLst>
          </c:dLbls>
          <c:cat>
            <c:strRef>
              <c:f>图饼!$I$3:$J$3</c:f>
              <c:strCache>
                <c:ptCount val="2"/>
                <c:pt idx="0">
                  <c:v>财政拨款收入</c:v>
                </c:pt>
                <c:pt idx="1">
                  <c:v>其他收入</c:v>
                </c:pt>
              </c:strCache>
            </c:strRef>
          </c:cat>
          <c:val>
            <c:numRef>
              <c:f>图饼!$I$4:$J$4</c:f>
              <c:numCache>
                <c:formatCode>0.00%</c:formatCode>
                <c:ptCount val="2"/>
                <c:pt idx="0">
                  <c:v>0.9999</c:v>
                </c:pt>
                <c:pt idx="1">
                  <c:v>0.0001</c:v>
                </c:pt>
              </c:numCache>
            </c:numRef>
          </c:val>
        </c:ser>
        <c:dLbls>
          <c:showLegendKey val="0"/>
          <c:showVal val="1"/>
          <c:showCatName val="0"/>
          <c:showSerName val="0"/>
          <c:showPercent val="0"/>
          <c:showBubbleSize val="0"/>
          <c:showLeaderLines val="1"/>
        </c:dLbls>
        <c:firstSliceAng val="0"/>
      </c:pieChart>
      <c:spPr>
        <a:noFill/>
        <a:ln w="25349">
          <a:noFill/>
        </a:ln>
      </c:spPr>
    </c:plotArea>
    <c:legend>
      <c:legendPos val="b"/>
      <c:layout/>
      <c:overlay val="0"/>
      <c:spPr>
        <a:noFill/>
        <a:ln w="25349">
          <a:noFill/>
        </a:ln>
      </c:spPr>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f5144690-1e2d-42d8-b8f9-a0abe371caa7}"/>
      </c:ext>
    </c:extLst>
  </c:chart>
  <c:spPr>
    <a:solidFill>
      <a:schemeClr val="bg1"/>
    </a:solidFill>
    <a:ln w="9506"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395" b="0" i="0" u="none" strike="noStrike" kern="1200" spc="0" baseline="0">
                <a:solidFill>
                  <a:schemeClr val="tx1">
                    <a:lumMod val="65000"/>
                    <a:lumOff val="35000"/>
                  </a:schemeClr>
                </a:solidFill>
                <a:latin typeface="+mn-lt"/>
                <a:ea typeface="+mn-ea"/>
                <a:cs typeface="+mn-cs"/>
              </a:defRPr>
            </a:pPr>
            <a:r>
              <a:rPr lang="zh-CN" altLang="en-US"/>
              <a:t>支出决算</a:t>
            </a:r>
            <a:endParaRPr lang="zh-CN" altLang="en-US"/>
          </a:p>
        </c:rich>
      </c:tx>
      <c:layout>
        <c:manualLayout>
          <c:xMode val="edge"/>
          <c:yMode val="edge"/>
          <c:x val="0.415708839562476"/>
          <c:y val="0.0324074544445385"/>
        </c:manualLayout>
      </c:layout>
      <c:overlay val="0"/>
      <c:spPr>
        <a:noFill/>
        <a:ln w="25343">
          <a:noFill/>
        </a:ln>
      </c:spPr>
    </c:title>
    <c:autoTitleDeleted val="0"/>
    <c:plotArea>
      <c:layout/>
      <c:pieChart>
        <c:varyColors val="1"/>
        <c:ser>
          <c:idx val="0"/>
          <c:order val="0"/>
          <c:explosion val="0"/>
          <c:dPt>
            <c:idx val="0"/>
            <c:bubble3D val="0"/>
            <c:spPr>
              <a:solidFill>
                <a:schemeClr val="accent1"/>
              </a:solidFill>
              <a:ln w="19007">
                <a:solidFill>
                  <a:schemeClr val="lt1"/>
                </a:solidFill>
              </a:ln>
              <a:effectLst/>
            </c:spPr>
          </c:dPt>
          <c:dPt>
            <c:idx val="1"/>
            <c:bubble3D val="0"/>
            <c:spPr>
              <a:solidFill>
                <a:schemeClr val="accent2"/>
              </a:solidFill>
              <a:ln w="19007">
                <a:solidFill>
                  <a:schemeClr val="lt1"/>
                </a:solidFill>
              </a:ln>
              <a:effectLst/>
            </c:spPr>
          </c:dPt>
          <c:dLbls>
            <c:dLbl>
              <c:idx val="0"/>
              <c:layout>
                <c:manualLayout>
                  <c:x val="-0.135164903029655"/>
                  <c:y val="-0.107566016613515"/>
                </c:manualLayout>
              </c:layout>
              <c:numFmt formatCode="General" sourceLinked="1"/>
              <c:spPr>
                <a:noFill/>
                <a:ln w="25343">
                  <a:noFill/>
                </a:ln>
                <a:effectLst/>
              </c:spPr>
              <c:txPr>
                <a:bodyPr rot="0" spcFirstLastPara="1" vertOverflow="ellipsis" vert="horz" wrap="square" lIns="38100" tIns="19050" rIns="38100" bIns="19050" anchor="ctr" anchorCtr="1">
                  <a:noAutofit/>
                </a:bodyPr>
                <a:lstStyle/>
                <a:p>
                  <a:pPr>
                    <a:defRPr lang="zh-CN" sz="105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21889051198917"/>
                  <c:y val="0.100840835755745"/>
                </c:manualLayout>
              </c:layout>
              <c:numFmt formatCode="General" sourceLinked="1"/>
              <c:spPr>
                <a:noFill/>
                <a:ln w="25343">
                  <a:noFill/>
                </a:ln>
                <a:effectLst/>
              </c:spPr>
              <c:txPr>
                <a:bodyPr rot="0" spcFirstLastPara="1" vertOverflow="ellipsis" vert="horz" wrap="square" lIns="38100" tIns="19050" rIns="38100" bIns="19050" anchor="ctr" anchorCtr="1">
                  <a:noAutofit/>
                </a:bodyPr>
                <a:lstStyle/>
                <a:p>
                  <a:pPr>
                    <a:defRPr lang="zh-CN" sz="105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w="25343">
                <a:noFill/>
              </a:ln>
              <a:effectLst/>
            </c:spPr>
            <c:txPr>
              <a:bodyPr rot="0" spcFirstLastPara="1" vertOverflow="ellipsis" vert="horz" wrap="square" lIns="38100" tIns="19050" rIns="38100" bIns="19050" anchor="ctr" anchorCtr="1">
                <a:spAutoFit/>
              </a:bodyPr>
              <a:lstStyle/>
              <a:p>
                <a:pPr>
                  <a:defRPr lang="zh-CN" sz="105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04" cap="flat" cmpd="sng" algn="ctr">
                      <a:solidFill>
                        <a:schemeClr val="tx1">
                          <a:lumMod val="35000"/>
                          <a:lumOff val="65000"/>
                        </a:schemeClr>
                      </a:solidFill>
                      <a:prstDash val="solid"/>
                      <a:round/>
                    </a:ln>
                    <a:effectLst/>
                  </c:spPr>
                </c15:leaderLines>
              </c:ext>
            </c:extLst>
          </c:dLbls>
          <c:cat>
            <c:strRef>
              <c:f>图饼!$B$3:$C$3</c:f>
              <c:strCache>
                <c:ptCount val="2"/>
                <c:pt idx="0">
                  <c:v>基本支出</c:v>
                </c:pt>
                <c:pt idx="1">
                  <c:v>项目支出</c:v>
                </c:pt>
              </c:strCache>
            </c:strRef>
          </c:cat>
          <c:val>
            <c:numRef>
              <c:f>图饼!$B$4:$C$4</c:f>
              <c:numCache>
                <c:formatCode>0.00%</c:formatCode>
                <c:ptCount val="2"/>
                <c:pt idx="0">
                  <c:v>0.6652</c:v>
                </c:pt>
                <c:pt idx="1">
                  <c:v>0.3348</c:v>
                </c:pt>
              </c:numCache>
            </c:numRef>
          </c:val>
        </c:ser>
        <c:dLbls>
          <c:showLegendKey val="0"/>
          <c:showVal val="1"/>
          <c:showCatName val="0"/>
          <c:showSerName val="0"/>
          <c:showPercent val="0"/>
          <c:showBubbleSize val="0"/>
          <c:showLeaderLines val="1"/>
        </c:dLbls>
        <c:firstSliceAng val="0"/>
      </c:pieChart>
      <c:spPr>
        <a:noFill/>
        <a:ln w="25343">
          <a:noFill/>
        </a:ln>
      </c:spPr>
    </c:plotArea>
    <c:legend>
      <c:legendPos val="b"/>
      <c:layout/>
      <c:overlay val="0"/>
      <c:spPr>
        <a:noFill/>
        <a:ln w="25343">
          <a:noFill/>
        </a:ln>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1b3fd65a-1ed2-4e0f-ad56-dae15b86ffac}"/>
      </c:ext>
    </c:extLst>
  </c:chart>
  <c:spPr>
    <a:solidFill>
      <a:schemeClr val="bg1"/>
    </a:solidFill>
    <a:ln w="9504"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Company>Lenovo</Company>
  <Pages>10</Pages>
  <Words>2619</Words>
  <Characters>3021</Characters>
  <Lines>22</Lines>
  <Paragraphs>6</Paragraphs>
  <TotalTime>0</TotalTime>
  <ScaleCrop>false</ScaleCrop>
  <LinksUpToDate>false</LinksUpToDate>
  <CharactersWithSpaces>3034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2025-08-27T02:38:00Z</dcterms:created>
  <dc:creator>常程</dc:creator>
  <cp:lastModifiedBy>黄猛</cp:lastModifiedBy>
  <cp:lastPrinted>2025-08-26T08:37:00Z</cp:lastPrinted>
  <dcterms:modified xsi:type="dcterms:W3CDTF">2025-09-04T10:12:56Z</dcterms:modified>
  <dc:title>北京市财政局关于做好向市人大常委会报送2015年度市级部门决算（草案）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96C7017D7F1148C49163819C68831EAC_13</vt:lpwstr>
  </property>
  <property fmtid="{D5CDD505-2E9C-101B-9397-08002B2CF9AE}" pid="4" name="KSOTemplateDocerSaveRecord">
    <vt:lpwstr>eyJoZGlkIjoiMWE4Y2ZjZjBjY2E4NzY3MzMzODI2ZTcwNmFkNDkzOTciLCJ1c2VySWQiOiI2NjE3MDcyNjMifQ==</vt:lpwstr>
  </property>
</Properties>
</file>