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E95AE">
      <w:pPr>
        <w:jc w:val="center"/>
        <w:rPr>
          <w:rFonts w:ascii="仿宋_GB2312" w:hAnsi="仿宋_GB2312" w:eastAsia="仿宋_GB2312" w:cs="仿宋_GB2312"/>
          <w:b/>
          <w:sz w:val="32"/>
        </w:rPr>
      </w:pPr>
    </w:p>
    <w:p w14:paraId="68392521">
      <w:pPr>
        <w:rPr>
          <w:rFonts w:ascii="黑体" w:hAnsi="黑体" w:eastAsia="黑体" w:cs="黑体"/>
          <w:sz w:val="72"/>
        </w:rPr>
      </w:pPr>
    </w:p>
    <w:p w14:paraId="76E71A19">
      <w:pPr>
        <w:rPr>
          <w:rFonts w:ascii="黑体" w:hAnsi="黑体" w:eastAsia="黑体" w:cs="黑体"/>
          <w:sz w:val="72"/>
        </w:rPr>
      </w:pPr>
    </w:p>
    <w:p w14:paraId="15409EC1">
      <w:pPr>
        <w:jc w:val="center"/>
        <w:rPr>
          <w:rFonts w:hint="eastAsia" w:ascii="黑体" w:hAnsi="黑体" w:eastAsia="黑体" w:cs="黑体"/>
          <w:sz w:val="72"/>
        </w:rPr>
      </w:pPr>
    </w:p>
    <w:p w14:paraId="133B846F">
      <w:pPr>
        <w:jc w:val="center"/>
        <w:rPr>
          <w:rFonts w:hint="eastAsia" w:ascii="黑体" w:hAnsi="黑体" w:eastAsia="黑体" w:cs="黑体"/>
          <w:color w:val="auto"/>
          <w:sz w:val="72"/>
        </w:rPr>
      </w:pPr>
      <w:r>
        <w:rPr>
          <w:rFonts w:ascii="黑体" w:hAnsi="黑体" w:eastAsia="黑体" w:cs="黑体"/>
          <w:color w:val="auto"/>
          <w:sz w:val="72"/>
        </w:rPr>
        <w:t>2024年度</w:t>
      </w:r>
      <w:r>
        <w:rPr>
          <w:rFonts w:hint="eastAsia" w:ascii="黑体" w:hAnsi="黑体" w:eastAsia="黑体" w:cs="黑体"/>
          <w:color w:val="auto"/>
          <w:sz w:val="72"/>
        </w:rPr>
        <w:t>单位</w:t>
      </w:r>
      <w:r>
        <w:rPr>
          <w:rFonts w:ascii="黑体" w:hAnsi="黑体" w:eastAsia="黑体" w:cs="黑体"/>
          <w:color w:val="auto"/>
          <w:sz w:val="72"/>
        </w:rPr>
        <w:t>决算公开</w:t>
      </w:r>
    </w:p>
    <w:p w14:paraId="6D4E5B5B">
      <w:pPr>
        <w:jc w:val="center"/>
        <w:rPr>
          <w:rFonts w:ascii="黑体" w:hAnsi="黑体" w:eastAsia="黑体" w:cs="黑体"/>
          <w:color w:val="auto"/>
          <w:sz w:val="52"/>
        </w:rPr>
      </w:pPr>
    </w:p>
    <w:p w14:paraId="13236E43">
      <w:pPr>
        <w:jc w:val="center"/>
        <w:rPr>
          <w:rFonts w:ascii="黑体" w:hAnsi="黑体" w:eastAsia="黑体" w:cs="黑体"/>
          <w:color w:val="auto"/>
          <w:sz w:val="52"/>
        </w:rPr>
      </w:pPr>
    </w:p>
    <w:p w14:paraId="35BCE373">
      <w:pPr>
        <w:jc w:val="center"/>
        <w:rPr>
          <w:rFonts w:ascii="黑体" w:hAnsi="黑体" w:eastAsia="黑体" w:cs="黑体"/>
          <w:color w:val="auto"/>
          <w:sz w:val="52"/>
        </w:rPr>
      </w:pPr>
    </w:p>
    <w:p w14:paraId="682538A1">
      <w:pPr>
        <w:jc w:val="center"/>
        <w:rPr>
          <w:rFonts w:ascii="黑体" w:hAnsi="黑体" w:eastAsia="黑体" w:cs="黑体"/>
          <w:color w:val="auto"/>
          <w:sz w:val="32"/>
        </w:rPr>
      </w:pPr>
    </w:p>
    <w:p w14:paraId="77ED7862">
      <w:pPr>
        <w:jc w:val="center"/>
        <w:rPr>
          <w:rFonts w:ascii="黑体" w:hAnsi="黑体" w:eastAsia="黑体" w:cs="黑体"/>
          <w:color w:val="auto"/>
          <w:sz w:val="32"/>
        </w:rPr>
      </w:pPr>
    </w:p>
    <w:p w14:paraId="20EF333A">
      <w:pPr>
        <w:jc w:val="center"/>
        <w:rPr>
          <w:rFonts w:ascii="黑体" w:hAnsi="黑体" w:eastAsia="黑体" w:cs="黑体"/>
          <w:color w:val="auto"/>
          <w:sz w:val="32"/>
        </w:rPr>
      </w:pPr>
    </w:p>
    <w:p w14:paraId="12F67C46">
      <w:pPr>
        <w:jc w:val="center"/>
        <w:rPr>
          <w:rFonts w:ascii="黑体" w:hAnsi="黑体" w:eastAsia="黑体" w:cs="黑体"/>
          <w:color w:val="auto"/>
          <w:sz w:val="32"/>
        </w:rPr>
      </w:pPr>
    </w:p>
    <w:p w14:paraId="4167BB2D">
      <w:pPr>
        <w:spacing w:line="520" w:lineRule="exact"/>
        <w:ind w:firstLine="645"/>
        <w:jc w:val="center"/>
        <w:rPr>
          <w:rFonts w:ascii="宋体" w:hAnsi="宋体" w:eastAsia="宋体" w:cs="宋体"/>
          <w:b/>
          <w:color w:val="auto"/>
          <w:sz w:val="44"/>
        </w:rPr>
      </w:pPr>
      <w:r>
        <w:rPr>
          <w:rFonts w:ascii="宋体" w:hAnsi="宋体" w:eastAsia="宋体" w:cs="宋体"/>
          <w:b/>
          <w:color w:val="auto"/>
          <w:sz w:val="44"/>
        </w:rPr>
        <w:t>目    录</w:t>
      </w:r>
    </w:p>
    <w:p w14:paraId="5C4D2534">
      <w:pPr>
        <w:spacing w:line="520" w:lineRule="exact"/>
        <w:ind w:firstLine="645"/>
        <w:jc w:val="center"/>
        <w:rPr>
          <w:rFonts w:ascii="宋体" w:hAnsi="宋体" w:eastAsia="宋体" w:cs="宋体"/>
          <w:b/>
          <w:color w:val="auto"/>
          <w:sz w:val="36"/>
        </w:rPr>
      </w:pPr>
    </w:p>
    <w:p w14:paraId="3E629E95">
      <w:pPr>
        <w:tabs>
          <w:tab w:val="center" w:pos="6979"/>
        </w:tabs>
        <w:spacing w:line="520" w:lineRule="exact"/>
        <w:ind w:firstLine="1600" w:firstLineChars="400"/>
        <w:jc w:val="left"/>
        <w:rPr>
          <w:rFonts w:ascii="宋体" w:hAnsi="宋体" w:eastAsia="宋体" w:cs="宋体"/>
          <w:bCs/>
          <w:color w:val="auto"/>
          <w:spacing w:val="40"/>
          <w:kern w:val="0"/>
          <w:sz w:val="32"/>
          <w:szCs w:val="32"/>
        </w:rPr>
      </w:pPr>
      <w:r>
        <w:rPr>
          <w:rFonts w:hint="eastAsia" w:ascii="宋体" w:hAnsi="宋体" w:eastAsia="宋体" w:cs="宋体"/>
          <w:bCs/>
          <w:color w:val="auto"/>
          <w:spacing w:val="40"/>
          <w:kern w:val="0"/>
          <w:sz w:val="32"/>
          <w:szCs w:val="32"/>
        </w:rPr>
        <w:t>第一部分 2024年度单位决算报表</w:t>
      </w:r>
    </w:p>
    <w:p w14:paraId="2AFC5460">
      <w:pPr>
        <w:tabs>
          <w:tab w:val="center" w:pos="6979"/>
        </w:tabs>
        <w:spacing w:line="520" w:lineRule="exact"/>
        <w:ind w:firstLine="1600" w:firstLineChars="400"/>
        <w:jc w:val="left"/>
        <w:rPr>
          <w:rFonts w:ascii="仿宋_GB2312" w:hAnsi="宋体" w:eastAsia="仿宋_GB2312" w:cs="宋体"/>
          <w:bCs/>
          <w:color w:val="auto"/>
          <w:spacing w:val="40"/>
          <w:kern w:val="0"/>
          <w:sz w:val="32"/>
          <w:szCs w:val="32"/>
        </w:rPr>
      </w:pPr>
      <w:r>
        <w:rPr>
          <w:rFonts w:hint="eastAsia" w:ascii="仿宋_GB2312" w:hAnsi="宋体" w:eastAsia="仿宋_GB2312" w:cs="宋体"/>
          <w:bCs/>
          <w:color w:val="auto"/>
          <w:spacing w:val="40"/>
          <w:kern w:val="0"/>
          <w:sz w:val="32"/>
          <w:szCs w:val="32"/>
        </w:rPr>
        <w:t>一、收入支出决算总表</w:t>
      </w:r>
    </w:p>
    <w:p w14:paraId="7DB29159">
      <w:pPr>
        <w:tabs>
          <w:tab w:val="center" w:pos="6979"/>
        </w:tabs>
        <w:spacing w:line="520" w:lineRule="exact"/>
        <w:ind w:firstLine="1600" w:firstLineChars="400"/>
        <w:jc w:val="left"/>
        <w:rPr>
          <w:rFonts w:ascii="仿宋_GB2312" w:hAnsi="宋体" w:eastAsia="仿宋_GB2312" w:cs="宋体"/>
          <w:bCs/>
          <w:color w:val="auto"/>
          <w:spacing w:val="40"/>
          <w:kern w:val="0"/>
          <w:sz w:val="32"/>
          <w:szCs w:val="32"/>
        </w:rPr>
      </w:pPr>
      <w:r>
        <w:rPr>
          <w:rFonts w:hint="eastAsia" w:ascii="仿宋_GB2312" w:hAnsi="宋体" w:eastAsia="仿宋_GB2312" w:cs="宋体"/>
          <w:bCs/>
          <w:color w:val="auto"/>
          <w:spacing w:val="40"/>
          <w:kern w:val="0"/>
          <w:sz w:val="32"/>
          <w:szCs w:val="32"/>
        </w:rPr>
        <w:t>二、收入决算表</w:t>
      </w:r>
    </w:p>
    <w:p w14:paraId="2AAF56C8">
      <w:pPr>
        <w:tabs>
          <w:tab w:val="center" w:pos="6979"/>
        </w:tabs>
        <w:spacing w:line="520" w:lineRule="exact"/>
        <w:ind w:firstLine="1600" w:firstLineChars="400"/>
        <w:jc w:val="left"/>
        <w:rPr>
          <w:rFonts w:ascii="仿宋_GB2312" w:hAnsi="宋体" w:eastAsia="仿宋_GB2312" w:cs="宋体"/>
          <w:bCs/>
          <w:color w:val="auto"/>
          <w:spacing w:val="40"/>
          <w:kern w:val="0"/>
          <w:sz w:val="32"/>
          <w:szCs w:val="32"/>
        </w:rPr>
      </w:pPr>
      <w:r>
        <w:rPr>
          <w:rFonts w:hint="eastAsia" w:ascii="仿宋_GB2312" w:hAnsi="宋体" w:eastAsia="仿宋_GB2312" w:cs="宋体"/>
          <w:bCs/>
          <w:color w:val="auto"/>
          <w:spacing w:val="40"/>
          <w:kern w:val="0"/>
          <w:sz w:val="32"/>
          <w:szCs w:val="32"/>
        </w:rPr>
        <w:t>三、支出决算表</w:t>
      </w:r>
    </w:p>
    <w:p w14:paraId="3986AF90">
      <w:pPr>
        <w:tabs>
          <w:tab w:val="center" w:pos="6979"/>
        </w:tabs>
        <w:spacing w:line="520" w:lineRule="exact"/>
        <w:ind w:firstLine="1600" w:firstLineChars="400"/>
        <w:jc w:val="left"/>
        <w:rPr>
          <w:rFonts w:ascii="仿宋_GB2312" w:hAnsi="宋体" w:eastAsia="仿宋_GB2312" w:cs="宋体"/>
          <w:bCs/>
          <w:color w:val="auto"/>
          <w:spacing w:val="40"/>
          <w:kern w:val="0"/>
          <w:sz w:val="32"/>
          <w:szCs w:val="32"/>
        </w:rPr>
      </w:pPr>
      <w:r>
        <w:rPr>
          <w:rFonts w:hint="eastAsia" w:ascii="仿宋_GB2312" w:hAnsi="宋体" w:eastAsia="仿宋_GB2312" w:cs="宋体"/>
          <w:bCs/>
          <w:color w:val="auto"/>
          <w:spacing w:val="40"/>
          <w:kern w:val="0"/>
          <w:sz w:val="32"/>
          <w:szCs w:val="32"/>
        </w:rPr>
        <w:t>四、财政拨款收入支出决算总表</w:t>
      </w:r>
    </w:p>
    <w:p w14:paraId="5977952A">
      <w:pPr>
        <w:tabs>
          <w:tab w:val="center" w:pos="6979"/>
        </w:tabs>
        <w:spacing w:line="520" w:lineRule="exact"/>
        <w:ind w:firstLine="1600" w:firstLineChars="400"/>
        <w:jc w:val="left"/>
        <w:rPr>
          <w:rFonts w:ascii="仿宋_GB2312" w:hAnsi="宋体" w:eastAsia="仿宋_GB2312" w:cs="宋体"/>
          <w:bCs/>
          <w:color w:val="auto"/>
          <w:spacing w:val="40"/>
          <w:kern w:val="0"/>
          <w:sz w:val="32"/>
          <w:szCs w:val="32"/>
        </w:rPr>
      </w:pPr>
      <w:r>
        <w:rPr>
          <w:rFonts w:hint="eastAsia" w:ascii="仿宋_GB2312" w:hAnsi="宋体" w:eastAsia="仿宋_GB2312" w:cs="宋体"/>
          <w:bCs/>
          <w:color w:val="auto"/>
          <w:spacing w:val="40"/>
          <w:kern w:val="0"/>
          <w:sz w:val="32"/>
          <w:szCs w:val="32"/>
        </w:rPr>
        <w:t>五、一般公共预算财政拨款支出决算表</w:t>
      </w:r>
    </w:p>
    <w:p w14:paraId="074CC75A">
      <w:pPr>
        <w:tabs>
          <w:tab w:val="center" w:pos="6979"/>
        </w:tabs>
        <w:spacing w:line="520" w:lineRule="exact"/>
        <w:ind w:firstLine="1600" w:firstLineChars="400"/>
        <w:jc w:val="left"/>
        <w:rPr>
          <w:rFonts w:ascii="仿宋_GB2312" w:hAnsi="宋体" w:eastAsia="仿宋_GB2312" w:cs="宋体"/>
          <w:bCs/>
          <w:color w:val="auto"/>
          <w:spacing w:val="40"/>
          <w:kern w:val="0"/>
          <w:sz w:val="32"/>
          <w:szCs w:val="32"/>
        </w:rPr>
      </w:pPr>
      <w:r>
        <w:rPr>
          <w:rFonts w:hint="eastAsia" w:ascii="仿宋_GB2312" w:hAnsi="宋体" w:eastAsia="仿宋_GB2312" w:cs="宋体"/>
          <w:bCs/>
          <w:color w:val="auto"/>
          <w:spacing w:val="40"/>
          <w:kern w:val="0"/>
          <w:sz w:val="32"/>
          <w:szCs w:val="32"/>
        </w:rPr>
        <w:t>六、一般公共预算财政拨款基本支出决算表</w:t>
      </w:r>
    </w:p>
    <w:p w14:paraId="54458814">
      <w:pPr>
        <w:tabs>
          <w:tab w:val="center" w:pos="6979"/>
        </w:tabs>
        <w:spacing w:line="520" w:lineRule="exact"/>
        <w:ind w:firstLine="1600" w:firstLineChars="400"/>
        <w:jc w:val="left"/>
        <w:rPr>
          <w:rFonts w:ascii="仿宋_GB2312" w:hAnsi="宋体" w:eastAsia="仿宋_GB2312" w:cs="宋体"/>
          <w:bCs/>
          <w:color w:val="auto"/>
          <w:spacing w:val="40"/>
          <w:kern w:val="0"/>
          <w:sz w:val="32"/>
          <w:szCs w:val="32"/>
        </w:rPr>
      </w:pPr>
      <w:r>
        <w:rPr>
          <w:rFonts w:hint="eastAsia" w:ascii="仿宋_GB2312" w:hAnsi="宋体" w:eastAsia="仿宋_GB2312" w:cs="宋体"/>
          <w:bCs/>
          <w:color w:val="auto"/>
          <w:spacing w:val="40"/>
          <w:kern w:val="0"/>
          <w:sz w:val="32"/>
          <w:szCs w:val="32"/>
        </w:rPr>
        <w:t>七、政府性基金预算财政拨款收入支出决算表</w:t>
      </w:r>
    </w:p>
    <w:p w14:paraId="119B31B5">
      <w:pPr>
        <w:tabs>
          <w:tab w:val="center" w:pos="6979"/>
        </w:tabs>
        <w:spacing w:line="520" w:lineRule="exact"/>
        <w:ind w:firstLine="1600" w:firstLineChars="400"/>
        <w:jc w:val="left"/>
        <w:rPr>
          <w:rFonts w:ascii="仿宋_GB2312" w:hAnsi="宋体" w:eastAsia="仿宋_GB2312" w:cs="宋体"/>
          <w:bCs/>
          <w:color w:val="auto"/>
          <w:spacing w:val="40"/>
          <w:kern w:val="0"/>
          <w:sz w:val="32"/>
          <w:szCs w:val="32"/>
        </w:rPr>
      </w:pPr>
      <w:r>
        <w:rPr>
          <w:rFonts w:hint="eastAsia" w:ascii="仿宋_GB2312" w:hAnsi="宋体" w:eastAsia="仿宋_GB2312" w:cs="宋体"/>
          <w:bCs/>
          <w:color w:val="auto"/>
          <w:spacing w:val="40"/>
          <w:kern w:val="0"/>
          <w:sz w:val="32"/>
          <w:szCs w:val="32"/>
        </w:rPr>
        <w:t>八、政府性基金预算财政拨款基本支出决算表</w:t>
      </w:r>
    </w:p>
    <w:p w14:paraId="6D3B38B8">
      <w:pPr>
        <w:tabs>
          <w:tab w:val="center" w:pos="6979"/>
        </w:tabs>
        <w:spacing w:line="520" w:lineRule="exact"/>
        <w:ind w:firstLine="1600" w:firstLineChars="400"/>
        <w:jc w:val="left"/>
        <w:rPr>
          <w:rFonts w:ascii="仿宋_GB2312" w:hAnsi="宋体" w:eastAsia="仿宋_GB2312" w:cs="宋体"/>
          <w:bCs/>
          <w:color w:val="auto"/>
          <w:spacing w:val="40"/>
          <w:kern w:val="0"/>
          <w:sz w:val="32"/>
          <w:szCs w:val="32"/>
        </w:rPr>
      </w:pPr>
      <w:r>
        <w:rPr>
          <w:rFonts w:hint="eastAsia" w:ascii="仿宋_GB2312" w:hAnsi="宋体" w:eastAsia="仿宋_GB2312" w:cs="宋体"/>
          <w:bCs/>
          <w:color w:val="auto"/>
          <w:spacing w:val="40"/>
          <w:kern w:val="0"/>
          <w:sz w:val="32"/>
          <w:szCs w:val="32"/>
        </w:rPr>
        <w:t>九、国有资本经营预算财政拨款支出决算表</w:t>
      </w:r>
    </w:p>
    <w:p w14:paraId="49104B12">
      <w:pPr>
        <w:tabs>
          <w:tab w:val="center" w:pos="6979"/>
        </w:tabs>
        <w:spacing w:line="520" w:lineRule="exact"/>
        <w:ind w:firstLine="1600" w:firstLineChars="400"/>
        <w:jc w:val="left"/>
        <w:rPr>
          <w:rFonts w:ascii="仿宋_GB2312" w:hAnsi="宋体" w:eastAsia="仿宋_GB2312" w:cs="宋体"/>
          <w:bCs/>
          <w:color w:val="auto"/>
          <w:spacing w:val="40"/>
          <w:kern w:val="0"/>
          <w:sz w:val="32"/>
          <w:szCs w:val="32"/>
        </w:rPr>
      </w:pPr>
      <w:r>
        <w:rPr>
          <w:rFonts w:hint="eastAsia" w:ascii="仿宋_GB2312" w:hAnsi="宋体" w:eastAsia="仿宋_GB2312" w:cs="宋体"/>
          <w:bCs/>
          <w:color w:val="auto"/>
          <w:spacing w:val="40"/>
          <w:kern w:val="0"/>
          <w:sz w:val="32"/>
          <w:szCs w:val="32"/>
        </w:rPr>
        <w:t>十、财政拨款“三公”经费支出决算表</w:t>
      </w:r>
    </w:p>
    <w:p w14:paraId="66F00CDC">
      <w:pPr>
        <w:tabs>
          <w:tab w:val="center" w:pos="6979"/>
        </w:tabs>
        <w:spacing w:line="520" w:lineRule="exact"/>
        <w:ind w:firstLine="1600" w:firstLineChars="400"/>
        <w:jc w:val="left"/>
        <w:rPr>
          <w:rFonts w:ascii="仿宋_GB2312" w:hAnsi="宋体" w:eastAsia="仿宋_GB2312" w:cs="宋体"/>
          <w:bCs/>
          <w:color w:val="auto"/>
          <w:spacing w:val="40"/>
          <w:kern w:val="0"/>
          <w:sz w:val="32"/>
          <w:szCs w:val="32"/>
        </w:rPr>
      </w:pPr>
      <w:r>
        <w:rPr>
          <w:rFonts w:hint="eastAsia" w:ascii="仿宋_GB2312" w:hAnsi="宋体" w:eastAsia="仿宋_GB2312" w:cs="宋体"/>
          <w:bCs/>
          <w:color w:val="auto"/>
          <w:spacing w:val="40"/>
          <w:kern w:val="0"/>
          <w:sz w:val="32"/>
          <w:szCs w:val="32"/>
        </w:rPr>
        <w:t>十一、政府采购情况表</w:t>
      </w:r>
    </w:p>
    <w:p w14:paraId="0EEDDCA9">
      <w:pPr>
        <w:tabs>
          <w:tab w:val="center" w:pos="6979"/>
        </w:tabs>
        <w:spacing w:line="520" w:lineRule="exact"/>
        <w:ind w:firstLine="1600" w:firstLineChars="400"/>
        <w:jc w:val="left"/>
        <w:rPr>
          <w:rFonts w:ascii="仿宋_GB2312" w:hAnsi="宋体" w:eastAsia="仿宋_GB2312" w:cs="宋体"/>
          <w:bCs/>
          <w:color w:val="auto"/>
          <w:spacing w:val="40"/>
          <w:kern w:val="0"/>
          <w:sz w:val="32"/>
          <w:szCs w:val="32"/>
        </w:rPr>
      </w:pPr>
      <w:r>
        <w:rPr>
          <w:rFonts w:hint="eastAsia" w:ascii="仿宋_GB2312" w:hAnsi="宋体" w:eastAsia="仿宋_GB2312" w:cs="宋体"/>
          <w:bCs/>
          <w:color w:val="auto"/>
          <w:spacing w:val="40"/>
          <w:kern w:val="0"/>
          <w:sz w:val="32"/>
          <w:szCs w:val="32"/>
        </w:rPr>
        <w:t>十二、政府购买服务决算公开情况表</w:t>
      </w:r>
    </w:p>
    <w:p w14:paraId="2EBFC619">
      <w:pPr>
        <w:tabs>
          <w:tab w:val="center" w:pos="6979"/>
        </w:tabs>
        <w:spacing w:line="520" w:lineRule="exact"/>
        <w:ind w:firstLine="1600" w:firstLineChars="400"/>
        <w:jc w:val="left"/>
        <w:rPr>
          <w:rFonts w:ascii="宋体" w:hAnsi="宋体" w:eastAsia="宋体" w:cs="宋体"/>
          <w:bCs/>
          <w:color w:val="auto"/>
          <w:spacing w:val="40"/>
          <w:kern w:val="0"/>
          <w:sz w:val="32"/>
          <w:szCs w:val="32"/>
        </w:rPr>
      </w:pPr>
      <w:r>
        <w:rPr>
          <w:rFonts w:hint="eastAsia" w:ascii="宋体" w:hAnsi="宋体" w:eastAsia="宋体" w:cs="宋体"/>
          <w:bCs/>
          <w:color w:val="auto"/>
          <w:spacing w:val="40"/>
          <w:kern w:val="0"/>
          <w:sz w:val="32"/>
          <w:szCs w:val="32"/>
        </w:rPr>
        <w:t>第二部分 2024年度单位决算说明</w:t>
      </w:r>
    </w:p>
    <w:p w14:paraId="2488F524">
      <w:pPr>
        <w:tabs>
          <w:tab w:val="center" w:pos="6979"/>
        </w:tabs>
        <w:spacing w:line="520" w:lineRule="exact"/>
        <w:ind w:firstLine="1600" w:firstLineChars="400"/>
        <w:jc w:val="left"/>
        <w:rPr>
          <w:rFonts w:ascii="宋体" w:hAnsi="宋体" w:eastAsia="宋体" w:cs="宋体"/>
          <w:bCs/>
          <w:color w:val="auto"/>
          <w:spacing w:val="40"/>
          <w:kern w:val="0"/>
          <w:sz w:val="32"/>
          <w:szCs w:val="32"/>
        </w:rPr>
      </w:pPr>
      <w:r>
        <w:rPr>
          <w:rFonts w:ascii="宋体" w:hAnsi="宋体" w:eastAsia="宋体" w:cs="宋体"/>
          <w:bCs/>
          <w:color w:val="auto"/>
          <w:spacing w:val="40"/>
          <w:kern w:val="0"/>
          <w:sz w:val="32"/>
          <w:szCs w:val="32"/>
        </w:rPr>
        <w:t>第三部分 2024年度其他重要事项的情况说明</w:t>
      </w:r>
    </w:p>
    <w:p w14:paraId="3E52E143">
      <w:pPr>
        <w:tabs>
          <w:tab w:val="center" w:pos="6979"/>
        </w:tabs>
        <w:spacing w:line="520" w:lineRule="exact"/>
        <w:ind w:firstLine="1600" w:firstLineChars="400"/>
        <w:jc w:val="left"/>
        <w:rPr>
          <w:rFonts w:ascii="宋体" w:hAnsi="宋体" w:eastAsia="宋体" w:cs="宋体"/>
          <w:b/>
          <w:bCs/>
          <w:color w:val="auto"/>
          <w:kern w:val="0"/>
          <w:sz w:val="44"/>
          <w:szCs w:val="36"/>
        </w:rPr>
      </w:pPr>
      <w:r>
        <w:rPr>
          <w:rFonts w:ascii="宋体" w:hAnsi="宋体" w:eastAsia="宋体" w:cs="宋体"/>
          <w:bCs/>
          <w:color w:val="auto"/>
          <w:spacing w:val="40"/>
          <w:kern w:val="0"/>
          <w:sz w:val="32"/>
          <w:szCs w:val="32"/>
        </w:rPr>
        <w:t>第四部分 2024年度</w:t>
      </w:r>
      <w:r>
        <w:rPr>
          <w:rFonts w:hint="eastAsia" w:ascii="宋体" w:hAnsi="宋体" w:eastAsia="宋体" w:cs="宋体"/>
          <w:bCs/>
          <w:color w:val="auto"/>
          <w:spacing w:val="40"/>
          <w:kern w:val="0"/>
          <w:sz w:val="32"/>
          <w:szCs w:val="32"/>
        </w:rPr>
        <w:t>单位</w:t>
      </w:r>
      <w:r>
        <w:rPr>
          <w:rFonts w:ascii="宋体" w:hAnsi="宋体" w:eastAsia="宋体" w:cs="宋体"/>
          <w:bCs/>
          <w:color w:val="auto"/>
          <w:spacing w:val="40"/>
          <w:kern w:val="0"/>
          <w:sz w:val="32"/>
          <w:szCs w:val="32"/>
        </w:rPr>
        <w:t>绩效评价情况</w:t>
      </w:r>
    </w:p>
    <w:p w14:paraId="5CE04D5C">
      <w:pPr>
        <w:tabs>
          <w:tab w:val="center" w:pos="6979"/>
        </w:tabs>
        <w:spacing w:before="156" w:after="156"/>
        <w:rPr>
          <w:rFonts w:ascii="宋体" w:hAnsi="宋体" w:eastAsia="宋体" w:cs="宋体"/>
          <w:b/>
          <w:color w:val="auto"/>
          <w:spacing w:val="40"/>
          <w:sz w:val="32"/>
        </w:rPr>
      </w:pPr>
    </w:p>
    <w:p w14:paraId="7C242D7A">
      <w:pPr>
        <w:tabs>
          <w:tab w:val="center" w:pos="6979"/>
        </w:tabs>
        <w:spacing w:before="156" w:after="156"/>
        <w:rPr>
          <w:rFonts w:ascii="宋体" w:hAnsi="宋体" w:eastAsia="宋体" w:cs="宋体"/>
          <w:b/>
          <w:color w:val="auto"/>
          <w:spacing w:val="40"/>
          <w:sz w:val="32"/>
        </w:rPr>
      </w:pPr>
    </w:p>
    <w:p w14:paraId="5779B105">
      <w:pPr>
        <w:tabs>
          <w:tab w:val="center" w:pos="6979"/>
        </w:tabs>
        <w:spacing w:before="156" w:after="156"/>
        <w:rPr>
          <w:rFonts w:ascii="宋体" w:hAnsi="宋体" w:eastAsia="宋体" w:cs="宋体"/>
          <w:b/>
          <w:color w:val="auto"/>
          <w:spacing w:val="40"/>
          <w:sz w:val="32"/>
        </w:rPr>
      </w:pPr>
    </w:p>
    <w:p w14:paraId="70F62B47">
      <w:pPr>
        <w:tabs>
          <w:tab w:val="center" w:pos="6979"/>
        </w:tabs>
        <w:spacing w:before="156" w:after="156"/>
        <w:rPr>
          <w:rFonts w:ascii="宋体" w:hAnsi="宋体" w:eastAsia="宋体" w:cs="宋体"/>
          <w:b/>
          <w:color w:val="auto"/>
          <w:spacing w:val="40"/>
          <w:sz w:val="32"/>
        </w:rPr>
      </w:pPr>
    </w:p>
    <w:p w14:paraId="18AD121F">
      <w:pPr>
        <w:tabs>
          <w:tab w:val="center" w:pos="6979"/>
        </w:tabs>
        <w:spacing w:before="156" w:after="156"/>
        <w:rPr>
          <w:rFonts w:ascii="宋体" w:hAnsi="宋体" w:eastAsia="宋体" w:cs="宋体"/>
          <w:b/>
          <w:color w:val="auto"/>
          <w:spacing w:val="40"/>
          <w:sz w:val="32"/>
        </w:rPr>
      </w:pPr>
    </w:p>
    <w:p w14:paraId="26BF3B01">
      <w:pPr>
        <w:tabs>
          <w:tab w:val="center" w:pos="6979"/>
        </w:tabs>
        <w:spacing w:before="156" w:after="156" w:line="560" w:lineRule="exact"/>
        <w:jc w:val="center"/>
        <w:rPr>
          <w:rFonts w:ascii="宋体" w:hAnsi="宋体" w:eastAsia="宋体" w:cs="宋体"/>
          <w:b/>
          <w:color w:val="auto"/>
          <w:spacing w:val="40"/>
          <w:sz w:val="32"/>
        </w:rPr>
      </w:pPr>
      <w:r>
        <w:rPr>
          <w:rFonts w:ascii="宋体" w:hAnsi="宋体" w:eastAsia="宋体" w:cs="宋体"/>
          <w:b/>
          <w:color w:val="auto"/>
          <w:spacing w:val="40"/>
          <w:sz w:val="44"/>
        </w:rPr>
        <w:t>第一部分 2024年度</w:t>
      </w:r>
      <w:r>
        <w:rPr>
          <w:rFonts w:hint="eastAsia" w:ascii="宋体" w:hAnsi="宋体" w:eastAsia="宋体" w:cs="宋体"/>
          <w:b/>
          <w:color w:val="auto"/>
          <w:spacing w:val="40"/>
          <w:sz w:val="44"/>
        </w:rPr>
        <w:t>单位</w:t>
      </w:r>
      <w:r>
        <w:rPr>
          <w:rFonts w:ascii="宋体" w:hAnsi="宋体" w:eastAsia="宋体" w:cs="宋体"/>
          <w:b/>
          <w:color w:val="auto"/>
          <w:spacing w:val="40"/>
          <w:sz w:val="44"/>
        </w:rPr>
        <w:t>决算报表</w:t>
      </w:r>
    </w:p>
    <w:p w14:paraId="3553D4F4">
      <w:pPr>
        <w:keepNext/>
        <w:keepLines/>
        <w:spacing w:before="100" w:after="100" w:line="560" w:lineRule="exact"/>
        <w:rPr>
          <w:rFonts w:ascii="Cambria" w:hAnsi="Cambria" w:eastAsia="Cambria" w:cs="Cambria"/>
          <w:color w:val="auto"/>
          <w:sz w:val="36"/>
        </w:rPr>
      </w:pPr>
      <w:r>
        <w:rPr>
          <w:rFonts w:ascii="仿宋_GB2312" w:hAnsi="仿宋_GB2312" w:eastAsia="仿宋_GB2312" w:cs="仿宋_GB2312"/>
          <w:b/>
          <w:color w:val="auto"/>
          <w:sz w:val="28"/>
        </w:rPr>
        <w:t xml:space="preserve">   </w:t>
      </w:r>
      <w:r>
        <w:rPr>
          <w:rFonts w:ascii="仿宋_GB2312" w:hAnsi="仿宋_GB2312" w:eastAsia="仿宋_GB2312" w:cs="仿宋_GB2312"/>
          <w:color w:val="auto"/>
          <w:sz w:val="28"/>
        </w:rPr>
        <w:t>报表详见附件。</w:t>
      </w:r>
    </w:p>
    <w:p w14:paraId="6365FBA2">
      <w:pPr>
        <w:tabs>
          <w:tab w:val="center" w:pos="6979"/>
        </w:tabs>
        <w:spacing w:before="156" w:after="156" w:line="560" w:lineRule="exact"/>
        <w:jc w:val="center"/>
        <w:rPr>
          <w:rFonts w:ascii="宋体" w:hAnsi="宋体" w:eastAsia="宋体" w:cs="宋体"/>
          <w:b/>
          <w:color w:val="auto"/>
          <w:spacing w:val="40"/>
          <w:sz w:val="32"/>
        </w:rPr>
      </w:pPr>
    </w:p>
    <w:p w14:paraId="6203BF2C">
      <w:pPr>
        <w:tabs>
          <w:tab w:val="center" w:pos="6979"/>
        </w:tabs>
        <w:spacing w:before="156" w:after="156" w:line="560" w:lineRule="exact"/>
        <w:jc w:val="center"/>
        <w:rPr>
          <w:rFonts w:ascii="宋体" w:hAnsi="宋体" w:eastAsia="宋体" w:cs="宋体"/>
          <w:b/>
          <w:color w:val="auto"/>
          <w:spacing w:val="40"/>
          <w:sz w:val="32"/>
        </w:rPr>
      </w:pPr>
    </w:p>
    <w:p w14:paraId="4210A08F">
      <w:pPr>
        <w:tabs>
          <w:tab w:val="center" w:pos="6979"/>
        </w:tabs>
        <w:spacing w:before="156" w:after="156" w:line="560" w:lineRule="exact"/>
        <w:jc w:val="center"/>
        <w:rPr>
          <w:rFonts w:ascii="宋体" w:hAnsi="宋体" w:eastAsia="宋体" w:cs="宋体"/>
          <w:b/>
          <w:color w:val="auto"/>
          <w:spacing w:val="40"/>
          <w:sz w:val="32"/>
        </w:rPr>
      </w:pPr>
    </w:p>
    <w:p w14:paraId="30CD5744">
      <w:pPr>
        <w:tabs>
          <w:tab w:val="center" w:pos="6979"/>
        </w:tabs>
        <w:spacing w:before="156" w:after="156" w:line="560" w:lineRule="exact"/>
        <w:jc w:val="center"/>
        <w:rPr>
          <w:rFonts w:ascii="宋体" w:hAnsi="宋体" w:eastAsia="宋体" w:cs="宋体"/>
          <w:b/>
          <w:color w:val="auto"/>
          <w:spacing w:val="40"/>
          <w:sz w:val="32"/>
        </w:rPr>
      </w:pPr>
    </w:p>
    <w:p w14:paraId="57FB0E33">
      <w:pPr>
        <w:tabs>
          <w:tab w:val="center" w:pos="6979"/>
        </w:tabs>
        <w:spacing w:before="156" w:after="156" w:line="560" w:lineRule="exact"/>
        <w:jc w:val="center"/>
        <w:rPr>
          <w:rFonts w:ascii="宋体" w:hAnsi="宋体" w:eastAsia="宋体" w:cs="宋体"/>
          <w:b/>
          <w:color w:val="auto"/>
          <w:spacing w:val="40"/>
          <w:sz w:val="32"/>
        </w:rPr>
      </w:pPr>
    </w:p>
    <w:p w14:paraId="76CD48E6">
      <w:pPr>
        <w:tabs>
          <w:tab w:val="center" w:pos="6979"/>
        </w:tabs>
        <w:spacing w:before="156" w:after="156" w:line="560" w:lineRule="exact"/>
        <w:jc w:val="center"/>
        <w:rPr>
          <w:rFonts w:ascii="宋体" w:hAnsi="宋体" w:eastAsia="宋体" w:cs="宋体"/>
          <w:b/>
          <w:color w:val="auto"/>
          <w:spacing w:val="40"/>
          <w:sz w:val="32"/>
        </w:rPr>
      </w:pPr>
    </w:p>
    <w:p w14:paraId="7958751B">
      <w:pPr>
        <w:tabs>
          <w:tab w:val="center" w:pos="6979"/>
        </w:tabs>
        <w:spacing w:before="156" w:after="156" w:line="560" w:lineRule="exact"/>
        <w:jc w:val="center"/>
        <w:rPr>
          <w:rFonts w:ascii="宋体" w:hAnsi="宋体" w:eastAsia="宋体" w:cs="宋体"/>
          <w:b/>
          <w:color w:val="auto"/>
          <w:spacing w:val="40"/>
          <w:sz w:val="32"/>
        </w:rPr>
      </w:pPr>
    </w:p>
    <w:p w14:paraId="6B5E05E0">
      <w:pPr>
        <w:tabs>
          <w:tab w:val="center" w:pos="6979"/>
        </w:tabs>
        <w:spacing w:before="156" w:after="156" w:line="560" w:lineRule="exact"/>
        <w:jc w:val="center"/>
        <w:rPr>
          <w:rFonts w:ascii="宋体" w:hAnsi="宋体" w:eastAsia="宋体" w:cs="宋体"/>
          <w:b/>
          <w:color w:val="auto"/>
          <w:sz w:val="32"/>
        </w:rPr>
      </w:pPr>
      <w:r>
        <w:rPr>
          <w:rFonts w:ascii="宋体" w:hAnsi="宋体" w:eastAsia="宋体" w:cs="宋体"/>
          <w:b/>
          <w:color w:val="auto"/>
          <w:spacing w:val="40"/>
          <w:sz w:val="32"/>
        </w:rPr>
        <w:t>第二部分 2024年度</w:t>
      </w:r>
      <w:r>
        <w:rPr>
          <w:rFonts w:hint="eastAsia" w:ascii="宋体" w:hAnsi="宋体" w:eastAsia="宋体" w:cs="宋体"/>
          <w:b/>
          <w:color w:val="auto"/>
          <w:spacing w:val="40"/>
          <w:sz w:val="32"/>
        </w:rPr>
        <w:t>单位</w:t>
      </w:r>
      <w:r>
        <w:rPr>
          <w:rFonts w:ascii="宋体" w:hAnsi="宋体" w:eastAsia="宋体" w:cs="宋体"/>
          <w:b/>
          <w:color w:val="auto"/>
          <w:spacing w:val="40"/>
          <w:sz w:val="32"/>
        </w:rPr>
        <w:t>决算说明</w:t>
      </w:r>
    </w:p>
    <w:p w14:paraId="1254BDA1">
      <w:pPr>
        <w:tabs>
          <w:tab w:val="center" w:pos="6979"/>
        </w:tabs>
        <w:spacing w:line="560" w:lineRule="exact"/>
        <w:ind w:firstLine="548"/>
        <w:rPr>
          <w:rFonts w:ascii="黑体" w:hAnsi="黑体" w:eastAsia="黑体" w:cs="黑体"/>
          <w:b/>
          <w:color w:val="auto"/>
          <w:sz w:val="28"/>
        </w:rPr>
      </w:pPr>
      <w:r>
        <w:rPr>
          <w:rFonts w:ascii="黑体" w:hAnsi="黑体" w:eastAsia="黑体" w:cs="黑体"/>
          <w:b/>
          <w:color w:val="auto"/>
          <w:sz w:val="28"/>
        </w:rPr>
        <w:t>一、单位基本情况</w:t>
      </w:r>
    </w:p>
    <w:p w14:paraId="17AD783C">
      <w:pPr>
        <w:tabs>
          <w:tab w:val="center" w:pos="6979"/>
        </w:tabs>
        <w:spacing w:line="560" w:lineRule="exact"/>
        <w:ind w:firstLine="420" w:firstLineChars="150"/>
        <w:rPr>
          <w:rFonts w:ascii="仿宋_GB2312" w:eastAsia="仿宋_GB2312"/>
          <w:color w:val="auto"/>
          <w:sz w:val="28"/>
          <w:szCs w:val="28"/>
        </w:rPr>
      </w:pPr>
      <w:r>
        <w:rPr>
          <w:rFonts w:hint="eastAsia" w:ascii="仿宋_GB2312" w:eastAsia="仿宋_GB2312"/>
          <w:color w:val="auto"/>
          <w:sz w:val="28"/>
          <w:szCs w:val="28"/>
        </w:rPr>
        <w:t>（一）机构</w:t>
      </w:r>
      <w:r>
        <w:rPr>
          <w:rFonts w:ascii="仿宋_GB2312" w:eastAsia="仿宋_GB2312"/>
          <w:color w:val="auto"/>
          <w:sz w:val="28"/>
          <w:szCs w:val="28"/>
        </w:rPr>
        <w:t>设置</w:t>
      </w:r>
    </w:p>
    <w:p w14:paraId="42F82F4A">
      <w:pPr>
        <w:tabs>
          <w:tab w:val="center" w:pos="6979"/>
        </w:tabs>
        <w:spacing w:line="560" w:lineRule="exact"/>
        <w:ind w:firstLine="420" w:firstLineChars="150"/>
        <w:rPr>
          <w:rFonts w:hint="eastAsia" w:ascii="仿宋_GB2312" w:eastAsia="仿宋_GB2312"/>
          <w:color w:val="auto"/>
          <w:sz w:val="28"/>
          <w:szCs w:val="28"/>
        </w:rPr>
      </w:pPr>
      <w:r>
        <w:rPr>
          <w:rFonts w:hint="eastAsia" w:ascii="仿宋_GB2312" w:eastAsia="仿宋_GB2312"/>
          <w:color w:val="auto"/>
          <w:sz w:val="28"/>
          <w:szCs w:val="28"/>
        </w:rPr>
        <w:t>根据《中共北京市委机构编制委员会关于市体育局所属事业单位改革有关事项的批复》，组建成立北京市体育局综合事务中心。中心内部机构设置为一室七科，即：综合办公室、机关事务科、电子政务科、信息资源科、新闻宣传科、影视工作科、老干部工作科、组织人事科。</w:t>
      </w:r>
    </w:p>
    <w:p w14:paraId="6C2C2FD6">
      <w:pPr>
        <w:tabs>
          <w:tab w:val="center" w:pos="6979"/>
        </w:tabs>
        <w:spacing w:line="560" w:lineRule="exact"/>
        <w:ind w:firstLine="420" w:firstLineChars="150"/>
        <w:rPr>
          <w:rFonts w:ascii="仿宋_GB2312" w:eastAsia="仿宋_GB2312"/>
          <w:color w:val="auto"/>
          <w:sz w:val="28"/>
          <w:szCs w:val="28"/>
        </w:rPr>
      </w:pPr>
      <w:r>
        <w:rPr>
          <w:rFonts w:hint="eastAsia" w:ascii="仿宋_GB2312" w:eastAsia="仿宋_GB2312"/>
          <w:color w:val="auto"/>
          <w:sz w:val="28"/>
          <w:szCs w:val="28"/>
          <w:lang w:eastAsia="zh-CN"/>
        </w:rPr>
        <w:t>（二）</w:t>
      </w:r>
      <w:r>
        <w:rPr>
          <w:rFonts w:hint="eastAsia" w:ascii="仿宋_GB2312" w:eastAsia="仿宋_GB2312"/>
          <w:color w:val="auto"/>
          <w:sz w:val="28"/>
          <w:szCs w:val="28"/>
        </w:rPr>
        <w:t>单位职责</w:t>
      </w:r>
    </w:p>
    <w:p w14:paraId="6F3A3272">
      <w:pPr>
        <w:tabs>
          <w:tab w:val="center" w:pos="6979"/>
        </w:tabs>
        <w:spacing w:line="560" w:lineRule="exact"/>
        <w:ind w:firstLine="420" w:firstLineChars="150"/>
        <w:rPr>
          <w:rFonts w:ascii="仿宋_GB2312" w:eastAsia="仿宋_GB2312"/>
          <w:color w:val="auto"/>
          <w:sz w:val="28"/>
          <w:szCs w:val="28"/>
        </w:rPr>
      </w:pPr>
      <w:r>
        <w:rPr>
          <w:rFonts w:hint="eastAsia" w:ascii="仿宋_GB2312" w:eastAsia="仿宋_GB2312"/>
          <w:color w:val="auto"/>
          <w:sz w:val="28"/>
          <w:szCs w:val="28"/>
        </w:rPr>
        <w:t>承担市体育局机关电子政务、信息资源管理、后勤服务保障等事务性工作；承担市体育局新闻宣传的事务性工作；承担市体育局机关离退休人员管理服务具体工作，协调指导市体育局所属单位离退休人员服务工作。</w:t>
      </w:r>
    </w:p>
    <w:p w14:paraId="6B625332">
      <w:pPr>
        <w:tabs>
          <w:tab w:val="center" w:pos="6979"/>
        </w:tabs>
        <w:spacing w:line="560" w:lineRule="exact"/>
        <w:rPr>
          <w:rFonts w:ascii="黑体" w:hAnsi="黑体" w:eastAsia="黑体" w:cs="黑体"/>
          <w:b/>
          <w:color w:val="auto"/>
          <w:sz w:val="28"/>
        </w:rPr>
      </w:pPr>
      <w:r>
        <w:rPr>
          <w:rFonts w:ascii="仿宋_GB2312" w:hAnsi="仿宋_GB2312" w:eastAsia="仿宋_GB2312" w:cs="仿宋_GB2312"/>
          <w:b/>
          <w:color w:val="auto"/>
          <w:sz w:val="32"/>
        </w:rPr>
        <w:t xml:space="preserve">   </w:t>
      </w:r>
      <w:r>
        <w:rPr>
          <w:rFonts w:ascii="黑体" w:hAnsi="黑体" w:eastAsia="黑体" w:cs="黑体"/>
          <w:b/>
          <w:color w:val="auto"/>
          <w:sz w:val="28"/>
        </w:rPr>
        <w:t>二、收入支出决算总体情况说明</w:t>
      </w:r>
    </w:p>
    <w:p w14:paraId="73E1304D">
      <w:pPr>
        <w:tabs>
          <w:tab w:val="center" w:pos="6979"/>
        </w:tabs>
        <w:spacing w:line="560" w:lineRule="exact"/>
        <w:ind w:firstLine="570"/>
        <w:rPr>
          <w:rFonts w:ascii="仿宋_GB2312" w:hAnsi="仿宋_GB2312" w:eastAsia="仿宋_GB2312" w:cs="仿宋_GB2312"/>
          <w:color w:val="auto"/>
          <w:sz w:val="28"/>
        </w:rPr>
      </w:pPr>
      <w:r>
        <w:rPr>
          <w:rFonts w:ascii="仿宋_GB2312" w:eastAsia="仿宋_GB2312"/>
          <w:color w:val="auto"/>
          <w:sz w:val="28"/>
          <w:szCs w:val="28"/>
        </w:rPr>
        <w:t>2024年度收、支总计2465.87万</w:t>
      </w:r>
      <w:r>
        <w:rPr>
          <w:rFonts w:ascii="仿宋_GB2312" w:hAnsi="仿宋_GB2312" w:eastAsia="仿宋_GB2312" w:cs="仿宋_GB2312"/>
          <w:color w:val="auto"/>
          <w:sz w:val="28"/>
        </w:rPr>
        <w:t>元，比上年减少</w:t>
      </w:r>
      <w:r>
        <w:rPr>
          <w:rFonts w:hint="eastAsia" w:ascii="仿宋_GB2312" w:eastAsia="仿宋_GB2312"/>
          <w:color w:val="auto"/>
          <w:sz w:val="28"/>
          <w:szCs w:val="28"/>
        </w:rPr>
        <w:t>373.02</w:t>
      </w:r>
      <w:r>
        <w:rPr>
          <w:rFonts w:ascii="仿宋_GB2312" w:hAnsi="仿宋_GB2312" w:eastAsia="仿宋_GB2312" w:cs="仿宋_GB2312"/>
          <w:color w:val="auto"/>
          <w:sz w:val="28"/>
        </w:rPr>
        <w:t>万元，下降</w:t>
      </w:r>
      <w:r>
        <w:rPr>
          <w:rFonts w:hint="eastAsia" w:ascii="仿宋_GB2312" w:eastAsia="仿宋_GB2312"/>
          <w:color w:val="auto"/>
          <w:sz w:val="28"/>
          <w:szCs w:val="28"/>
        </w:rPr>
        <w:t>13.14</w:t>
      </w:r>
      <w:r>
        <w:rPr>
          <w:rFonts w:ascii="仿宋_GB2312" w:eastAsia="仿宋_GB2312"/>
          <w:color w:val="auto"/>
          <w:sz w:val="28"/>
          <w:szCs w:val="28"/>
        </w:rPr>
        <w:t>%。</w:t>
      </w:r>
    </w:p>
    <w:p w14:paraId="72FA7558">
      <w:pPr>
        <w:tabs>
          <w:tab w:val="center" w:pos="6979"/>
        </w:tabs>
        <w:spacing w:line="560" w:lineRule="exact"/>
        <w:ind w:firstLine="570"/>
        <w:rPr>
          <w:rFonts w:ascii="仿宋_GB2312" w:hAnsi="仿宋_GB2312" w:eastAsia="仿宋_GB2312" w:cs="仿宋_GB2312"/>
          <w:color w:val="auto"/>
          <w:sz w:val="28"/>
        </w:rPr>
      </w:pPr>
      <w:r>
        <w:rPr>
          <w:rFonts w:ascii="仿宋_GB2312" w:hAnsi="仿宋_GB2312" w:eastAsia="仿宋_GB2312" w:cs="仿宋_GB2312"/>
          <w:color w:val="auto"/>
          <w:sz w:val="28"/>
        </w:rPr>
        <w:t>（一）收入决算说明</w:t>
      </w:r>
    </w:p>
    <w:p w14:paraId="5085FBD7">
      <w:pPr>
        <w:tabs>
          <w:tab w:val="center" w:pos="6979"/>
        </w:tabs>
        <w:spacing w:line="560" w:lineRule="exact"/>
        <w:ind w:firstLine="570"/>
        <w:rPr>
          <w:rFonts w:ascii="仿宋_GB2312" w:eastAsia="仿宋_GB2312"/>
          <w:color w:val="auto"/>
          <w:sz w:val="28"/>
          <w:szCs w:val="28"/>
        </w:rPr>
      </w:pPr>
      <w:r>
        <w:rPr>
          <w:rFonts w:ascii="仿宋_GB2312" w:eastAsia="仿宋_GB2312"/>
          <w:color w:val="auto"/>
          <w:sz w:val="28"/>
          <w:szCs w:val="28"/>
        </w:rPr>
        <w:t>2024年度本年收入合计2465.87万元，比上年</w:t>
      </w:r>
      <w:r>
        <w:rPr>
          <w:rFonts w:hint="eastAsia" w:ascii="仿宋_GB2312" w:eastAsia="仿宋_GB2312"/>
          <w:color w:val="auto"/>
          <w:sz w:val="28"/>
          <w:szCs w:val="28"/>
        </w:rPr>
        <w:t>减少254.48万元，下降9.35</w:t>
      </w:r>
      <w:r>
        <w:rPr>
          <w:rFonts w:ascii="仿宋_GB2312" w:eastAsia="仿宋_GB2312"/>
          <w:color w:val="auto"/>
          <w:sz w:val="28"/>
          <w:szCs w:val="28"/>
        </w:rPr>
        <w:t>%。</w:t>
      </w:r>
    </w:p>
    <w:p w14:paraId="637C8196">
      <w:pPr>
        <w:tabs>
          <w:tab w:val="center" w:pos="6979"/>
        </w:tabs>
        <w:spacing w:line="560" w:lineRule="exact"/>
        <w:ind w:firstLine="570"/>
        <w:rPr>
          <w:rFonts w:ascii="仿宋_GB2312" w:eastAsia="仿宋_GB2312"/>
          <w:color w:val="auto"/>
          <w:sz w:val="28"/>
          <w:szCs w:val="28"/>
        </w:rPr>
      </w:pPr>
      <w:r>
        <w:rPr>
          <w:rFonts w:ascii="仿宋_GB2312" w:hAnsi="仿宋_GB2312" w:eastAsia="仿宋_GB2312" w:cs="仿宋_GB2312"/>
          <w:color w:val="auto"/>
          <w:sz w:val="28"/>
        </w:rPr>
        <w:t>1.财政拨款收入</w:t>
      </w:r>
      <w:r>
        <w:rPr>
          <w:rFonts w:ascii="仿宋_GB2312" w:eastAsia="仿宋_GB2312"/>
          <w:color w:val="auto"/>
          <w:sz w:val="28"/>
          <w:szCs w:val="28"/>
        </w:rPr>
        <w:t>2465.87万元，占收入合计的100%。其中：一般公共预算财政拨款收入2465.87万元，占收入合计的100%；政府性基金预算财政拨款收入0万元，占收入合计的0%；国有资本经营预算财政拨款收入0万元，占收入合计的0%；</w:t>
      </w:r>
    </w:p>
    <w:p w14:paraId="3AB65FAD">
      <w:pPr>
        <w:tabs>
          <w:tab w:val="center" w:pos="6979"/>
        </w:tabs>
        <w:spacing w:line="560" w:lineRule="exact"/>
        <w:ind w:firstLine="570"/>
        <w:rPr>
          <w:rFonts w:ascii="仿宋_GB2312" w:eastAsia="仿宋_GB2312"/>
          <w:color w:val="auto"/>
          <w:sz w:val="28"/>
          <w:szCs w:val="28"/>
        </w:rPr>
      </w:pPr>
      <w:r>
        <w:rPr>
          <w:rFonts w:ascii="仿宋_GB2312" w:eastAsia="仿宋_GB2312"/>
          <w:color w:val="auto"/>
          <w:sz w:val="28"/>
          <w:szCs w:val="28"/>
        </w:rPr>
        <w:t>2.上级补助收入0万元，占收入合计的0%；</w:t>
      </w:r>
    </w:p>
    <w:p w14:paraId="134BB4A9">
      <w:pPr>
        <w:tabs>
          <w:tab w:val="center" w:pos="6979"/>
        </w:tabs>
        <w:spacing w:line="560" w:lineRule="exact"/>
        <w:ind w:firstLine="570"/>
        <w:rPr>
          <w:rFonts w:ascii="仿宋_GB2312" w:eastAsia="仿宋_GB2312"/>
          <w:color w:val="auto"/>
          <w:sz w:val="28"/>
          <w:szCs w:val="28"/>
        </w:rPr>
      </w:pPr>
      <w:r>
        <w:rPr>
          <w:rFonts w:ascii="仿宋_GB2312" w:eastAsia="仿宋_GB2312"/>
          <w:color w:val="auto"/>
          <w:sz w:val="28"/>
          <w:szCs w:val="28"/>
        </w:rPr>
        <w:t>3.事业收入0万元，占收入合计的0%；</w:t>
      </w:r>
    </w:p>
    <w:p w14:paraId="206589D1">
      <w:pPr>
        <w:tabs>
          <w:tab w:val="center" w:pos="6979"/>
        </w:tabs>
        <w:spacing w:line="560" w:lineRule="exact"/>
        <w:ind w:firstLine="570"/>
        <w:rPr>
          <w:rFonts w:ascii="仿宋_GB2312" w:eastAsia="仿宋_GB2312"/>
          <w:color w:val="auto"/>
          <w:sz w:val="28"/>
          <w:szCs w:val="28"/>
        </w:rPr>
      </w:pPr>
      <w:r>
        <w:rPr>
          <w:rFonts w:ascii="仿宋_GB2312" w:eastAsia="仿宋_GB2312"/>
          <w:color w:val="auto"/>
          <w:sz w:val="28"/>
          <w:szCs w:val="28"/>
        </w:rPr>
        <w:t>4.经营收入0万元，占收入合计的0%；</w:t>
      </w:r>
    </w:p>
    <w:p w14:paraId="799CDA7C">
      <w:pPr>
        <w:tabs>
          <w:tab w:val="center" w:pos="6979"/>
        </w:tabs>
        <w:spacing w:line="560" w:lineRule="exact"/>
        <w:ind w:firstLine="570"/>
        <w:rPr>
          <w:rFonts w:ascii="仿宋_GB2312" w:eastAsia="仿宋_GB2312"/>
          <w:color w:val="auto"/>
          <w:sz w:val="28"/>
          <w:szCs w:val="28"/>
        </w:rPr>
      </w:pPr>
      <w:r>
        <w:rPr>
          <w:rFonts w:ascii="仿宋_GB2312" w:eastAsia="仿宋_GB2312"/>
          <w:color w:val="auto"/>
          <w:sz w:val="28"/>
          <w:szCs w:val="28"/>
        </w:rPr>
        <w:t>5.附属单位上缴收入0万元，占收入合计的0%；</w:t>
      </w:r>
    </w:p>
    <w:p w14:paraId="49C645CE">
      <w:pPr>
        <w:tabs>
          <w:tab w:val="center" w:pos="6979"/>
        </w:tabs>
        <w:spacing w:line="560" w:lineRule="exact"/>
        <w:ind w:firstLine="570"/>
        <w:rPr>
          <w:rFonts w:ascii="仿宋_GB2312" w:eastAsia="仿宋_GB2312"/>
          <w:color w:val="auto"/>
          <w:sz w:val="28"/>
          <w:szCs w:val="28"/>
        </w:rPr>
      </w:pPr>
      <w:r>
        <w:rPr>
          <w:rFonts w:ascii="仿宋_GB2312" w:eastAsia="仿宋_GB2312"/>
          <w:color w:val="auto"/>
          <w:sz w:val="28"/>
          <w:szCs w:val="28"/>
        </w:rPr>
        <w:t>6.其他收入0万元，占收入合计的0%。</w:t>
      </w:r>
    </w:p>
    <w:p w14:paraId="45DDA401">
      <w:pPr>
        <w:tabs>
          <w:tab w:val="center" w:pos="6979"/>
        </w:tabs>
        <w:spacing w:line="560" w:lineRule="exact"/>
        <w:ind w:firstLine="570"/>
        <w:rPr>
          <w:rFonts w:ascii="仿宋_GB2312" w:eastAsia="仿宋_GB2312"/>
          <w:sz w:val="28"/>
          <w:szCs w:val="28"/>
        </w:rPr>
      </w:pPr>
    </w:p>
    <w:p w14:paraId="5B9E3117">
      <w:pPr>
        <w:tabs>
          <w:tab w:val="center" w:pos="6979"/>
        </w:tabs>
        <w:spacing w:line="580" w:lineRule="auto"/>
        <w:ind w:firstLine="560"/>
        <w:jc w:val="center"/>
        <w:rPr>
          <w:rFonts w:hint="eastAsia" w:ascii="仿宋_GB2312" w:hAnsi="仿宋_GB2312" w:eastAsia="仿宋_GB2312" w:cs="仿宋_GB2312"/>
          <w:sz w:val="28"/>
          <w:lang w:eastAsia="zh-CN"/>
        </w:rPr>
      </w:pPr>
      <w:r>
        <w:rPr>
          <w:rFonts w:ascii="仿宋_GB2312" w:hAnsi="仿宋_GB2312" w:eastAsia="仿宋_GB2312" w:cs="仿宋_GB2312"/>
          <w:b/>
          <w:sz w:val="32"/>
        </w:rPr>
        <w:t>图1：收入</w:t>
      </w:r>
      <w:r>
        <w:rPr>
          <w:rFonts w:hint="eastAsia" w:ascii="仿宋_GB2312" w:hAnsi="仿宋_GB2312" w:eastAsia="仿宋_GB2312" w:cs="仿宋_GB2312"/>
          <w:b/>
          <w:sz w:val="32"/>
          <w:lang w:eastAsia="zh-CN"/>
        </w:rPr>
        <w:t>决算</w:t>
      </w:r>
    </w:p>
    <w:p w14:paraId="7929088E">
      <w:pPr>
        <w:pStyle w:val="3"/>
        <w:ind w:firstLine="420"/>
        <w:jc w:val="center"/>
      </w:pPr>
      <w:r>
        <w:drawing>
          <wp:inline distT="0" distB="0" distL="0" distR="0">
            <wp:extent cx="4343400" cy="2653665"/>
            <wp:effectExtent l="0" t="0" r="0" b="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44C53AF4">
      <w:pPr>
        <w:spacing w:line="560" w:lineRule="exact"/>
        <w:ind w:firstLine="420"/>
        <w:jc w:val="center"/>
        <w:rPr>
          <w:rFonts w:ascii="Times New Roman" w:hAnsi="Times New Roman" w:eastAsia="Times New Roman" w:cs="Times New Roman"/>
        </w:rPr>
      </w:pPr>
    </w:p>
    <w:p w14:paraId="067E5DD1">
      <w:pPr>
        <w:tabs>
          <w:tab w:val="center" w:pos="6979"/>
        </w:tabs>
        <w:spacing w:line="560" w:lineRule="exact"/>
        <w:ind w:firstLine="573"/>
        <w:rPr>
          <w:rFonts w:ascii="仿宋_GB2312" w:hAnsi="仿宋_GB2312" w:eastAsia="仿宋_GB2312" w:cs="仿宋_GB2312"/>
          <w:color w:val="auto"/>
          <w:sz w:val="28"/>
        </w:rPr>
      </w:pPr>
      <w:r>
        <w:rPr>
          <w:rFonts w:ascii="仿宋_GB2312" w:hAnsi="仿宋_GB2312" w:eastAsia="仿宋_GB2312" w:cs="仿宋_GB2312"/>
          <w:color w:val="auto"/>
          <w:sz w:val="28"/>
        </w:rPr>
        <w:t>（二）支出决算说明</w:t>
      </w:r>
    </w:p>
    <w:p w14:paraId="2DEBF8EC">
      <w:pPr>
        <w:tabs>
          <w:tab w:val="center" w:pos="6979"/>
        </w:tabs>
        <w:spacing w:line="560" w:lineRule="exact"/>
        <w:ind w:firstLine="573"/>
        <w:rPr>
          <w:rFonts w:ascii="仿宋_GB2312" w:eastAsia="仿宋_GB2312"/>
          <w:color w:val="auto"/>
          <w:sz w:val="28"/>
          <w:szCs w:val="28"/>
        </w:rPr>
      </w:pPr>
      <w:r>
        <w:rPr>
          <w:rFonts w:ascii="仿宋_GB2312" w:eastAsia="仿宋_GB2312"/>
          <w:color w:val="auto"/>
          <w:sz w:val="28"/>
          <w:szCs w:val="28"/>
        </w:rPr>
        <w:t>2024年度本年支出合计2453.55万元，比上年</w:t>
      </w:r>
      <w:r>
        <w:rPr>
          <w:rFonts w:hint="eastAsia" w:ascii="仿宋_GB2312" w:eastAsia="仿宋_GB2312"/>
          <w:color w:val="auto"/>
          <w:sz w:val="28"/>
          <w:szCs w:val="28"/>
        </w:rPr>
        <w:t>减少198.36万元，下降7.48</w:t>
      </w:r>
      <w:r>
        <w:rPr>
          <w:rFonts w:ascii="仿宋_GB2312" w:eastAsia="仿宋_GB2312"/>
          <w:color w:val="auto"/>
          <w:sz w:val="28"/>
          <w:szCs w:val="28"/>
        </w:rPr>
        <w:t>%，其中：基本支出1681.82万元，占支出合计的68.55%；项目支出771.73万元，占支出合计的31.45%;上缴上级支出0万元，占支出合计的0%；经营支出0万元，占支出合计的0%；对附属单位补助支出0万元，占支出合计的0%。</w:t>
      </w:r>
    </w:p>
    <w:p w14:paraId="13F33FE9">
      <w:pPr>
        <w:keepNext/>
        <w:keepLines/>
        <w:spacing w:before="100" w:after="100" w:line="560" w:lineRule="exact"/>
        <w:ind w:firstLine="642"/>
        <w:jc w:val="center"/>
        <w:rPr>
          <w:rFonts w:ascii="仿宋_GB2312" w:hAnsi="仿宋_GB2312" w:eastAsia="仿宋_GB2312" w:cs="仿宋_GB2312"/>
          <w:b/>
          <w:color w:val="000000"/>
          <w:sz w:val="32"/>
        </w:rPr>
      </w:pPr>
      <w:r>
        <w:rPr>
          <w:rFonts w:ascii="仿宋_GB2312" w:hAnsi="仿宋_GB2312" w:eastAsia="仿宋_GB2312" w:cs="仿宋_GB2312"/>
          <w:b/>
          <w:color w:val="000000"/>
          <w:sz w:val="32"/>
        </w:rPr>
        <w:t>图2：基本支出和项目支出情况</w:t>
      </w:r>
    </w:p>
    <w:p w14:paraId="01E2A7F1">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368473DF">
      <w:pPr>
        <w:jc w:val="center"/>
        <w:rPr>
          <w:rFonts w:ascii="黑体" w:hAnsi="黑体" w:eastAsia="黑体" w:cs="黑体"/>
          <w:b/>
          <w:sz w:val="28"/>
        </w:rPr>
      </w:pPr>
    </w:p>
    <w:p w14:paraId="0FB18C6B">
      <w:pPr>
        <w:jc w:val="center"/>
        <w:rPr>
          <w:rFonts w:ascii="黑体" w:hAnsi="黑体" w:eastAsia="黑体" w:cs="黑体"/>
          <w:b/>
          <w:sz w:val="28"/>
        </w:rPr>
      </w:pPr>
    </w:p>
    <w:p w14:paraId="24E9F4C0">
      <w:pPr>
        <w:tabs>
          <w:tab w:val="center" w:pos="6979"/>
        </w:tabs>
        <w:spacing w:line="560" w:lineRule="exact"/>
        <w:ind w:firstLine="548"/>
        <w:rPr>
          <w:rFonts w:ascii="黑体" w:hAnsi="黑体" w:eastAsia="黑体" w:cs="黑体"/>
          <w:b/>
          <w:color w:val="auto"/>
          <w:sz w:val="28"/>
        </w:rPr>
      </w:pPr>
      <w:r>
        <w:rPr>
          <w:rFonts w:ascii="黑体" w:hAnsi="黑体" w:eastAsia="黑体" w:cs="黑体"/>
          <w:b/>
          <w:color w:val="auto"/>
          <w:sz w:val="28"/>
        </w:rPr>
        <w:t>三、财政拨款收入支出决算总体情况说明</w:t>
      </w:r>
    </w:p>
    <w:p w14:paraId="345C7079">
      <w:pPr>
        <w:tabs>
          <w:tab w:val="center" w:pos="6979"/>
        </w:tabs>
        <w:spacing w:line="560" w:lineRule="exact"/>
        <w:ind w:firstLine="570"/>
        <w:rPr>
          <w:rFonts w:ascii="仿宋_GB2312" w:eastAsia="仿宋_GB2312"/>
          <w:color w:val="auto"/>
          <w:sz w:val="28"/>
          <w:szCs w:val="28"/>
        </w:rPr>
      </w:pPr>
      <w:r>
        <w:rPr>
          <w:rFonts w:ascii="仿宋_GB2312" w:eastAsia="仿宋_GB2312"/>
          <w:color w:val="auto"/>
          <w:sz w:val="28"/>
          <w:szCs w:val="28"/>
        </w:rPr>
        <w:t>2024年度财政拨款收、支总计2465.87万元，比上年</w:t>
      </w:r>
      <w:r>
        <w:rPr>
          <w:rFonts w:hint="eastAsia" w:ascii="仿宋_GB2312" w:eastAsia="仿宋_GB2312"/>
          <w:color w:val="auto"/>
          <w:sz w:val="28"/>
          <w:szCs w:val="28"/>
        </w:rPr>
        <w:t>减少372.88万元，下降13.14</w:t>
      </w:r>
      <w:r>
        <w:rPr>
          <w:rFonts w:ascii="仿宋_GB2312" w:eastAsia="仿宋_GB2312"/>
          <w:color w:val="auto"/>
          <w:sz w:val="28"/>
          <w:szCs w:val="28"/>
        </w:rPr>
        <w:t>%。主要原因：</w:t>
      </w:r>
      <w:r>
        <w:rPr>
          <w:rFonts w:hint="eastAsia" w:ascii="仿宋_GB2312" w:eastAsia="仿宋_GB2312"/>
          <w:color w:val="auto"/>
          <w:sz w:val="28"/>
          <w:szCs w:val="28"/>
          <w:lang w:eastAsia="zh-CN"/>
        </w:rPr>
        <w:t>人员减少</w:t>
      </w:r>
      <w:r>
        <w:rPr>
          <w:rFonts w:hint="eastAsia" w:ascii="仿宋_GB2312" w:eastAsia="仿宋_GB2312"/>
          <w:color w:val="auto"/>
          <w:sz w:val="28"/>
          <w:szCs w:val="28"/>
        </w:rPr>
        <w:t>。</w:t>
      </w:r>
    </w:p>
    <w:p w14:paraId="1B9DBC4A">
      <w:pPr>
        <w:tabs>
          <w:tab w:val="center" w:pos="6979"/>
        </w:tabs>
        <w:spacing w:line="560" w:lineRule="exact"/>
        <w:ind w:firstLine="548"/>
        <w:rPr>
          <w:rFonts w:ascii="黑体" w:hAnsi="黑体" w:eastAsia="黑体" w:cs="黑体"/>
          <w:b/>
          <w:color w:val="auto"/>
          <w:sz w:val="28"/>
        </w:rPr>
      </w:pPr>
      <w:r>
        <w:rPr>
          <w:rFonts w:ascii="黑体" w:hAnsi="黑体" w:eastAsia="黑体" w:cs="黑体"/>
          <w:b/>
          <w:color w:val="auto"/>
          <w:sz w:val="28"/>
        </w:rPr>
        <w:t>四、一般公共预算财政拨款支出决算情况说明</w:t>
      </w:r>
    </w:p>
    <w:p w14:paraId="2E2D7C6C">
      <w:pPr>
        <w:spacing w:line="560" w:lineRule="exact"/>
        <w:ind w:firstLine="560"/>
        <w:jc w:val="left"/>
        <w:rPr>
          <w:rFonts w:ascii="仿宋_GB2312" w:hAnsi="仿宋_GB2312" w:eastAsia="仿宋_GB2312" w:cs="仿宋_GB2312"/>
          <w:color w:val="auto"/>
          <w:sz w:val="28"/>
        </w:rPr>
      </w:pPr>
      <w:r>
        <w:rPr>
          <w:rFonts w:ascii="仿宋_GB2312" w:hAnsi="仿宋_GB2312" w:eastAsia="仿宋_GB2312" w:cs="仿宋_GB2312"/>
          <w:color w:val="auto"/>
          <w:sz w:val="28"/>
        </w:rPr>
        <w:t>（一）一般公共预算财政拨款支出决算总体情况</w:t>
      </w:r>
    </w:p>
    <w:p w14:paraId="408F1538">
      <w:pPr>
        <w:tabs>
          <w:tab w:val="center" w:pos="6979"/>
        </w:tabs>
        <w:spacing w:line="560" w:lineRule="exact"/>
        <w:ind w:firstLine="560"/>
        <w:rPr>
          <w:rFonts w:ascii="仿宋_GB2312" w:eastAsia="仿宋_GB2312"/>
          <w:color w:val="auto"/>
          <w:sz w:val="28"/>
          <w:szCs w:val="28"/>
        </w:rPr>
      </w:pPr>
      <w:r>
        <w:rPr>
          <w:rFonts w:ascii="仿宋_GB2312" w:hAnsi="仿宋_GB2312" w:eastAsia="仿宋_GB2312" w:cs="仿宋_GB2312"/>
          <w:color w:val="auto"/>
          <w:sz w:val="28"/>
        </w:rPr>
        <w:t>2</w:t>
      </w:r>
      <w:r>
        <w:rPr>
          <w:rFonts w:ascii="仿宋_GB2312" w:eastAsia="仿宋_GB2312"/>
          <w:color w:val="auto"/>
          <w:sz w:val="28"/>
          <w:szCs w:val="28"/>
        </w:rPr>
        <w:t>024年度一般公共预算财政拨款支出2453.55万元，主要用于以下方面：</w:t>
      </w:r>
      <w:r>
        <w:rPr>
          <w:rFonts w:hint="eastAsia" w:ascii="仿宋_GB2312" w:eastAsia="仿宋_GB2312"/>
          <w:color w:val="auto"/>
          <w:sz w:val="28"/>
          <w:szCs w:val="28"/>
        </w:rPr>
        <w:t>“教育支出”0.02万元，占本年财政拨款支出0%；“文化旅游体育与传媒支出”2453.53万元，占本年财政拨款支出100%。</w:t>
      </w:r>
      <w:r>
        <w:rPr>
          <w:rFonts w:ascii="仿宋_GB2312" w:eastAsia="仿宋_GB2312"/>
          <w:color w:val="auto"/>
          <w:sz w:val="28"/>
          <w:szCs w:val="28"/>
        </w:rPr>
        <w:t xml:space="preserve"> </w:t>
      </w:r>
    </w:p>
    <w:p w14:paraId="46E3B92E">
      <w:pPr>
        <w:spacing w:line="560" w:lineRule="exact"/>
        <w:ind w:firstLine="560"/>
        <w:jc w:val="left"/>
        <w:rPr>
          <w:rFonts w:ascii="仿宋_GB2312" w:hAnsi="仿宋_GB2312" w:eastAsia="仿宋_GB2312" w:cs="仿宋_GB2312"/>
          <w:color w:val="auto"/>
          <w:sz w:val="28"/>
        </w:rPr>
      </w:pPr>
      <w:r>
        <w:rPr>
          <w:rFonts w:ascii="仿宋_GB2312" w:hAnsi="仿宋_GB2312" w:eastAsia="仿宋_GB2312" w:cs="仿宋_GB2312"/>
          <w:color w:val="auto"/>
          <w:sz w:val="28"/>
        </w:rPr>
        <w:t>（二）一般公共预算财政拨款支出决算具体情况</w:t>
      </w:r>
    </w:p>
    <w:p w14:paraId="583149EE">
      <w:pPr>
        <w:spacing w:line="560" w:lineRule="exact"/>
        <w:ind w:firstLine="555"/>
        <w:rPr>
          <w:rFonts w:ascii="仿宋_GB2312" w:eastAsia="仿宋_GB2312"/>
          <w:color w:val="auto"/>
          <w:sz w:val="28"/>
          <w:szCs w:val="28"/>
        </w:rPr>
      </w:pPr>
      <w:r>
        <w:rPr>
          <w:rFonts w:ascii="仿宋_GB2312" w:eastAsia="仿宋_GB2312"/>
          <w:color w:val="auto"/>
          <w:sz w:val="28"/>
          <w:szCs w:val="28"/>
        </w:rPr>
        <w:t>1、</w:t>
      </w:r>
      <w:r>
        <w:rPr>
          <w:rFonts w:hint="eastAsia" w:ascii="仿宋_GB2312" w:eastAsia="仿宋_GB2312"/>
          <w:color w:val="auto"/>
          <w:sz w:val="28"/>
          <w:szCs w:val="28"/>
        </w:rPr>
        <w:t>“教育支出”2024年度年初预算</w:t>
      </w:r>
      <w:r>
        <w:rPr>
          <w:rFonts w:ascii="仿宋_GB2312" w:eastAsia="仿宋_GB2312"/>
          <w:color w:val="auto"/>
          <w:sz w:val="28"/>
          <w:szCs w:val="28"/>
        </w:rPr>
        <w:t>4.20</w:t>
      </w:r>
      <w:r>
        <w:rPr>
          <w:rFonts w:hint="eastAsia" w:ascii="仿宋_GB2312" w:eastAsia="仿宋_GB2312"/>
          <w:color w:val="auto"/>
          <w:sz w:val="28"/>
          <w:szCs w:val="28"/>
        </w:rPr>
        <w:t>万元，2024年</w:t>
      </w:r>
      <w:r>
        <w:rPr>
          <w:rFonts w:ascii="仿宋_GB2312" w:eastAsia="仿宋_GB2312"/>
          <w:color w:val="auto"/>
          <w:sz w:val="28"/>
          <w:szCs w:val="28"/>
        </w:rPr>
        <w:t>度</w:t>
      </w:r>
      <w:r>
        <w:rPr>
          <w:rFonts w:hint="eastAsia" w:ascii="仿宋_GB2312" w:eastAsia="仿宋_GB2312"/>
          <w:color w:val="auto"/>
          <w:sz w:val="28"/>
          <w:szCs w:val="28"/>
        </w:rPr>
        <w:t>决算</w:t>
      </w:r>
      <w:r>
        <w:rPr>
          <w:rFonts w:ascii="仿宋_GB2312" w:eastAsia="仿宋_GB2312"/>
          <w:color w:val="auto"/>
          <w:sz w:val="28"/>
          <w:szCs w:val="28"/>
        </w:rPr>
        <w:t>0.02</w:t>
      </w:r>
      <w:r>
        <w:rPr>
          <w:rFonts w:hint="eastAsia" w:ascii="仿宋_GB2312" w:eastAsia="仿宋_GB2312"/>
          <w:color w:val="auto"/>
          <w:sz w:val="28"/>
          <w:szCs w:val="28"/>
        </w:rPr>
        <w:t>万元，</w:t>
      </w:r>
      <w:r>
        <w:rPr>
          <w:rFonts w:ascii="仿宋_GB2312" w:eastAsia="仿宋_GB2312"/>
          <w:color w:val="auto"/>
          <w:sz w:val="28"/>
          <w:szCs w:val="28"/>
        </w:rPr>
        <w:t>完成年初预算的</w:t>
      </w:r>
      <w:r>
        <w:rPr>
          <w:rFonts w:hint="eastAsia" w:ascii="仿宋_GB2312" w:eastAsia="仿宋_GB2312"/>
          <w:color w:val="auto"/>
          <w:sz w:val="28"/>
          <w:szCs w:val="28"/>
        </w:rPr>
        <w:t>0.</w:t>
      </w:r>
      <w:r>
        <w:rPr>
          <w:rFonts w:ascii="仿宋_GB2312" w:eastAsia="仿宋_GB2312"/>
          <w:color w:val="auto"/>
          <w:sz w:val="28"/>
          <w:szCs w:val="28"/>
        </w:rPr>
        <w:t>48</w:t>
      </w:r>
      <w:r>
        <w:rPr>
          <w:rFonts w:hint="eastAsia" w:ascii="仿宋_GB2312" w:eastAsia="仿宋_GB2312"/>
          <w:color w:val="auto"/>
          <w:sz w:val="28"/>
          <w:szCs w:val="28"/>
        </w:rPr>
        <w:t>%。</w:t>
      </w:r>
      <w:r>
        <w:rPr>
          <w:rFonts w:ascii="仿宋_GB2312" w:eastAsia="仿宋_GB2312"/>
          <w:color w:val="auto"/>
          <w:sz w:val="28"/>
          <w:szCs w:val="28"/>
        </w:rPr>
        <w:t xml:space="preserve"> </w:t>
      </w:r>
    </w:p>
    <w:p w14:paraId="74CA961B">
      <w:pPr>
        <w:spacing w:line="560" w:lineRule="exact"/>
        <w:ind w:firstLine="555"/>
        <w:rPr>
          <w:rFonts w:ascii="仿宋_GB2312" w:eastAsia="仿宋_GB2312"/>
          <w:color w:val="auto"/>
          <w:sz w:val="28"/>
          <w:szCs w:val="28"/>
        </w:rPr>
      </w:pPr>
      <w:r>
        <w:rPr>
          <w:rFonts w:hint="eastAsia" w:ascii="仿宋_GB2312" w:eastAsia="仿宋_GB2312"/>
          <w:color w:val="auto"/>
          <w:sz w:val="28"/>
          <w:szCs w:val="28"/>
        </w:rPr>
        <w:t>“进修及培训”2024年度年初预算</w:t>
      </w:r>
      <w:r>
        <w:rPr>
          <w:rFonts w:ascii="仿宋_GB2312" w:eastAsia="仿宋_GB2312"/>
          <w:color w:val="auto"/>
          <w:sz w:val="28"/>
          <w:szCs w:val="28"/>
        </w:rPr>
        <w:t>4.20</w:t>
      </w:r>
      <w:r>
        <w:rPr>
          <w:rFonts w:hint="eastAsia" w:ascii="仿宋_GB2312" w:eastAsia="仿宋_GB2312"/>
          <w:color w:val="auto"/>
          <w:sz w:val="28"/>
          <w:szCs w:val="28"/>
        </w:rPr>
        <w:t>万元，2024年</w:t>
      </w:r>
      <w:r>
        <w:rPr>
          <w:rFonts w:ascii="仿宋_GB2312" w:eastAsia="仿宋_GB2312"/>
          <w:color w:val="auto"/>
          <w:sz w:val="28"/>
          <w:szCs w:val="28"/>
        </w:rPr>
        <w:t>度</w:t>
      </w:r>
      <w:r>
        <w:rPr>
          <w:rFonts w:hint="eastAsia" w:ascii="仿宋_GB2312" w:eastAsia="仿宋_GB2312"/>
          <w:color w:val="auto"/>
          <w:sz w:val="28"/>
          <w:szCs w:val="28"/>
        </w:rPr>
        <w:t>决算</w:t>
      </w:r>
      <w:r>
        <w:rPr>
          <w:rFonts w:ascii="仿宋_GB2312" w:eastAsia="仿宋_GB2312"/>
          <w:color w:val="auto"/>
          <w:sz w:val="28"/>
          <w:szCs w:val="28"/>
        </w:rPr>
        <w:t>0.02</w:t>
      </w:r>
      <w:r>
        <w:rPr>
          <w:rFonts w:hint="eastAsia" w:ascii="仿宋_GB2312" w:eastAsia="仿宋_GB2312"/>
          <w:color w:val="auto"/>
          <w:sz w:val="28"/>
          <w:szCs w:val="28"/>
        </w:rPr>
        <w:t>万元，</w:t>
      </w:r>
      <w:r>
        <w:rPr>
          <w:rFonts w:ascii="仿宋_GB2312" w:eastAsia="仿宋_GB2312"/>
          <w:color w:val="auto"/>
          <w:sz w:val="28"/>
          <w:szCs w:val="28"/>
        </w:rPr>
        <w:t>完成年初预算的</w:t>
      </w:r>
      <w:r>
        <w:rPr>
          <w:rFonts w:hint="eastAsia" w:ascii="仿宋_GB2312" w:eastAsia="仿宋_GB2312"/>
          <w:color w:val="auto"/>
          <w:sz w:val="28"/>
          <w:szCs w:val="28"/>
        </w:rPr>
        <w:t>0.</w:t>
      </w:r>
      <w:r>
        <w:rPr>
          <w:rFonts w:ascii="仿宋_GB2312" w:eastAsia="仿宋_GB2312"/>
          <w:color w:val="auto"/>
          <w:sz w:val="28"/>
          <w:szCs w:val="28"/>
        </w:rPr>
        <w:t>48</w:t>
      </w:r>
      <w:r>
        <w:rPr>
          <w:rFonts w:hint="eastAsia" w:ascii="仿宋_GB2312" w:eastAsia="仿宋_GB2312"/>
          <w:color w:val="auto"/>
          <w:sz w:val="28"/>
          <w:szCs w:val="28"/>
        </w:rPr>
        <w:t>%。主要原因：厉行勤俭节约要求，多为线上培训方式。</w:t>
      </w:r>
    </w:p>
    <w:p w14:paraId="1006CBF7">
      <w:pPr>
        <w:spacing w:line="560" w:lineRule="exact"/>
        <w:ind w:firstLine="555"/>
        <w:rPr>
          <w:rFonts w:ascii="仿宋_GB2312" w:eastAsia="仿宋_GB2312"/>
          <w:color w:val="auto"/>
          <w:sz w:val="28"/>
          <w:szCs w:val="28"/>
        </w:rPr>
      </w:pPr>
      <w:r>
        <w:rPr>
          <w:rFonts w:ascii="仿宋_GB2312" w:eastAsia="仿宋_GB2312"/>
          <w:color w:val="auto"/>
          <w:sz w:val="28"/>
          <w:szCs w:val="28"/>
        </w:rPr>
        <w:t>2、</w:t>
      </w:r>
      <w:r>
        <w:rPr>
          <w:rFonts w:hint="eastAsia" w:ascii="仿宋_GB2312" w:eastAsia="仿宋_GB2312"/>
          <w:color w:val="auto"/>
          <w:sz w:val="28"/>
          <w:szCs w:val="28"/>
        </w:rPr>
        <w:t>“文化旅游体育与传媒支出”2024年</w:t>
      </w:r>
      <w:bookmarkStart w:id="0" w:name="_Hlk105413618"/>
      <w:r>
        <w:rPr>
          <w:rFonts w:hint="eastAsia" w:ascii="仿宋_GB2312" w:eastAsia="仿宋_GB2312"/>
          <w:color w:val="auto"/>
          <w:sz w:val="28"/>
          <w:szCs w:val="28"/>
        </w:rPr>
        <w:t>度年初</w:t>
      </w:r>
      <w:r>
        <w:rPr>
          <w:rFonts w:ascii="仿宋_GB2312" w:eastAsia="仿宋_GB2312"/>
          <w:color w:val="auto"/>
          <w:sz w:val="28"/>
          <w:szCs w:val="28"/>
        </w:rPr>
        <w:t>预算</w:t>
      </w:r>
      <w:r>
        <w:rPr>
          <w:rFonts w:hint="eastAsia" w:ascii="仿宋_GB2312" w:eastAsia="仿宋_GB2312"/>
          <w:color w:val="auto"/>
          <w:sz w:val="28"/>
          <w:szCs w:val="28"/>
        </w:rPr>
        <w:t>2607.24万元，2</w:t>
      </w:r>
      <w:r>
        <w:rPr>
          <w:rFonts w:ascii="仿宋_GB2312" w:eastAsia="仿宋_GB2312"/>
          <w:color w:val="auto"/>
          <w:sz w:val="28"/>
          <w:szCs w:val="28"/>
        </w:rPr>
        <w:t>024</w:t>
      </w:r>
      <w:r>
        <w:rPr>
          <w:rFonts w:hint="eastAsia" w:ascii="仿宋_GB2312" w:eastAsia="仿宋_GB2312"/>
          <w:color w:val="auto"/>
          <w:sz w:val="28"/>
          <w:szCs w:val="28"/>
        </w:rPr>
        <w:t>年度</w:t>
      </w:r>
      <w:r>
        <w:rPr>
          <w:rFonts w:ascii="仿宋_GB2312" w:eastAsia="仿宋_GB2312"/>
          <w:color w:val="auto"/>
          <w:sz w:val="28"/>
          <w:szCs w:val="28"/>
        </w:rPr>
        <w:t>决算</w:t>
      </w:r>
      <w:r>
        <w:rPr>
          <w:rFonts w:hint="eastAsia" w:ascii="仿宋_GB2312" w:eastAsia="仿宋_GB2312"/>
          <w:color w:val="auto"/>
          <w:sz w:val="28"/>
          <w:szCs w:val="28"/>
        </w:rPr>
        <w:t>2453.53万元，</w:t>
      </w:r>
      <w:r>
        <w:rPr>
          <w:rFonts w:ascii="仿宋_GB2312" w:eastAsia="仿宋_GB2312"/>
          <w:color w:val="auto"/>
          <w:sz w:val="28"/>
          <w:szCs w:val="28"/>
        </w:rPr>
        <w:t>完成年初预算的</w:t>
      </w:r>
      <w:r>
        <w:rPr>
          <w:rFonts w:hint="eastAsia" w:ascii="仿宋_GB2312" w:eastAsia="仿宋_GB2312"/>
          <w:color w:val="auto"/>
          <w:sz w:val="28"/>
          <w:szCs w:val="28"/>
        </w:rPr>
        <w:t>94.10%。</w:t>
      </w:r>
      <w:bookmarkEnd w:id="0"/>
      <w:r>
        <w:rPr>
          <w:rFonts w:hint="eastAsia" w:ascii="仿宋_GB2312" w:eastAsia="仿宋_GB2312"/>
          <w:color w:val="auto"/>
          <w:sz w:val="28"/>
          <w:szCs w:val="28"/>
        </w:rPr>
        <w:t>其中：</w:t>
      </w:r>
    </w:p>
    <w:p w14:paraId="315ED67C">
      <w:pPr>
        <w:tabs>
          <w:tab w:val="center" w:pos="6979"/>
        </w:tabs>
        <w:spacing w:line="560" w:lineRule="exact"/>
        <w:ind w:firstLine="570"/>
        <w:rPr>
          <w:rFonts w:ascii="仿宋_GB2312" w:eastAsia="仿宋_GB2312"/>
          <w:color w:val="auto"/>
          <w:sz w:val="28"/>
          <w:szCs w:val="28"/>
        </w:rPr>
      </w:pPr>
      <w:r>
        <w:rPr>
          <w:rFonts w:hint="eastAsia" w:ascii="仿宋_GB2312" w:eastAsia="仿宋_GB2312"/>
          <w:color w:val="auto"/>
          <w:sz w:val="28"/>
          <w:szCs w:val="28"/>
        </w:rPr>
        <w:t>“体育”2024年度年初</w:t>
      </w:r>
      <w:r>
        <w:rPr>
          <w:rFonts w:ascii="仿宋_GB2312" w:eastAsia="仿宋_GB2312"/>
          <w:color w:val="auto"/>
          <w:sz w:val="28"/>
          <w:szCs w:val="28"/>
        </w:rPr>
        <w:t>预算</w:t>
      </w:r>
      <w:r>
        <w:rPr>
          <w:rFonts w:hint="eastAsia" w:ascii="仿宋_GB2312" w:eastAsia="仿宋_GB2312"/>
          <w:color w:val="auto"/>
          <w:sz w:val="28"/>
          <w:szCs w:val="28"/>
        </w:rPr>
        <w:t>2607.24万元，2</w:t>
      </w:r>
      <w:r>
        <w:rPr>
          <w:rFonts w:ascii="仿宋_GB2312" w:eastAsia="仿宋_GB2312"/>
          <w:color w:val="auto"/>
          <w:sz w:val="28"/>
          <w:szCs w:val="28"/>
        </w:rPr>
        <w:t>024</w:t>
      </w:r>
      <w:r>
        <w:rPr>
          <w:rFonts w:hint="eastAsia" w:ascii="仿宋_GB2312" w:eastAsia="仿宋_GB2312"/>
          <w:color w:val="auto"/>
          <w:sz w:val="28"/>
          <w:szCs w:val="28"/>
        </w:rPr>
        <w:t>年度</w:t>
      </w:r>
      <w:r>
        <w:rPr>
          <w:rFonts w:ascii="仿宋_GB2312" w:eastAsia="仿宋_GB2312"/>
          <w:color w:val="auto"/>
          <w:sz w:val="28"/>
          <w:szCs w:val="28"/>
        </w:rPr>
        <w:t>决算</w:t>
      </w:r>
      <w:r>
        <w:rPr>
          <w:rFonts w:hint="eastAsia" w:ascii="仿宋_GB2312" w:eastAsia="仿宋_GB2312"/>
          <w:color w:val="auto"/>
          <w:sz w:val="28"/>
          <w:szCs w:val="28"/>
        </w:rPr>
        <w:t>2453.53万元，</w:t>
      </w:r>
      <w:r>
        <w:rPr>
          <w:rFonts w:ascii="仿宋_GB2312" w:eastAsia="仿宋_GB2312"/>
          <w:color w:val="auto"/>
          <w:sz w:val="28"/>
          <w:szCs w:val="28"/>
        </w:rPr>
        <w:t>完成年初预算的</w:t>
      </w:r>
      <w:r>
        <w:rPr>
          <w:rFonts w:hint="eastAsia" w:ascii="仿宋_GB2312" w:eastAsia="仿宋_GB2312"/>
          <w:color w:val="auto"/>
          <w:sz w:val="28"/>
          <w:szCs w:val="28"/>
        </w:rPr>
        <w:t>94.10%。</w:t>
      </w:r>
      <w:r>
        <w:rPr>
          <w:rFonts w:ascii="仿宋_GB2312" w:eastAsia="仿宋_GB2312"/>
          <w:color w:val="auto"/>
          <w:sz w:val="28"/>
          <w:szCs w:val="28"/>
        </w:rPr>
        <w:t>主要原因</w:t>
      </w:r>
      <w:r>
        <w:rPr>
          <w:rFonts w:hint="eastAsia" w:ascii="仿宋_GB2312" w:eastAsia="仿宋_GB2312"/>
          <w:color w:val="auto"/>
          <w:sz w:val="28"/>
          <w:szCs w:val="28"/>
        </w:rPr>
        <w:t>：</w:t>
      </w:r>
      <w:r>
        <w:rPr>
          <w:rFonts w:hint="eastAsia" w:ascii="仿宋_GB2312" w:eastAsia="仿宋_GB2312"/>
          <w:color w:val="auto"/>
          <w:sz w:val="28"/>
          <w:szCs w:val="28"/>
          <w:lang w:eastAsia="zh-CN"/>
        </w:rPr>
        <w:t>人员减少</w:t>
      </w:r>
      <w:r>
        <w:rPr>
          <w:rFonts w:hint="eastAsia" w:ascii="仿宋_GB2312" w:eastAsia="仿宋_GB2312"/>
          <w:color w:val="auto"/>
          <w:sz w:val="28"/>
          <w:szCs w:val="28"/>
        </w:rPr>
        <w:t>。</w:t>
      </w:r>
    </w:p>
    <w:p w14:paraId="0959ABC3">
      <w:pPr>
        <w:spacing w:line="560" w:lineRule="exact"/>
        <w:ind w:firstLine="560"/>
        <w:jc w:val="left"/>
        <w:rPr>
          <w:rFonts w:ascii="仿宋_GB2312" w:hAnsi="仿宋_GB2312" w:eastAsia="仿宋_GB2312" w:cs="仿宋_GB2312"/>
          <w:color w:val="auto"/>
          <w:sz w:val="28"/>
        </w:rPr>
      </w:pPr>
      <w:r>
        <w:rPr>
          <w:rFonts w:ascii="黑体" w:hAnsi="黑体" w:eastAsia="黑体" w:cs="黑体"/>
          <w:b/>
          <w:color w:val="auto"/>
          <w:sz w:val="28"/>
        </w:rPr>
        <w:t>五、政府性基金预算财政拨款支出决算情况说明</w:t>
      </w:r>
      <w:bookmarkStart w:id="1" w:name="_GoBack"/>
      <w:bookmarkEnd w:id="1"/>
    </w:p>
    <w:p w14:paraId="3653CB94">
      <w:pPr>
        <w:spacing w:line="560" w:lineRule="exact"/>
        <w:ind w:firstLine="555"/>
        <w:rPr>
          <w:rFonts w:ascii="仿宋_GB2312" w:eastAsia="仿宋_GB2312"/>
          <w:color w:val="auto"/>
          <w:sz w:val="28"/>
          <w:szCs w:val="28"/>
        </w:rPr>
      </w:pPr>
      <w:r>
        <w:rPr>
          <w:rFonts w:hint="eastAsia" w:ascii="仿宋_GB2312" w:eastAsia="仿宋_GB2312"/>
          <w:color w:val="auto"/>
          <w:sz w:val="28"/>
          <w:szCs w:val="28"/>
        </w:rPr>
        <w:t>本单位无此项经费。</w:t>
      </w:r>
    </w:p>
    <w:p w14:paraId="49BBCF8F">
      <w:pPr>
        <w:spacing w:line="560" w:lineRule="exact"/>
        <w:ind w:firstLine="560"/>
        <w:rPr>
          <w:rFonts w:ascii="黑体" w:hAnsi="黑体" w:eastAsia="黑体" w:cs="黑体"/>
          <w:b/>
          <w:color w:val="auto"/>
          <w:sz w:val="28"/>
        </w:rPr>
      </w:pPr>
      <w:r>
        <w:rPr>
          <w:rFonts w:ascii="黑体" w:hAnsi="黑体" w:eastAsia="黑体" w:cs="黑体"/>
          <w:b/>
          <w:color w:val="auto"/>
          <w:sz w:val="28"/>
        </w:rPr>
        <w:t>六、国有资本经营预算财政拨款收支情况</w:t>
      </w:r>
    </w:p>
    <w:p w14:paraId="6671CEB5">
      <w:pPr>
        <w:spacing w:line="560" w:lineRule="exact"/>
        <w:ind w:firstLine="537"/>
        <w:rPr>
          <w:rFonts w:ascii="仿宋_GB2312" w:hAnsi="仿宋_GB2312" w:eastAsia="仿宋_GB2312" w:cs="仿宋_GB2312"/>
          <w:color w:val="auto"/>
          <w:sz w:val="28"/>
        </w:rPr>
      </w:pPr>
      <w:r>
        <w:rPr>
          <w:rFonts w:hint="eastAsia" w:ascii="仿宋_GB2312" w:eastAsia="仿宋_GB2312"/>
          <w:color w:val="auto"/>
          <w:sz w:val="28"/>
          <w:szCs w:val="28"/>
        </w:rPr>
        <w:t>本单位无此项经费</w:t>
      </w:r>
      <w:r>
        <w:rPr>
          <w:rFonts w:ascii="仿宋_GB2312" w:hAnsi="仿宋_GB2312" w:eastAsia="仿宋_GB2312" w:cs="仿宋_GB2312"/>
          <w:color w:val="auto"/>
          <w:sz w:val="28"/>
        </w:rPr>
        <w:t>。</w:t>
      </w:r>
    </w:p>
    <w:p w14:paraId="32D70BE8">
      <w:pPr>
        <w:spacing w:line="560" w:lineRule="exact"/>
        <w:ind w:firstLine="548"/>
        <w:rPr>
          <w:rFonts w:ascii="黑体" w:hAnsi="黑体" w:eastAsia="黑体" w:cs="黑体"/>
          <w:color w:val="auto"/>
          <w:sz w:val="28"/>
        </w:rPr>
      </w:pPr>
      <w:r>
        <w:rPr>
          <w:rFonts w:ascii="黑体" w:hAnsi="黑体" w:eastAsia="黑体" w:cs="黑体"/>
          <w:b/>
          <w:color w:val="auto"/>
          <w:sz w:val="28"/>
        </w:rPr>
        <w:t>七、财政拨款基本支出决算情况说明</w:t>
      </w:r>
    </w:p>
    <w:p w14:paraId="69EDF548">
      <w:pPr>
        <w:tabs>
          <w:tab w:val="center" w:pos="6979"/>
        </w:tabs>
        <w:spacing w:line="560" w:lineRule="exact"/>
        <w:ind w:firstLine="548"/>
        <w:rPr>
          <w:rFonts w:ascii="宋体" w:hAnsi="宋体" w:eastAsia="宋体" w:cs="宋体"/>
          <w:b/>
          <w:color w:val="auto"/>
          <w:spacing w:val="40"/>
          <w:sz w:val="32"/>
        </w:rPr>
      </w:pPr>
      <w:r>
        <w:rPr>
          <w:rFonts w:ascii="仿宋_GB2312" w:eastAsia="仿宋_GB2312"/>
          <w:color w:val="auto"/>
          <w:sz w:val="28"/>
          <w:szCs w:val="28"/>
        </w:rPr>
        <w:t>2024年度使用一般公共预算财政拨款安排基本支出1681.82万元，使用政府性基金财政拨款安排基本支出0万元，（1）工资福利支出包括基本工资、津贴补贴、奖金、伙食补助费、绩效工资、其他社会保障缴费、其他工资福利等支出；（2）商品和服务支出包括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等支出；（3）对个人和家庭补助支出包括离休费、退休费、抚恤金、生活补助、救济费、医疗费补助、助学金、奖励金、其他对个人和家庭的补助等支出。（4）其他资本性支出包括办公设备购置、专用设备购置等。</w:t>
      </w:r>
    </w:p>
    <w:p w14:paraId="700EBF4D">
      <w:pPr>
        <w:tabs>
          <w:tab w:val="center" w:pos="6979"/>
        </w:tabs>
        <w:spacing w:line="560" w:lineRule="exact"/>
        <w:jc w:val="center"/>
        <w:rPr>
          <w:rFonts w:ascii="宋体" w:hAnsi="宋体" w:eastAsia="宋体" w:cs="宋体"/>
          <w:b/>
          <w:color w:val="auto"/>
          <w:spacing w:val="40"/>
          <w:sz w:val="32"/>
        </w:rPr>
      </w:pPr>
      <w:r>
        <w:rPr>
          <w:rFonts w:ascii="宋体" w:hAnsi="宋体" w:eastAsia="宋体" w:cs="宋体"/>
          <w:b/>
          <w:color w:val="auto"/>
          <w:spacing w:val="40"/>
          <w:sz w:val="32"/>
        </w:rPr>
        <w:t>第三部分2024年度其他重要事项的情况说明</w:t>
      </w:r>
    </w:p>
    <w:p w14:paraId="4259FF87">
      <w:pPr>
        <w:spacing w:line="560" w:lineRule="exact"/>
        <w:ind w:firstLine="560"/>
        <w:rPr>
          <w:rFonts w:ascii="黑体" w:hAnsi="黑体" w:eastAsia="黑体" w:cs="黑体"/>
          <w:color w:val="auto"/>
          <w:sz w:val="28"/>
        </w:rPr>
      </w:pPr>
      <w:r>
        <w:rPr>
          <w:rFonts w:ascii="黑体" w:hAnsi="黑体" w:eastAsia="黑体" w:cs="黑体"/>
          <w:color w:val="auto"/>
          <w:sz w:val="28"/>
        </w:rPr>
        <w:t>一、“三公”经费财政拨款决算情况</w:t>
      </w:r>
    </w:p>
    <w:p w14:paraId="15B4D751">
      <w:pPr>
        <w:tabs>
          <w:tab w:val="center" w:pos="6979"/>
        </w:tabs>
        <w:spacing w:line="560" w:lineRule="exact"/>
        <w:ind w:firstLine="548"/>
        <w:rPr>
          <w:rFonts w:ascii="仿宋_GB2312" w:eastAsia="仿宋_GB2312"/>
          <w:color w:val="auto"/>
          <w:sz w:val="28"/>
          <w:szCs w:val="28"/>
        </w:rPr>
      </w:pPr>
      <w:r>
        <w:rPr>
          <w:rFonts w:ascii="仿宋_GB2312" w:eastAsia="仿宋_GB2312"/>
          <w:color w:val="auto"/>
          <w:sz w:val="28"/>
          <w:szCs w:val="28"/>
        </w:rPr>
        <w:t>2024年度“三公”经费财政拨款决算数1.3万元，比2024年度“三公”经费财政拨款年初预算3.13万元减少1.83万元。其中：</w:t>
      </w:r>
    </w:p>
    <w:p w14:paraId="1071854E">
      <w:pPr>
        <w:tabs>
          <w:tab w:val="center" w:pos="6979"/>
        </w:tabs>
        <w:spacing w:line="560" w:lineRule="exact"/>
        <w:ind w:firstLine="548"/>
        <w:rPr>
          <w:rFonts w:ascii="仿宋_GB2312" w:eastAsia="仿宋_GB2312"/>
          <w:color w:val="auto"/>
          <w:sz w:val="28"/>
          <w:szCs w:val="28"/>
        </w:rPr>
      </w:pPr>
      <w:r>
        <w:rPr>
          <w:rFonts w:ascii="仿宋_GB2312" w:eastAsia="仿宋_GB2312"/>
          <w:color w:val="auto"/>
          <w:sz w:val="28"/>
          <w:szCs w:val="28"/>
        </w:rPr>
        <w:t>1.</w:t>
      </w:r>
      <w:r>
        <w:rPr>
          <w:rFonts w:hint="eastAsia" w:ascii="仿宋_GB2312" w:eastAsia="仿宋_GB2312"/>
          <w:color w:val="auto"/>
          <w:sz w:val="28"/>
          <w:szCs w:val="28"/>
        </w:rPr>
        <w:t xml:space="preserve"> 因公出国（境）费用。本单位无此项支出。</w:t>
      </w:r>
    </w:p>
    <w:p w14:paraId="3277F474">
      <w:pPr>
        <w:tabs>
          <w:tab w:val="center" w:pos="6979"/>
        </w:tabs>
        <w:spacing w:line="560" w:lineRule="exact"/>
        <w:ind w:firstLine="548"/>
        <w:rPr>
          <w:rFonts w:ascii="仿宋_GB2312" w:eastAsia="仿宋_GB2312"/>
          <w:color w:val="auto"/>
          <w:sz w:val="28"/>
          <w:szCs w:val="28"/>
        </w:rPr>
      </w:pPr>
      <w:r>
        <w:rPr>
          <w:rFonts w:ascii="仿宋_GB2312" w:eastAsia="仿宋_GB2312"/>
          <w:color w:val="auto"/>
          <w:sz w:val="28"/>
          <w:szCs w:val="28"/>
        </w:rPr>
        <w:t>2.</w:t>
      </w:r>
      <w:r>
        <w:rPr>
          <w:rFonts w:hint="eastAsia" w:ascii="仿宋_GB2312" w:eastAsia="仿宋_GB2312"/>
          <w:color w:val="auto"/>
          <w:sz w:val="28"/>
          <w:szCs w:val="28"/>
        </w:rPr>
        <w:t xml:space="preserve"> 公务接待费。2024年度决算数</w:t>
      </w:r>
      <w:r>
        <w:rPr>
          <w:rFonts w:ascii="仿宋_GB2312" w:eastAsia="仿宋_GB2312"/>
          <w:color w:val="auto"/>
          <w:sz w:val="28"/>
          <w:szCs w:val="28"/>
        </w:rPr>
        <w:t>0</w:t>
      </w:r>
      <w:r>
        <w:rPr>
          <w:rFonts w:hint="eastAsia" w:ascii="仿宋_GB2312" w:eastAsia="仿宋_GB2312"/>
          <w:color w:val="auto"/>
          <w:sz w:val="28"/>
          <w:szCs w:val="28"/>
        </w:rPr>
        <w:t>万元，比2024年度年初预算数</w:t>
      </w:r>
      <w:r>
        <w:rPr>
          <w:rFonts w:ascii="仿宋_GB2312" w:eastAsia="仿宋_GB2312"/>
          <w:color w:val="auto"/>
          <w:sz w:val="28"/>
          <w:szCs w:val="28"/>
        </w:rPr>
        <w:t>0.78</w:t>
      </w:r>
      <w:r>
        <w:rPr>
          <w:rFonts w:hint="eastAsia" w:ascii="仿宋_GB2312" w:eastAsia="仿宋_GB2312"/>
          <w:color w:val="auto"/>
          <w:sz w:val="28"/>
          <w:szCs w:val="28"/>
        </w:rPr>
        <w:t>万元减少</w:t>
      </w:r>
      <w:r>
        <w:rPr>
          <w:rFonts w:ascii="仿宋_GB2312" w:eastAsia="仿宋_GB2312"/>
          <w:color w:val="auto"/>
          <w:sz w:val="28"/>
          <w:szCs w:val="28"/>
        </w:rPr>
        <w:t>0.78</w:t>
      </w:r>
      <w:r>
        <w:rPr>
          <w:rFonts w:hint="eastAsia" w:ascii="仿宋_GB2312" w:eastAsia="仿宋_GB2312"/>
          <w:color w:val="auto"/>
          <w:sz w:val="28"/>
          <w:szCs w:val="28"/>
        </w:rPr>
        <w:t>万元。主要原因：厉行勤俭节约，</w:t>
      </w:r>
      <w:r>
        <w:rPr>
          <w:rFonts w:hint="eastAsia" w:ascii="仿宋_GB2312" w:eastAsia="仿宋_GB2312"/>
          <w:color w:val="auto"/>
          <w:sz w:val="28"/>
          <w:szCs w:val="28"/>
          <w:lang w:eastAsia="zh-CN"/>
        </w:rPr>
        <w:t>压减公务接待费支出</w:t>
      </w:r>
      <w:r>
        <w:rPr>
          <w:rFonts w:hint="eastAsia" w:ascii="仿宋_GB2312" w:eastAsia="仿宋_GB2312"/>
          <w:color w:val="auto"/>
          <w:sz w:val="28"/>
          <w:szCs w:val="28"/>
        </w:rPr>
        <w:t>。</w:t>
      </w:r>
    </w:p>
    <w:p w14:paraId="5F961798">
      <w:pPr>
        <w:tabs>
          <w:tab w:val="center" w:pos="6979"/>
        </w:tabs>
        <w:spacing w:line="560" w:lineRule="exact"/>
        <w:ind w:firstLine="548"/>
        <w:rPr>
          <w:rFonts w:ascii="仿宋_GB2312" w:eastAsia="仿宋_GB2312"/>
          <w:color w:val="auto"/>
          <w:sz w:val="28"/>
          <w:szCs w:val="28"/>
        </w:rPr>
      </w:pPr>
      <w:r>
        <w:rPr>
          <w:rFonts w:ascii="仿宋_GB2312" w:eastAsia="仿宋_GB2312"/>
          <w:color w:val="auto"/>
          <w:sz w:val="28"/>
          <w:szCs w:val="28"/>
        </w:rPr>
        <w:t>3.</w:t>
      </w:r>
      <w:r>
        <w:rPr>
          <w:rFonts w:hint="eastAsia" w:ascii="仿宋_GB2312" w:eastAsia="仿宋_GB2312"/>
          <w:color w:val="auto"/>
          <w:sz w:val="28"/>
          <w:szCs w:val="28"/>
        </w:rPr>
        <w:t xml:space="preserve"> 公务用车购置及运行维护费。2024年度决算数</w:t>
      </w:r>
      <w:r>
        <w:rPr>
          <w:rFonts w:ascii="仿宋_GB2312" w:eastAsia="仿宋_GB2312"/>
          <w:color w:val="auto"/>
          <w:sz w:val="28"/>
          <w:szCs w:val="28"/>
        </w:rPr>
        <w:t>1.3</w:t>
      </w:r>
      <w:r>
        <w:rPr>
          <w:rFonts w:hint="eastAsia" w:ascii="仿宋_GB2312" w:eastAsia="仿宋_GB2312"/>
          <w:color w:val="auto"/>
          <w:sz w:val="28"/>
          <w:szCs w:val="28"/>
        </w:rPr>
        <w:t>0万元，比2024年度年初预算数</w:t>
      </w:r>
      <w:r>
        <w:rPr>
          <w:rFonts w:ascii="仿宋_GB2312" w:eastAsia="仿宋_GB2312"/>
          <w:color w:val="auto"/>
          <w:sz w:val="28"/>
          <w:szCs w:val="28"/>
        </w:rPr>
        <w:t>2.35</w:t>
      </w:r>
      <w:r>
        <w:rPr>
          <w:rFonts w:hint="eastAsia" w:ascii="仿宋_GB2312" w:eastAsia="仿宋_GB2312"/>
          <w:color w:val="auto"/>
          <w:sz w:val="28"/>
          <w:szCs w:val="28"/>
        </w:rPr>
        <w:t>万元减少</w:t>
      </w:r>
      <w:r>
        <w:rPr>
          <w:rFonts w:ascii="仿宋_GB2312" w:eastAsia="仿宋_GB2312"/>
          <w:color w:val="auto"/>
          <w:sz w:val="28"/>
          <w:szCs w:val="28"/>
        </w:rPr>
        <w:t>1.05</w:t>
      </w:r>
      <w:r>
        <w:rPr>
          <w:rFonts w:hint="eastAsia" w:ascii="仿宋_GB2312" w:eastAsia="仿宋_GB2312"/>
          <w:color w:val="auto"/>
          <w:sz w:val="28"/>
          <w:szCs w:val="28"/>
        </w:rPr>
        <w:t>万元。其中，公务用车购置费2024年度决算数0万元。公务用车运行维护费2024年度决算数1.30万元，主要原因：厉行勤俭节约，</w:t>
      </w:r>
      <w:r>
        <w:rPr>
          <w:rFonts w:hint="eastAsia" w:ascii="仿宋_GB2312" w:eastAsia="仿宋_GB2312"/>
          <w:color w:val="auto"/>
          <w:sz w:val="28"/>
          <w:szCs w:val="28"/>
          <w:lang w:eastAsia="zh-CN"/>
        </w:rPr>
        <w:t>压减公务用车运行维护支出</w:t>
      </w:r>
      <w:r>
        <w:rPr>
          <w:rFonts w:hint="eastAsia" w:ascii="仿宋_GB2312" w:eastAsia="仿宋_GB2312"/>
          <w:color w:val="auto"/>
          <w:sz w:val="28"/>
          <w:szCs w:val="28"/>
        </w:rPr>
        <w:t>。2024年度公务用车保有量</w:t>
      </w:r>
      <w:r>
        <w:rPr>
          <w:rFonts w:ascii="仿宋_GB2312" w:eastAsia="仿宋_GB2312"/>
          <w:color w:val="auto"/>
          <w:sz w:val="28"/>
          <w:szCs w:val="28"/>
        </w:rPr>
        <w:t>2</w:t>
      </w:r>
      <w:r>
        <w:rPr>
          <w:rFonts w:hint="eastAsia" w:ascii="仿宋_GB2312" w:eastAsia="仿宋_GB2312"/>
          <w:color w:val="auto"/>
          <w:sz w:val="28"/>
          <w:szCs w:val="28"/>
        </w:rPr>
        <w:t>辆。</w:t>
      </w:r>
    </w:p>
    <w:p w14:paraId="01939AF5">
      <w:pPr>
        <w:tabs>
          <w:tab w:val="center" w:pos="6979"/>
        </w:tabs>
        <w:spacing w:line="560" w:lineRule="exact"/>
        <w:ind w:firstLine="554"/>
        <w:rPr>
          <w:rFonts w:ascii="黑体" w:hAnsi="黑体" w:eastAsia="黑体" w:cs="黑体"/>
          <w:color w:val="auto"/>
          <w:sz w:val="28"/>
        </w:rPr>
      </w:pPr>
      <w:r>
        <w:rPr>
          <w:rFonts w:ascii="黑体" w:hAnsi="黑体" w:eastAsia="黑体" w:cs="黑体"/>
          <w:color w:val="auto"/>
          <w:sz w:val="28"/>
        </w:rPr>
        <w:t>二、机关运行经费支出情况</w:t>
      </w:r>
    </w:p>
    <w:p w14:paraId="5F68CE36">
      <w:pPr>
        <w:spacing w:line="560" w:lineRule="exact"/>
        <w:ind w:firstLine="537" w:firstLineChars="192"/>
        <w:rPr>
          <w:rFonts w:ascii="仿宋_GB2312" w:eastAsia="仿宋_GB2312"/>
          <w:color w:val="auto"/>
          <w:sz w:val="28"/>
          <w:szCs w:val="28"/>
        </w:rPr>
      </w:pPr>
      <w:r>
        <w:rPr>
          <w:rFonts w:hint="eastAsia" w:ascii="仿宋_GB2312" w:eastAsia="仿宋_GB2312"/>
          <w:color w:val="auto"/>
          <w:sz w:val="28"/>
          <w:szCs w:val="28"/>
        </w:rPr>
        <w:t>我单位不在机关运行经费统计范围之内。</w:t>
      </w:r>
    </w:p>
    <w:p w14:paraId="179A92CE">
      <w:pPr>
        <w:spacing w:line="560" w:lineRule="exact"/>
        <w:ind w:left="540"/>
        <w:rPr>
          <w:rFonts w:ascii="黑体" w:hAnsi="黑体" w:eastAsia="黑体" w:cs="黑体"/>
          <w:color w:val="auto"/>
          <w:sz w:val="28"/>
        </w:rPr>
      </w:pPr>
      <w:r>
        <w:rPr>
          <w:rFonts w:ascii="黑体" w:hAnsi="黑体" w:eastAsia="黑体" w:cs="黑体"/>
          <w:color w:val="auto"/>
          <w:sz w:val="28"/>
        </w:rPr>
        <w:t>三、政府采购支出情况</w:t>
      </w:r>
    </w:p>
    <w:p w14:paraId="4F1B2C5A">
      <w:pPr>
        <w:tabs>
          <w:tab w:val="center" w:pos="6979"/>
        </w:tabs>
        <w:spacing w:line="560" w:lineRule="exact"/>
        <w:ind w:firstLine="548"/>
        <w:rPr>
          <w:rFonts w:ascii="仿宋_GB2312" w:eastAsia="仿宋_GB2312"/>
          <w:color w:val="auto"/>
          <w:sz w:val="28"/>
          <w:szCs w:val="28"/>
        </w:rPr>
      </w:pPr>
      <w:r>
        <w:rPr>
          <w:rFonts w:ascii="仿宋_GB2312" w:eastAsia="仿宋_GB2312"/>
          <w:color w:val="auto"/>
          <w:sz w:val="28"/>
          <w:szCs w:val="28"/>
        </w:rPr>
        <w:t>2024年度政府采购支出总额141.23万元，其中：政府采购货物支出11.44万元，政府采购工程支出0万元，政府采购服务支出129.78万元。授予中小企业合同金额14.48万元，占政府采购支出总额的10.25%，其中：授予小微企业合同金额14.43万元，占政府采购支出总额的10.22%。</w:t>
      </w:r>
    </w:p>
    <w:p w14:paraId="08C73865">
      <w:pPr>
        <w:spacing w:line="560" w:lineRule="exact"/>
        <w:ind w:firstLine="560"/>
        <w:rPr>
          <w:rFonts w:ascii="黑体" w:hAnsi="黑体" w:eastAsia="黑体" w:cs="黑体"/>
          <w:color w:val="auto"/>
          <w:sz w:val="28"/>
        </w:rPr>
      </w:pPr>
      <w:r>
        <w:rPr>
          <w:rFonts w:ascii="黑体" w:hAnsi="黑体" w:eastAsia="黑体" w:cs="黑体"/>
          <w:color w:val="auto"/>
          <w:sz w:val="28"/>
        </w:rPr>
        <w:t>四、国有资产占用情况</w:t>
      </w:r>
    </w:p>
    <w:p w14:paraId="7BD97D92">
      <w:pPr>
        <w:tabs>
          <w:tab w:val="center" w:pos="6979"/>
        </w:tabs>
        <w:spacing w:line="560" w:lineRule="exact"/>
        <w:ind w:firstLine="548"/>
        <w:rPr>
          <w:rFonts w:ascii="仿宋_GB2312" w:eastAsia="仿宋_GB2312"/>
          <w:color w:val="auto"/>
          <w:sz w:val="28"/>
          <w:szCs w:val="28"/>
        </w:rPr>
      </w:pPr>
      <w:r>
        <w:rPr>
          <w:rFonts w:hint="eastAsia" w:ascii="仿宋_GB2312" w:eastAsia="仿宋_GB2312"/>
          <w:color w:val="auto"/>
          <w:sz w:val="28"/>
          <w:szCs w:val="28"/>
        </w:rPr>
        <w:t>截至12月31日，我单位共有车辆3台；单位价值100万元（含）以上的设备0台（套）。</w:t>
      </w:r>
    </w:p>
    <w:p w14:paraId="06999CB0">
      <w:pPr>
        <w:spacing w:line="560" w:lineRule="exact"/>
        <w:ind w:firstLine="537"/>
        <w:rPr>
          <w:rFonts w:ascii="黑体" w:hAnsi="黑体" w:eastAsia="黑体" w:cs="黑体"/>
          <w:color w:val="auto"/>
          <w:sz w:val="28"/>
        </w:rPr>
      </w:pPr>
      <w:r>
        <w:rPr>
          <w:rFonts w:ascii="黑体" w:hAnsi="黑体" w:eastAsia="黑体" w:cs="黑体"/>
          <w:color w:val="auto"/>
          <w:sz w:val="28"/>
        </w:rPr>
        <w:t>五、政府购买服务支出说明</w:t>
      </w:r>
    </w:p>
    <w:p w14:paraId="297D7C53">
      <w:pPr>
        <w:tabs>
          <w:tab w:val="center" w:pos="6979"/>
        </w:tabs>
        <w:spacing w:line="560" w:lineRule="exact"/>
        <w:ind w:firstLine="548"/>
        <w:rPr>
          <w:rFonts w:ascii="仿宋_GB2312" w:eastAsia="仿宋_GB2312"/>
          <w:color w:val="auto"/>
          <w:sz w:val="28"/>
          <w:szCs w:val="28"/>
        </w:rPr>
      </w:pPr>
      <w:r>
        <w:rPr>
          <w:rFonts w:hint="eastAsia" w:ascii="仿宋_GB2312" w:eastAsia="仿宋_GB2312"/>
          <w:color w:val="auto"/>
          <w:sz w:val="28"/>
          <w:szCs w:val="28"/>
          <w:lang w:eastAsia="zh-CN"/>
        </w:rPr>
        <w:t>本单位无此项经费</w:t>
      </w:r>
      <w:r>
        <w:rPr>
          <w:rFonts w:ascii="仿宋_GB2312" w:eastAsia="仿宋_GB2312"/>
          <w:color w:val="auto"/>
          <w:sz w:val="28"/>
          <w:szCs w:val="28"/>
        </w:rPr>
        <w:t>。</w:t>
      </w:r>
    </w:p>
    <w:p w14:paraId="4D5476B3">
      <w:pPr>
        <w:spacing w:line="560" w:lineRule="exact"/>
        <w:ind w:firstLine="560"/>
        <w:jc w:val="left"/>
        <w:rPr>
          <w:rFonts w:ascii="仿宋_GB2312" w:hAnsi="仿宋_GB2312" w:eastAsia="仿宋_GB2312" w:cs="仿宋_GB2312"/>
          <w:color w:val="auto"/>
          <w:sz w:val="32"/>
        </w:rPr>
      </w:pPr>
      <w:r>
        <w:rPr>
          <w:rFonts w:ascii="黑体" w:hAnsi="黑体" w:eastAsia="黑体" w:cs="黑体"/>
          <w:color w:val="auto"/>
          <w:sz w:val="28"/>
        </w:rPr>
        <w:t>六、专业名词解释</w:t>
      </w:r>
    </w:p>
    <w:p w14:paraId="4B7644A8">
      <w:pPr>
        <w:tabs>
          <w:tab w:val="center" w:pos="6979"/>
        </w:tabs>
        <w:spacing w:line="560" w:lineRule="exact"/>
        <w:ind w:firstLine="548"/>
        <w:rPr>
          <w:rFonts w:ascii="仿宋_GB2312" w:eastAsia="仿宋_GB2312"/>
          <w:color w:val="auto"/>
          <w:sz w:val="28"/>
          <w:szCs w:val="28"/>
        </w:rPr>
      </w:pPr>
      <w:r>
        <w:rPr>
          <w:rFonts w:hint="eastAsia" w:ascii="仿宋_GB2312" w:eastAsia="仿宋_GB2312"/>
          <w:color w:val="auto"/>
          <w:sz w:val="28"/>
          <w:szCs w:val="28"/>
        </w:rPr>
        <w:t>1.基本支出：指为保障机构正常运转、完成日常工作任务而发生的人员支出和公用支出。</w:t>
      </w:r>
    </w:p>
    <w:p w14:paraId="1941FBE4">
      <w:pPr>
        <w:tabs>
          <w:tab w:val="center" w:pos="6979"/>
        </w:tabs>
        <w:spacing w:line="560" w:lineRule="exact"/>
        <w:ind w:firstLine="548"/>
        <w:rPr>
          <w:rFonts w:ascii="仿宋_GB2312" w:eastAsia="仿宋_GB2312"/>
          <w:color w:val="auto"/>
          <w:sz w:val="28"/>
          <w:szCs w:val="28"/>
        </w:rPr>
      </w:pPr>
      <w:r>
        <w:rPr>
          <w:rFonts w:hint="eastAsia" w:ascii="仿宋_GB2312" w:eastAsia="仿宋_GB2312"/>
          <w:color w:val="auto"/>
          <w:sz w:val="28"/>
          <w:szCs w:val="28"/>
        </w:rPr>
        <w:t>2.项目支出：指在基本支出之外为完成特定行政任务或事业发展目标所发生的支出。</w:t>
      </w:r>
    </w:p>
    <w:p w14:paraId="2A89CADE">
      <w:pPr>
        <w:tabs>
          <w:tab w:val="center" w:pos="6979"/>
        </w:tabs>
        <w:spacing w:line="560" w:lineRule="exact"/>
        <w:ind w:firstLine="548"/>
        <w:rPr>
          <w:rFonts w:ascii="仿宋_GB2312" w:eastAsia="仿宋_GB2312"/>
          <w:color w:val="auto"/>
          <w:sz w:val="28"/>
          <w:szCs w:val="28"/>
        </w:rPr>
      </w:pPr>
      <w:r>
        <w:rPr>
          <w:rFonts w:hint="eastAsia" w:ascii="仿宋_GB2312" w:eastAsia="仿宋_GB2312"/>
          <w:color w:val="auto"/>
          <w:sz w:val="28"/>
          <w:szCs w:val="28"/>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2D11F164">
      <w:pPr>
        <w:tabs>
          <w:tab w:val="center" w:pos="6979"/>
        </w:tabs>
        <w:spacing w:line="560" w:lineRule="exact"/>
        <w:ind w:firstLine="548"/>
        <w:rPr>
          <w:rFonts w:ascii="仿宋_GB2312" w:eastAsia="仿宋_GB2312"/>
          <w:color w:val="auto"/>
          <w:sz w:val="28"/>
          <w:szCs w:val="28"/>
        </w:rPr>
      </w:pPr>
      <w:r>
        <w:rPr>
          <w:rFonts w:hint="eastAsia" w:ascii="仿宋_GB2312" w:eastAsia="仿宋_GB2312"/>
          <w:color w:val="auto"/>
          <w:sz w:val="28"/>
          <w:szCs w:val="28"/>
        </w:rPr>
        <w:t>4</w:t>
      </w:r>
      <w:r>
        <w:rPr>
          <w:rFonts w:ascii="仿宋_GB2312" w:eastAsia="仿宋_GB2312"/>
          <w:color w:val="auto"/>
          <w:sz w:val="28"/>
          <w:szCs w:val="28"/>
        </w:rPr>
        <w:t>.</w:t>
      </w:r>
      <w:r>
        <w:rPr>
          <w:rFonts w:hint="eastAsia" w:ascii="仿宋_GB2312" w:eastAsia="仿宋_GB2312"/>
          <w:color w:val="auto"/>
          <w:sz w:val="28"/>
          <w:szCs w:val="28"/>
        </w:rPr>
        <w:t>政府采购</w:t>
      </w:r>
      <w:r>
        <w:rPr>
          <w:rFonts w:ascii="仿宋_GB2312" w:eastAsia="仿宋_GB2312"/>
          <w:color w:val="auto"/>
          <w:sz w:val="28"/>
          <w:szCs w:val="28"/>
        </w:rPr>
        <w:t>：</w:t>
      </w:r>
      <w:r>
        <w:rPr>
          <w:rFonts w:hint="eastAsia" w:ascii="仿宋_GB2312" w:eastAsia="仿宋_GB2312"/>
          <w:color w:val="auto"/>
          <w:sz w:val="28"/>
          <w:szCs w:val="28"/>
        </w:rPr>
        <w:t>指</w:t>
      </w:r>
      <w:r>
        <w:rPr>
          <w:rFonts w:ascii="仿宋_GB2312" w:eastAsia="仿宋_GB2312"/>
          <w:color w:val="auto"/>
          <w:sz w:val="28"/>
          <w:szCs w:val="28"/>
        </w:rPr>
        <w:t>各级国家机关、事业单位和团体组织，使用</w:t>
      </w:r>
      <w:r>
        <w:rPr>
          <w:rFonts w:hint="eastAsia" w:ascii="仿宋_GB2312" w:eastAsia="仿宋_GB2312"/>
          <w:color w:val="auto"/>
          <w:sz w:val="28"/>
          <w:szCs w:val="28"/>
        </w:rPr>
        <w:t>财政性</w:t>
      </w:r>
      <w:r>
        <w:rPr>
          <w:rFonts w:ascii="仿宋_GB2312" w:eastAsia="仿宋_GB2312"/>
          <w:color w:val="auto"/>
          <w:sz w:val="28"/>
          <w:szCs w:val="28"/>
        </w:rPr>
        <w:t>资金采购依法制定的集中目录以内的或者采购限额标准以上的货物、工程和服务的行为</w:t>
      </w:r>
      <w:r>
        <w:rPr>
          <w:rFonts w:hint="eastAsia" w:ascii="仿宋_GB2312" w:eastAsia="仿宋_GB2312"/>
          <w:color w:val="auto"/>
          <w:sz w:val="28"/>
          <w:szCs w:val="28"/>
        </w:rPr>
        <w:t>，</w:t>
      </w:r>
      <w:r>
        <w:rPr>
          <w:rFonts w:ascii="仿宋_GB2312" w:eastAsia="仿宋_GB2312"/>
          <w:color w:val="auto"/>
          <w:sz w:val="28"/>
          <w:szCs w:val="28"/>
        </w:rPr>
        <w:t>是规范财政支出管理和强化预算约束的有效措施。</w:t>
      </w:r>
    </w:p>
    <w:p w14:paraId="33FD58CC">
      <w:pPr>
        <w:tabs>
          <w:tab w:val="center" w:pos="6979"/>
        </w:tabs>
        <w:spacing w:line="560" w:lineRule="exact"/>
        <w:ind w:firstLine="548"/>
        <w:rPr>
          <w:rFonts w:ascii="仿宋_GB2312" w:eastAsia="仿宋_GB2312"/>
          <w:color w:val="auto"/>
          <w:sz w:val="28"/>
          <w:szCs w:val="28"/>
        </w:rPr>
      </w:pPr>
      <w:r>
        <w:rPr>
          <w:rFonts w:hint="eastAsia" w:ascii="仿宋_GB2312" w:eastAsia="仿宋_GB2312"/>
          <w:color w:val="auto"/>
          <w:sz w:val="28"/>
          <w:szCs w:val="28"/>
        </w:rPr>
        <w:t>5.教育支出（类）进修及培训（款）培训支出（项）：反映各部门安排的用于培训的支出。</w:t>
      </w:r>
    </w:p>
    <w:p w14:paraId="086F1ACD">
      <w:pPr>
        <w:spacing w:line="560" w:lineRule="exact"/>
        <w:rPr>
          <w:rFonts w:ascii="黑体" w:hAnsi="黑体" w:eastAsia="黑体" w:cs="黑体"/>
          <w:color w:val="auto"/>
          <w:sz w:val="32"/>
        </w:rPr>
      </w:pPr>
    </w:p>
    <w:p w14:paraId="71095DB3">
      <w:pPr>
        <w:spacing w:line="560" w:lineRule="exact"/>
        <w:ind w:firstLine="640"/>
        <w:jc w:val="center"/>
        <w:rPr>
          <w:rFonts w:ascii="黑体" w:hAnsi="黑体" w:eastAsia="黑体" w:cs="黑体"/>
          <w:color w:val="auto"/>
          <w:sz w:val="32"/>
        </w:rPr>
      </w:pPr>
      <w:r>
        <w:rPr>
          <w:rFonts w:ascii="黑体" w:hAnsi="黑体" w:eastAsia="黑体" w:cs="黑体"/>
          <w:color w:val="auto"/>
          <w:sz w:val="32"/>
        </w:rPr>
        <w:t>第四部分  2024年度</w:t>
      </w:r>
      <w:r>
        <w:rPr>
          <w:rFonts w:hint="eastAsia" w:ascii="黑体" w:hAnsi="黑体" w:eastAsia="黑体" w:cs="黑体"/>
          <w:color w:val="auto"/>
          <w:sz w:val="32"/>
        </w:rPr>
        <w:t>单位</w:t>
      </w:r>
      <w:r>
        <w:rPr>
          <w:rFonts w:ascii="黑体" w:hAnsi="黑体" w:eastAsia="黑体" w:cs="黑体"/>
          <w:color w:val="auto"/>
          <w:sz w:val="32"/>
        </w:rPr>
        <w:t>绩效评价情况</w:t>
      </w:r>
    </w:p>
    <w:p w14:paraId="11DE013A">
      <w:pPr>
        <w:numPr>
          <w:ilvl w:val="0"/>
          <w:numId w:val="1"/>
        </w:numPr>
        <w:spacing w:line="560" w:lineRule="exact"/>
        <w:ind w:firstLine="560"/>
        <w:rPr>
          <w:rFonts w:ascii="黑体" w:hAnsi="黑体" w:eastAsia="黑体" w:cs="黑体"/>
          <w:color w:val="auto"/>
          <w:sz w:val="28"/>
        </w:rPr>
      </w:pPr>
      <w:r>
        <w:rPr>
          <w:rFonts w:ascii="黑体" w:hAnsi="黑体" w:eastAsia="黑体" w:cs="黑体"/>
          <w:color w:val="auto"/>
          <w:sz w:val="28"/>
        </w:rPr>
        <w:t>项目支出绩效自评表（详见附件）</w:t>
      </w:r>
    </w:p>
    <w:sectPr>
      <w:pgSz w:w="16838" w:h="11906" w:orient="landscape"/>
      <w:pgMar w:top="1134"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D755CB"/>
    <w:multiLevelType w:val="multilevel"/>
    <w:tmpl w:val="7AD755CB"/>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F7484B"/>
    <w:rsid w:val="000A7D87"/>
    <w:rsid w:val="000D4CAD"/>
    <w:rsid w:val="00113B0D"/>
    <w:rsid w:val="001A3C0D"/>
    <w:rsid w:val="001D6DE5"/>
    <w:rsid w:val="002A5C74"/>
    <w:rsid w:val="002B026F"/>
    <w:rsid w:val="003135F2"/>
    <w:rsid w:val="0039191B"/>
    <w:rsid w:val="004A19FE"/>
    <w:rsid w:val="004C5DFA"/>
    <w:rsid w:val="004F55FB"/>
    <w:rsid w:val="0055514C"/>
    <w:rsid w:val="005E24B9"/>
    <w:rsid w:val="00612B9A"/>
    <w:rsid w:val="00770F0B"/>
    <w:rsid w:val="00804A2C"/>
    <w:rsid w:val="008172AC"/>
    <w:rsid w:val="008D097A"/>
    <w:rsid w:val="00924D78"/>
    <w:rsid w:val="00944D40"/>
    <w:rsid w:val="00A352EB"/>
    <w:rsid w:val="00A730CE"/>
    <w:rsid w:val="00AE4A24"/>
    <w:rsid w:val="00BE6516"/>
    <w:rsid w:val="00CB369B"/>
    <w:rsid w:val="00CB7F58"/>
    <w:rsid w:val="00CC7686"/>
    <w:rsid w:val="00CE0D48"/>
    <w:rsid w:val="00D051DD"/>
    <w:rsid w:val="00D5068A"/>
    <w:rsid w:val="00D655FB"/>
    <w:rsid w:val="00E00331"/>
    <w:rsid w:val="00EE0954"/>
    <w:rsid w:val="00F7484B"/>
    <w:rsid w:val="00FC09F9"/>
    <w:rsid w:val="52E26E7D"/>
    <w:rsid w:val="60A05FD9"/>
    <w:rsid w:val="68E4003F"/>
    <w:rsid w:val="7BA73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1"/>
    <w:autoRedefine/>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200" w:firstLineChars="200"/>
    </w:pPr>
    <w:rPr>
      <w:rFonts w:ascii="Times New Roman" w:hAnsi="Times New Roman" w:eastAsia="宋体" w:cs="Times New Roman"/>
      <w:szCs w:val="24"/>
    </w:rPr>
  </w:style>
  <w:style w:type="paragraph" w:styleId="4">
    <w:name w:val="Body Text"/>
    <w:basedOn w:val="1"/>
    <w:link w:val="12"/>
    <w:semiHidden/>
    <w:unhideWhenUsed/>
    <w:qFormat/>
    <w:uiPriority w:val="99"/>
    <w:pPr>
      <w:spacing w:after="120"/>
    </w:pPr>
    <w:rPr>
      <w:rFonts w:ascii="Times New Roman" w:hAnsi="Times New Roman" w:eastAsia="宋体" w:cs="Times New Roman"/>
      <w:szCs w:val="24"/>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标题 2 字符"/>
    <w:basedOn w:val="8"/>
    <w:link w:val="2"/>
    <w:qFormat/>
    <w:uiPriority w:val="0"/>
    <w:rPr>
      <w:rFonts w:ascii="Cambria" w:hAnsi="Cambria" w:eastAsia="黑体" w:cs="Times New Roman"/>
      <w:b/>
      <w:bCs/>
      <w:kern w:val="0"/>
      <w:sz w:val="36"/>
      <w:szCs w:val="32"/>
    </w:rPr>
  </w:style>
  <w:style w:type="character" w:customStyle="1" w:styleId="12">
    <w:name w:val="正文文本 字符"/>
    <w:basedOn w:val="8"/>
    <w:link w:val="4"/>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1"/>
                <c:pt idx="0">
                  <c:v>财政拨款收入</c:v>
                </c:pt>
              </c:strCache>
            </c:strRef>
          </c:cat>
          <c:val>
            <c:numRef>
              <c:f>Sheet1!$B$2:$B$7</c:f>
              <c:numCache>
                <c:formatCode>General</c:formatCode>
                <c:ptCount val="6"/>
                <c:pt idx="0">
                  <c:v>2465.87</c:v>
                </c:pt>
              </c:numCache>
            </c:numRef>
          </c:val>
        </c:ser>
        <c:dLbls>
          <c:showLegendKey val="0"/>
          <c:showVal val="1"/>
          <c:showCatName val="0"/>
          <c:showSerName val="0"/>
          <c:showPercent val="0"/>
          <c:showBubbleSize val="0"/>
          <c:showLeaderLines val="1"/>
        </c:dLbls>
        <c:firstSliceAng val="0"/>
      </c:pieChart>
    </c:plotArea>
    <c:legend>
      <c:legendPos val="r"/>
      <c:legendEntry>
        <c:idx val="1"/>
        <c:delete val="1"/>
      </c:legendEntry>
      <c:legendEntry>
        <c:idx val="2"/>
        <c:delete val="1"/>
      </c:legendEntry>
      <c:legendEntry>
        <c:idx val="3"/>
        <c:delete val="1"/>
      </c:legendEntry>
      <c:legendEntry>
        <c:idx val="4"/>
        <c:delete val="1"/>
      </c:legendEntry>
      <c:legendEntry>
        <c:idx val="5"/>
        <c:delete val="1"/>
      </c:legendEntry>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1cdb188a-25ee-4155-95e7-d6949dd120c3}"/>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strCache>
            </c:strRef>
          </c:cat>
          <c:val>
            <c:numRef>
              <c:f>Sheet0!$B$2:$B$6</c:f>
              <c:numCache>
                <c:formatCode>General</c:formatCode>
                <c:ptCount val="5"/>
                <c:pt idx="0">
                  <c:v>1681.82</c:v>
                </c:pt>
                <c:pt idx="1">
                  <c:v>771.73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delete val="1"/>
      </c:legendEntry>
      <c:legendEntry>
        <c:idx val="3"/>
        <c:delete val="1"/>
      </c:legendEntry>
      <c:legendEntry>
        <c:idx val="4"/>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e81e1ea6-54ef-4ea0-b8d7-3fcc0769e422}"/>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785</Words>
  <Characters>874</Characters>
  <Lines>22</Lines>
  <Paragraphs>6</Paragraphs>
  <TotalTime>4</TotalTime>
  <ScaleCrop>false</ScaleCrop>
  <LinksUpToDate>false</LinksUpToDate>
  <CharactersWithSpaces>890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2025-08-25T04:07:00Z</dcterms:created>
  <dc:creator>Yan</dc:creator>
  <cp:lastModifiedBy>Yan</cp:lastModifiedBy>
  <dcterms:modified xsi:type="dcterms:W3CDTF">2025-09-04T12:34:04Z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eyJoZGlkIjoiNjg4N2U3MTc4ZTM5YTQwMjIwNTdjMTQ4YzE4ZDhiNTAifQ==</vt:lpwstr>
  </property>
  <property fmtid="{D5CDD505-2E9C-101B-9397-08002B2CF9AE}" pid="3" name="KSOProductBuildVer">
    <vt:lpwstr>2052-12.1.0.22529</vt:lpwstr>
  </property>
  <property fmtid="{D5CDD505-2E9C-101B-9397-08002B2CF9AE}" pid="4" name="ICV">
    <vt:lpwstr>EA1E988770BE43D5A4D2CEE20B81C324_12</vt:lpwstr>
  </property>
</Properties>
</file>