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5FFCF">
      <w:pPr>
        <w:spacing w:line="560" w:lineRule="exact"/>
        <w:jc w:val="center"/>
        <w:rPr>
          <w:rFonts w:hint="eastAsia" w:ascii="方正小标宋简体" w:hAnsi="宋体" w:eastAsia="方正小标宋简体" w:cs="Times New Roman"/>
          <w:b w:val="0"/>
          <w:bCs w:val="0"/>
          <w:color w:val="000000"/>
          <w:sz w:val="44"/>
          <w:szCs w:val="44"/>
          <w:lang w:val="en-US" w:eastAsia="zh-CN"/>
        </w:rPr>
      </w:pPr>
      <w:bookmarkStart w:id="0" w:name="_GoBack"/>
      <w:bookmarkEnd w:id="0"/>
      <w:r>
        <w:rPr>
          <w:rFonts w:hint="eastAsia" w:ascii="方正小标宋简体" w:hAnsi="宋体" w:eastAsia="方正小标宋简体" w:cs="Times New Roman"/>
          <w:b w:val="0"/>
          <w:bCs w:val="0"/>
          <w:color w:val="000000"/>
          <w:sz w:val="44"/>
          <w:szCs w:val="44"/>
          <w:lang w:val="en-US" w:eastAsia="zh-CN"/>
        </w:rPr>
        <w:t>2025年度</w:t>
      </w:r>
      <w:r>
        <w:rPr>
          <w:rFonts w:hint="eastAsia" w:ascii="方正小标宋简体" w:hAnsi="宋体" w:eastAsia="方正小标宋简体" w:cs="Times New Roman"/>
          <w:b w:val="0"/>
          <w:bCs w:val="0"/>
          <w:color w:val="000000"/>
          <w:sz w:val="44"/>
          <w:szCs w:val="44"/>
        </w:rPr>
        <w:t>法律顾问服务</w:t>
      </w:r>
      <w:r>
        <w:rPr>
          <w:rFonts w:hint="eastAsia" w:ascii="方正小标宋简体" w:hAnsi="宋体" w:eastAsia="方正小标宋简体" w:cs="Times New Roman"/>
          <w:b w:val="0"/>
          <w:bCs w:val="0"/>
          <w:color w:val="000000"/>
          <w:sz w:val="44"/>
          <w:szCs w:val="44"/>
          <w:lang w:val="en-US" w:eastAsia="zh-CN"/>
        </w:rPr>
        <w:t>项目需求</w:t>
      </w:r>
    </w:p>
    <w:p w14:paraId="613173D3">
      <w:pPr>
        <w:spacing w:line="560" w:lineRule="exact"/>
        <w:rPr>
          <w:rFonts w:hint="eastAsia"/>
          <w:lang w:val="en-US" w:eastAsia="zh-CN"/>
        </w:rPr>
      </w:pPr>
    </w:p>
    <w:p w14:paraId="2FD834FB">
      <w:pPr>
        <w:adjustRightInd w:val="0"/>
        <w:snapToGrid w:val="0"/>
        <w:spacing w:line="580" w:lineRule="exact"/>
        <w:ind w:firstLine="640"/>
        <w:rPr>
          <w:rFonts w:hint="eastAsia" w:hAnsi="Times New Roman" w:cs="Times New Roman"/>
          <w:szCs w:val="32"/>
          <w:lang w:val="en-US" w:eastAsia="zh-CN"/>
        </w:rPr>
      </w:pPr>
      <w:r>
        <w:rPr>
          <w:rFonts w:hint="eastAsia" w:ascii="仿宋_GB2312" w:hAnsi="Times New Roman" w:eastAsia="仿宋_GB2312" w:cs="Times New Roman"/>
          <w:kern w:val="2"/>
          <w:sz w:val="32"/>
          <w:szCs w:val="32"/>
          <w:lang w:val="en-US" w:eastAsia="zh-CN" w:bidi="ar-SA"/>
        </w:rPr>
        <w:t>为贯彻落实国家体育总局《“十四五”体育彩票发展规划》要求，坚持依法治彩，严格依据彩票法律法规规定履职尽责，保障中心各项业务工作合规有序运行，降低中心法律风险，更好地维护中心合法权益，我</w:t>
      </w:r>
      <w:r>
        <w:rPr>
          <w:rFonts w:hint="eastAsia" w:ascii="仿宋_GB2312" w:eastAsia="仿宋_GB2312" w:cs="Times New Roman"/>
          <w:kern w:val="2"/>
          <w:sz w:val="32"/>
          <w:szCs w:val="32"/>
          <w:lang w:val="en-US" w:eastAsia="zh-CN" w:bidi="ar-SA"/>
        </w:rPr>
        <w:t>中心拟采用比选方式确定</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5</w:t>
      </w:r>
      <w:r>
        <w:rPr>
          <w:rFonts w:hint="eastAsia" w:ascii="仿宋_GB2312" w:hAnsi="Times New Roman" w:eastAsia="仿宋_GB2312" w:cs="Times New Roman"/>
          <w:kern w:val="2"/>
          <w:sz w:val="32"/>
          <w:szCs w:val="32"/>
          <w:lang w:val="en-US" w:eastAsia="zh-CN" w:bidi="ar-SA"/>
        </w:rPr>
        <w:t>年度法律顾问律师事务所，</w:t>
      </w:r>
      <w:r>
        <w:rPr>
          <w:rFonts w:hint="eastAsia" w:ascii="仿宋_GB2312" w:eastAsia="仿宋_GB2312" w:cs="Times New Roman"/>
          <w:kern w:val="2"/>
          <w:sz w:val="32"/>
          <w:szCs w:val="32"/>
          <w:lang w:val="en-US" w:eastAsia="zh-CN" w:bidi="ar-SA"/>
        </w:rPr>
        <w:t>为中心</w:t>
      </w:r>
      <w:r>
        <w:rPr>
          <w:rFonts w:hint="eastAsia" w:ascii="仿宋_GB2312" w:hAnsi="Times New Roman" w:eastAsia="仿宋_GB2312" w:cs="Times New Roman"/>
          <w:kern w:val="2"/>
          <w:sz w:val="32"/>
          <w:szCs w:val="32"/>
          <w:lang w:val="en-US" w:eastAsia="zh-CN" w:bidi="ar-SA"/>
        </w:rPr>
        <w:t>提供专业、优质、全方位的法律服务。</w:t>
      </w:r>
    </w:p>
    <w:p w14:paraId="1ACEF550">
      <w:pPr>
        <w:spacing w:line="560" w:lineRule="exact"/>
        <w:ind w:firstLine="640" w:firstLineChars="200"/>
        <w:jc w:val="left"/>
        <w:rPr>
          <w:rFonts w:hint="eastAsia" w:ascii="黑体" w:hAnsi="Times New Roman" w:eastAsia="黑体" w:cs="Times New Roman"/>
          <w:sz w:val="32"/>
          <w:lang w:val="en-US" w:eastAsia="zh-CN"/>
        </w:rPr>
      </w:pPr>
      <w:r>
        <w:rPr>
          <w:rFonts w:hint="eastAsia" w:ascii="黑体" w:hAnsi="Times New Roman" w:eastAsia="黑体" w:cs="Times New Roman"/>
          <w:sz w:val="32"/>
          <w:lang w:val="en-US" w:eastAsia="zh-CN"/>
        </w:rPr>
        <w:t>一、项目名称</w:t>
      </w:r>
    </w:p>
    <w:p w14:paraId="79178180">
      <w:pPr>
        <w:adjustRightInd w:val="0"/>
        <w:snapToGrid w:val="0"/>
        <w:spacing w:line="580" w:lineRule="exact"/>
        <w:ind w:firstLine="64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2025年度法律顾问服务项目</w:t>
      </w:r>
    </w:p>
    <w:p w14:paraId="57721A16">
      <w:pPr>
        <w:spacing w:line="560" w:lineRule="exact"/>
        <w:ind w:firstLine="640" w:firstLineChars="200"/>
        <w:jc w:val="left"/>
        <w:rPr>
          <w:rFonts w:hint="default" w:ascii="黑体" w:hAnsi="Times New Roman" w:eastAsia="黑体" w:cs="Times New Roman"/>
          <w:sz w:val="32"/>
          <w:lang w:val="en-US" w:eastAsia="zh-CN"/>
        </w:rPr>
      </w:pPr>
      <w:r>
        <w:rPr>
          <w:rFonts w:hint="eastAsia" w:ascii="黑体" w:hAnsi="Times New Roman" w:eastAsia="黑体" w:cs="Times New Roman"/>
          <w:sz w:val="32"/>
          <w:lang w:val="en-US" w:eastAsia="zh-CN"/>
        </w:rPr>
        <w:t>二、项目</w:t>
      </w:r>
      <w:r>
        <w:rPr>
          <w:rFonts w:hint="eastAsia" w:ascii="黑体" w:eastAsia="黑体" w:cs="Times New Roman"/>
          <w:sz w:val="32"/>
          <w:lang w:val="en-US" w:eastAsia="zh-CN"/>
        </w:rPr>
        <w:t>服务时间</w:t>
      </w:r>
    </w:p>
    <w:p w14:paraId="0AD0B092">
      <w:pPr>
        <w:pStyle w:val="3"/>
        <w:spacing w:line="560" w:lineRule="exact"/>
        <w:ind w:firstLine="605"/>
        <w:rPr>
          <w:rFonts w:hint="eastAsia" w:hAnsi="Times New Roman" w:cs="Times New Roman"/>
          <w:szCs w:val="32"/>
          <w:lang w:val="en-US" w:eastAsia="zh-CN"/>
        </w:rPr>
      </w:pPr>
      <w:r>
        <w:rPr>
          <w:rFonts w:hint="eastAsia" w:hAnsi="Times New Roman" w:cs="Times New Roman"/>
          <w:szCs w:val="32"/>
          <w:lang w:val="en-US" w:eastAsia="zh-CN"/>
        </w:rPr>
        <w:t>202</w:t>
      </w:r>
      <w:r>
        <w:rPr>
          <w:rFonts w:hint="eastAsia" w:cs="Times New Roman"/>
          <w:szCs w:val="32"/>
          <w:lang w:val="en-US" w:eastAsia="zh-CN"/>
        </w:rPr>
        <w:t>5</w:t>
      </w:r>
      <w:r>
        <w:rPr>
          <w:rFonts w:hint="eastAsia" w:hAnsi="Times New Roman" w:cs="Times New Roman"/>
          <w:szCs w:val="32"/>
          <w:lang w:val="en-US" w:eastAsia="zh-CN"/>
        </w:rPr>
        <w:t>年1月1日-12月31日</w:t>
      </w:r>
    </w:p>
    <w:p w14:paraId="0ED7CE48">
      <w:pPr>
        <w:spacing w:line="560" w:lineRule="exact"/>
        <w:ind w:firstLine="640" w:firstLineChars="200"/>
        <w:jc w:val="left"/>
        <w:rPr>
          <w:rFonts w:hint="default" w:ascii="黑体" w:hAnsi="Times New Roman" w:eastAsia="黑体" w:cs="Times New Roman"/>
          <w:sz w:val="32"/>
          <w:lang w:val="en-US" w:eastAsia="zh-CN"/>
        </w:rPr>
      </w:pPr>
      <w:r>
        <w:rPr>
          <w:rFonts w:hint="eastAsia" w:ascii="黑体" w:hAnsi="Times New Roman" w:eastAsia="黑体" w:cs="Times New Roman"/>
          <w:sz w:val="32"/>
          <w:lang w:val="en-US" w:eastAsia="zh-CN"/>
        </w:rPr>
        <w:t>三、项目预算</w:t>
      </w:r>
      <w:r>
        <w:rPr>
          <w:rFonts w:hint="eastAsia" w:ascii="黑体" w:eastAsia="黑体" w:cs="Times New Roman"/>
          <w:sz w:val="32"/>
          <w:lang w:val="en-US" w:eastAsia="zh-CN"/>
        </w:rPr>
        <w:t>及付款方式</w:t>
      </w:r>
    </w:p>
    <w:p w14:paraId="219A59AB">
      <w:pPr>
        <w:pStyle w:val="3"/>
        <w:spacing w:line="560" w:lineRule="exact"/>
        <w:ind w:firstLine="605"/>
        <w:rPr>
          <w:rFonts w:hint="eastAsia" w:hAnsi="Times New Roman" w:cs="Times New Roman"/>
          <w:szCs w:val="32"/>
          <w:lang w:val="en-US" w:eastAsia="zh-CN"/>
        </w:rPr>
      </w:pPr>
      <w:r>
        <w:rPr>
          <w:rFonts w:hint="eastAsia" w:cs="Times New Roman"/>
          <w:szCs w:val="32"/>
          <w:lang w:val="en-US" w:eastAsia="zh-CN"/>
        </w:rPr>
        <w:t>1.</w:t>
      </w:r>
      <w:r>
        <w:rPr>
          <w:rFonts w:hint="eastAsia" w:hAnsi="Times New Roman" w:cs="Times New Roman"/>
          <w:szCs w:val="32"/>
          <w:lang w:val="en-US" w:eastAsia="zh-CN"/>
        </w:rPr>
        <w:t>本项目预算金额为人民币20万元</w:t>
      </w:r>
      <w:r>
        <w:rPr>
          <w:rFonts w:hint="eastAsia" w:cs="Times New Roman"/>
          <w:szCs w:val="32"/>
          <w:lang w:val="en-US" w:eastAsia="zh-CN"/>
        </w:rPr>
        <w:t>，此</w:t>
      </w:r>
      <w:r>
        <w:rPr>
          <w:rFonts w:hint="eastAsia" w:ascii="仿宋_GB2312" w:hAnsi="仿宋" w:eastAsia="仿宋_GB2312"/>
          <w:sz w:val="32"/>
          <w:szCs w:val="32"/>
        </w:rPr>
        <w:t>为我中心为此项目支付的</w:t>
      </w:r>
      <w:r>
        <w:rPr>
          <w:rFonts w:hint="eastAsia" w:hAnsi="仿宋"/>
          <w:sz w:val="32"/>
          <w:szCs w:val="32"/>
          <w:lang w:val="en-US" w:eastAsia="zh-CN"/>
        </w:rPr>
        <w:t>最高</w:t>
      </w:r>
      <w:r>
        <w:rPr>
          <w:rFonts w:hint="eastAsia" w:ascii="仿宋_GB2312" w:hAnsi="仿宋" w:eastAsia="仿宋_GB2312"/>
          <w:sz w:val="32"/>
          <w:szCs w:val="32"/>
        </w:rPr>
        <w:t>费用。</w:t>
      </w:r>
    </w:p>
    <w:p w14:paraId="4D225AD6">
      <w:pPr>
        <w:pStyle w:val="3"/>
        <w:spacing w:line="560" w:lineRule="exact"/>
        <w:ind w:firstLine="605"/>
        <w:rPr>
          <w:rFonts w:hint="default" w:hAnsi="Times New Roman" w:cs="Times New Roman"/>
          <w:szCs w:val="32"/>
          <w:lang w:val="en-US" w:eastAsia="zh-CN"/>
        </w:rPr>
      </w:pPr>
      <w:r>
        <w:rPr>
          <w:rFonts w:hint="eastAsia" w:hAnsi="Times New Roman" w:cs="Times New Roman"/>
          <w:szCs w:val="32"/>
          <w:lang w:val="en-US" w:eastAsia="zh-CN"/>
        </w:rPr>
        <w:t>2.</w:t>
      </w:r>
      <w:r>
        <w:rPr>
          <w:rFonts w:hint="eastAsia" w:hAnsi="Times New Roman" w:cs="Times New Roman"/>
          <w:szCs w:val="32"/>
          <w:highlight w:val="none"/>
          <w:lang w:val="en-US" w:eastAsia="zh-CN"/>
        </w:rPr>
        <w:t>本项目202</w:t>
      </w:r>
      <w:r>
        <w:rPr>
          <w:rFonts w:hint="eastAsia" w:cs="Times New Roman"/>
          <w:szCs w:val="32"/>
          <w:highlight w:val="none"/>
          <w:lang w:val="en-US" w:eastAsia="zh-CN"/>
        </w:rPr>
        <w:t>5</w:t>
      </w:r>
      <w:r>
        <w:rPr>
          <w:rFonts w:hint="eastAsia" w:hAnsi="Times New Roman" w:cs="Times New Roman"/>
          <w:szCs w:val="32"/>
          <w:highlight w:val="none"/>
          <w:lang w:val="en-US" w:eastAsia="zh-CN"/>
        </w:rPr>
        <w:t>年预算资金获得上级主管部门审核通过后</w:t>
      </w:r>
      <w:r>
        <w:rPr>
          <w:rFonts w:hint="eastAsia" w:cs="Times New Roman"/>
          <w:szCs w:val="32"/>
          <w:highlight w:val="none"/>
          <w:lang w:val="en-US" w:eastAsia="zh-CN"/>
        </w:rPr>
        <w:t>，</w:t>
      </w:r>
      <w:r>
        <w:rPr>
          <w:rFonts w:hint="eastAsia" w:hAnsi="Times New Roman" w:cs="Times New Roman"/>
          <w:szCs w:val="32"/>
          <w:highlight w:val="none"/>
          <w:lang w:val="en-US" w:eastAsia="zh-CN"/>
        </w:rPr>
        <w:t>按</w:t>
      </w:r>
      <w:r>
        <w:rPr>
          <w:rFonts w:hint="eastAsia" w:hAnsi="Times New Roman" w:cs="Times New Roman"/>
          <w:szCs w:val="32"/>
          <w:lang w:val="en-US" w:eastAsia="zh-CN"/>
        </w:rPr>
        <w:t>首付款、尾款各50%进行支出。在我中心每次付款前服务方应提供等额且符合要求的正式发票。</w:t>
      </w:r>
    </w:p>
    <w:p w14:paraId="1ACA733B">
      <w:pPr>
        <w:spacing w:line="560" w:lineRule="exact"/>
        <w:ind w:firstLine="640" w:firstLineChars="200"/>
        <w:jc w:val="left"/>
        <w:rPr>
          <w:rFonts w:hint="default" w:ascii="黑体" w:hAnsi="Times New Roman" w:eastAsia="黑体" w:cs="Times New Roman"/>
          <w:sz w:val="32"/>
          <w:lang w:val="en-US" w:eastAsia="zh-CN"/>
        </w:rPr>
      </w:pPr>
      <w:r>
        <w:rPr>
          <w:rFonts w:hint="eastAsia" w:ascii="黑体" w:eastAsia="黑体" w:cs="Times New Roman"/>
          <w:sz w:val="32"/>
          <w:lang w:val="en-US" w:eastAsia="zh-CN"/>
        </w:rPr>
        <w:t>四</w:t>
      </w:r>
      <w:r>
        <w:rPr>
          <w:rFonts w:hint="eastAsia" w:ascii="黑体" w:hAnsi="Times New Roman" w:eastAsia="黑体" w:cs="Times New Roman"/>
          <w:sz w:val="32"/>
          <w:lang w:val="en-US" w:eastAsia="zh-CN"/>
        </w:rPr>
        <w:t>、项目</w:t>
      </w:r>
      <w:r>
        <w:rPr>
          <w:rFonts w:hint="eastAsia" w:ascii="黑体" w:eastAsia="黑体" w:cs="Times New Roman"/>
          <w:sz w:val="32"/>
          <w:lang w:val="en-US" w:eastAsia="zh-CN"/>
        </w:rPr>
        <w:t>服务内容</w:t>
      </w:r>
    </w:p>
    <w:p w14:paraId="2C9688F7">
      <w:pPr>
        <w:adjustRightInd w:val="0"/>
        <w:snapToGrid w:val="0"/>
        <w:spacing w:line="580" w:lineRule="exact"/>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w:t>
      </w:r>
      <w:r>
        <w:rPr>
          <w:rFonts w:hint="eastAsia" w:ascii="仿宋_GB2312" w:eastAsia="仿宋_GB2312" w:cs="Times New Roman"/>
          <w:kern w:val="2"/>
          <w:sz w:val="32"/>
          <w:szCs w:val="32"/>
          <w:lang w:val="en-US" w:eastAsia="zh-CN" w:bidi="ar-SA"/>
        </w:rPr>
        <w:t>中心</w:t>
      </w:r>
      <w:r>
        <w:rPr>
          <w:rFonts w:hint="eastAsia" w:ascii="仿宋_GB2312" w:hAnsi="Times New Roman" w:eastAsia="仿宋_GB2312" w:cs="Times New Roman"/>
          <w:kern w:val="2"/>
          <w:sz w:val="32"/>
          <w:szCs w:val="32"/>
          <w:lang w:val="en-US" w:eastAsia="zh-CN" w:bidi="ar-SA"/>
        </w:rPr>
        <w:t>工作实际情况，</w:t>
      </w:r>
      <w:r>
        <w:rPr>
          <w:rFonts w:hint="eastAsia" w:ascii="仿宋_GB2312" w:eastAsia="仿宋_GB2312" w:cs="Times New Roman"/>
          <w:kern w:val="2"/>
          <w:sz w:val="32"/>
          <w:szCs w:val="32"/>
          <w:lang w:val="en-US" w:eastAsia="zh-CN" w:bidi="ar-SA"/>
        </w:rPr>
        <w:t>2025年度</w:t>
      </w:r>
      <w:r>
        <w:rPr>
          <w:rFonts w:hint="eastAsia" w:ascii="仿宋_GB2312" w:hAnsi="Times New Roman" w:eastAsia="仿宋_GB2312" w:cs="Times New Roman"/>
          <w:kern w:val="2"/>
          <w:sz w:val="32"/>
          <w:szCs w:val="32"/>
          <w:lang w:val="en-US" w:eastAsia="zh-CN" w:bidi="ar-SA"/>
        </w:rPr>
        <w:t>法律顾问工作主要分为日常法律咨询服务</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非诉讼专项法律服务</w:t>
      </w:r>
      <w:r>
        <w:rPr>
          <w:rFonts w:hint="eastAsia" w:ascii="仿宋_GB2312" w:eastAsia="仿宋_GB2312" w:cs="Times New Roman"/>
          <w:kern w:val="2"/>
          <w:sz w:val="32"/>
          <w:szCs w:val="32"/>
          <w:lang w:val="en-US" w:eastAsia="zh-CN" w:bidi="ar-SA"/>
        </w:rPr>
        <w:t>，以</w:t>
      </w:r>
      <w:r>
        <w:rPr>
          <w:rFonts w:hint="eastAsia" w:ascii="仿宋_GB2312" w:hAnsi="Times New Roman" w:eastAsia="仿宋_GB2312" w:cs="Times New Roman"/>
          <w:kern w:val="2"/>
          <w:sz w:val="32"/>
          <w:szCs w:val="32"/>
          <w:lang w:val="en-US" w:eastAsia="zh-CN" w:bidi="ar-SA"/>
        </w:rPr>
        <w:t>及诉讼、仲裁代理服务，服务内容包含且不限于以下方面：</w:t>
      </w:r>
    </w:p>
    <w:p w14:paraId="6B81FC2E">
      <w:pPr>
        <w:pStyle w:val="3"/>
        <w:spacing w:line="560" w:lineRule="exact"/>
        <w:ind w:firstLine="605"/>
        <w:rPr>
          <w:rFonts w:hint="eastAsia" w:ascii="楷体_GB2312" w:hAnsi="Times New Roman" w:eastAsia="楷体_GB2312" w:cs="Times New Roman"/>
          <w:sz w:val="32"/>
          <w:lang w:val="en-US" w:eastAsia="zh-CN"/>
        </w:rPr>
      </w:pPr>
      <w:r>
        <w:rPr>
          <w:rFonts w:hint="eastAsia" w:ascii="楷体_GB2312" w:hAnsi="Times New Roman" w:eastAsia="楷体_GB2312" w:cs="Times New Roman"/>
          <w:sz w:val="32"/>
          <w:lang w:val="en-US" w:eastAsia="zh-CN"/>
        </w:rPr>
        <w:t>（一）日常法律</w:t>
      </w:r>
      <w:r>
        <w:rPr>
          <w:rFonts w:hint="eastAsia" w:ascii="楷体_GB2312" w:eastAsia="楷体_GB2312" w:cs="Times New Roman"/>
          <w:sz w:val="32"/>
          <w:lang w:val="en-US" w:eastAsia="zh-CN"/>
        </w:rPr>
        <w:t>咨询</w:t>
      </w:r>
      <w:r>
        <w:rPr>
          <w:rFonts w:hint="eastAsia" w:ascii="楷体_GB2312" w:hAnsi="Times New Roman" w:eastAsia="楷体_GB2312" w:cs="Times New Roman"/>
          <w:sz w:val="32"/>
          <w:lang w:val="en-US" w:eastAsia="zh-CN"/>
        </w:rPr>
        <w:t>服务</w:t>
      </w:r>
    </w:p>
    <w:p w14:paraId="39E34742">
      <w:pPr>
        <w:adjustRightInd w:val="0"/>
        <w:snapToGrid w:val="0"/>
        <w:spacing w:line="580" w:lineRule="exact"/>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1.合同及重要文件审查</w:t>
      </w:r>
    </w:p>
    <w:p w14:paraId="28CCCFAA">
      <w:pPr>
        <w:adjustRightInd w:val="0"/>
        <w:snapToGrid w:val="0"/>
        <w:spacing w:line="580" w:lineRule="exact"/>
        <w:ind w:firstLine="640"/>
        <w:rPr>
          <w:rFonts w:hint="eastAsia"/>
          <w:lang w:val="en-US" w:eastAsia="zh-CN"/>
        </w:rPr>
      </w:pPr>
      <w:r>
        <w:rPr>
          <w:rFonts w:hint="eastAsia" w:ascii="仿宋_GB2312" w:hAnsi="Times New Roman" w:eastAsia="仿宋_GB2312" w:cs="Times New Roman"/>
          <w:kern w:val="2"/>
          <w:sz w:val="32"/>
          <w:szCs w:val="32"/>
          <w:lang w:val="en-US" w:eastAsia="zh-CN" w:bidi="ar-SA"/>
        </w:rPr>
        <w:t>起草、审核、修改</w:t>
      </w:r>
      <w:r>
        <w:rPr>
          <w:rFonts w:hint="eastAsia" w:ascii="仿宋_GB2312" w:eastAsia="仿宋_GB2312" w:cs="Times New Roman"/>
          <w:kern w:val="2"/>
          <w:sz w:val="32"/>
          <w:szCs w:val="32"/>
          <w:lang w:val="en-US" w:eastAsia="zh-CN" w:bidi="ar-SA"/>
        </w:rPr>
        <w:t>中心日常业务活动中的</w:t>
      </w:r>
      <w:r>
        <w:rPr>
          <w:rFonts w:hint="eastAsia" w:ascii="仿宋_GB2312" w:hAnsi="Times New Roman" w:eastAsia="仿宋_GB2312" w:cs="Times New Roman"/>
          <w:kern w:val="2"/>
          <w:sz w:val="32"/>
          <w:szCs w:val="32"/>
          <w:lang w:val="en-US" w:eastAsia="zh-CN" w:bidi="ar-SA"/>
        </w:rPr>
        <w:t>各类法律文件及相关事务文件，包括但不限于协议、合同（包括合同模板及日常合同）、计划及规划文件等；了解中心各类合同在签约前、订立、履行、变更</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解除</w:t>
      </w:r>
      <w:r>
        <w:rPr>
          <w:rFonts w:hint="eastAsia" w:ascii="仿宋_GB2312" w:eastAsia="仿宋_GB2312" w:cs="Times New Roman"/>
          <w:kern w:val="2"/>
          <w:sz w:val="32"/>
          <w:szCs w:val="32"/>
          <w:lang w:val="en-US" w:eastAsia="zh-CN" w:bidi="ar-SA"/>
        </w:rPr>
        <w:t>等</w:t>
      </w:r>
      <w:r>
        <w:rPr>
          <w:rFonts w:hint="eastAsia" w:ascii="仿宋_GB2312" w:hAnsi="Times New Roman" w:eastAsia="仿宋_GB2312" w:cs="Times New Roman"/>
          <w:kern w:val="2"/>
          <w:sz w:val="32"/>
          <w:szCs w:val="32"/>
          <w:lang w:val="en-US" w:eastAsia="zh-CN" w:bidi="ar-SA"/>
        </w:rPr>
        <w:t>各个环节的法律风险点，协助中心进行合同管理，防范合同法律风险</w:t>
      </w:r>
      <w:r>
        <w:rPr>
          <w:rFonts w:hint="eastAsia" w:ascii="仿宋_GB2312" w:eastAsia="仿宋_GB2312" w:cs="Times New Roman"/>
          <w:kern w:val="2"/>
          <w:sz w:val="32"/>
          <w:szCs w:val="32"/>
          <w:lang w:val="en-US" w:eastAsia="zh-CN" w:bidi="ar-SA"/>
        </w:rPr>
        <w:t>。</w:t>
      </w:r>
    </w:p>
    <w:p w14:paraId="553694A5">
      <w:pPr>
        <w:adjustRightInd w:val="0"/>
        <w:snapToGrid w:val="0"/>
        <w:spacing w:line="580" w:lineRule="exact"/>
        <w:ind w:firstLine="640"/>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2.内部管理制度、法律法规法律咨询服务</w:t>
      </w:r>
    </w:p>
    <w:p w14:paraId="3D1AC806">
      <w:pPr>
        <w:adjustRightInd w:val="0"/>
        <w:snapToGrid w:val="0"/>
        <w:spacing w:line="580" w:lineRule="exact"/>
        <w:ind w:firstLine="640"/>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对中心</w:t>
      </w:r>
      <w:r>
        <w:rPr>
          <w:rFonts w:hint="eastAsia" w:ascii="仿宋_GB2312" w:eastAsia="仿宋_GB2312" w:cs="Times New Roman"/>
          <w:kern w:val="2"/>
          <w:sz w:val="32"/>
          <w:szCs w:val="32"/>
          <w:lang w:val="en-US" w:eastAsia="zh-CN" w:bidi="ar-SA"/>
        </w:rPr>
        <w:t>内部管理</w:t>
      </w:r>
      <w:r>
        <w:rPr>
          <w:rFonts w:hint="eastAsia" w:ascii="仿宋_GB2312" w:hAnsi="Times New Roman" w:eastAsia="仿宋_GB2312" w:cs="Times New Roman"/>
          <w:kern w:val="2"/>
          <w:sz w:val="32"/>
          <w:szCs w:val="32"/>
          <w:lang w:val="en-US" w:eastAsia="zh-CN" w:bidi="ar-SA"/>
        </w:rPr>
        <w:t>制度进行法律审查</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提供法律咨询；定期搜集梳理中心经营所涉及的相关的法律法规、政策文件，并根据中心要求对上述法规文件进行解读</w:t>
      </w:r>
      <w:r>
        <w:rPr>
          <w:rFonts w:hint="eastAsia" w:ascii="仿宋_GB2312" w:eastAsia="仿宋_GB2312" w:cs="Times New Roman"/>
          <w:kern w:val="2"/>
          <w:sz w:val="32"/>
          <w:szCs w:val="32"/>
          <w:lang w:val="en-US" w:eastAsia="zh-CN" w:bidi="ar-SA"/>
        </w:rPr>
        <w:t>。</w:t>
      </w:r>
    </w:p>
    <w:p w14:paraId="0853EB39">
      <w:pPr>
        <w:adjustRightInd w:val="0"/>
        <w:snapToGrid w:val="0"/>
        <w:spacing w:line="580" w:lineRule="exact"/>
        <w:ind w:firstLine="640"/>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3.重大战略、经营决策、项目法律咨询服务</w:t>
      </w:r>
    </w:p>
    <w:p w14:paraId="10CB66FB">
      <w:pPr>
        <w:adjustRightInd w:val="0"/>
        <w:snapToGrid w:val="0"/>
        <w:spacing w:line="580" w:lineRule="exact"/>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对中心重大经营、管理决策事项进行调研，并提供法律意见，法律意见包括分析具体项目/事项的性质</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梳理涉及的法律问题</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及时发现其中的法律风险</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提出具体、可行的应对方案等；根据中心需求参加重大的商事项目谈判，准备、审查并与中心沟通谈判所需的各类法律文件，在相关谈判项目中为中心争取利益；代中心签署、送达或者接受有关往来函件、合同协议、声明等法律文件，妥善保管并及时就相关情况向中心汇报、传达等。</w:t>
      </w:r>
    </w:p>
    <w:p w14:paraId="66F71BA7">
      <w:pPr>
        <w:adjustRightInd w:val="0"/>
        <w:snapToGrid w:val="0"/>
        <w:spacing w:line="580" w:lineRule="exact"/>
        <w:ind w:firstLine="640"/>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4.日常运营法律咨询服务</w:t>
      </w:r>
    </w:p>
    <w:p w14:paraId="308546A9">
      <w:pPr>
        <w:adjustRightInd w:val="0"/>
        <w:snapToGrid w:val="0"/>
        <w:spacing w:line="580" w:lineRule="exact"/>
        <w:ind w:firstLine="640"/>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根据中心要求</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通过邮件、电话、即时通讯工具等多种方式提供日常业务所涉各类法律问题的咨询；代中心发表法律声明、律师函，维护中心权益；根据中心要求，列席重大会议，记录会议内容，并就会议议题所涉及的法律问题进行现场咨询解答；为中心日常经营活动、内部管理以及历史遗留问题处理等工作提供相关的政策解读和法律支持</w:t>
      </w:r>
      <w:r>
        <w:rPr>
          <w:rFonts w:hint="eastAsia" w:ascii="仿宋_GB2312" w:eastAsia="仿宋_GB2312" w:cs="Times New Roman"/>
          <w:kern w:val="2"/>
          <w:sz w:val="32"/>
          <w:szCs w:val="32"/>
          <w:lang w:val="en-US" w:eastAsia="zh-CN" w:bidi="ar-SA"/>
        </w:rPr>
        <w:t>。</w:t>
      </w:r>
    </w:p>
    <w:p w14:paraId="51B7CA48">
      <w:pPr>
        <w:adjustRightInd w:val="0"/>
        <w:snapToGrid w:val="0"/>
        <w:spacing w:line="580" w:lineRule="exact"/>
        <w:ind w:firstLine="640"/>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5.参与处理投诉、诉讼、仲裁及其他争议纠纷</w:t>
      </w:r>
    </w:p>
    <w:p w14:paraId="0ABE7B56">
      <w:pPr>
        <w:adjustRightInd w:val="0"/>
        <w:snapToGrid w:val="0"/>
        <w:spacing w:line="580" w:lineRule="exact"/>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就中心已经发生、面临或可能发生的纠纷进行初步法律论证，提出解决方案建议，根据中心要求出具、发送律师函或参与非诉讼（非仲裁）谈判、协调、调解；就中心日常业务活动及经营管理中所涉及的咨询、磋商、谈判等事项提供法律服务；协助处理各类突发法律问题</w:t>
      </w:r>
      <w:r>
        <w:rPr>
          <w:rFonts w:hint="eastAsia" w:ascii="仿宋_GB2312" w:eastAsia="仿宋_GB2312" w:cs="Times New Roman"/>
          <w:kern w:val="2"/>
          <w:sz w:val="32"/>
          <w:szCs w:val="32"/>
          <w:lang w:val="en-US" w:eastAsia="zh-CN" w:bidi="ar-SA"/>
        </w:rPr>
        <w:t>。</w:t>
      </w:r>
    </w:p>
    <w:p w14:paraId="59374729">
      <w:pPr>
        <w:adjustRightInd w:val="0"/>
        <w:snapToGrid w:val="0"/>
        <w:spacing w:line="580" w:lineRule="exact"/>
        <w:ind w:firstLine="640"/>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6.提供法律培训</w:t>
      </w:r>
    </w:p>
    <w:p w14:paraId="3D0F21EA">
      <w:pPr>
        <w:adjustRightInd w:val="0"/>
        <w:snapToGrid w:val="0"/>
        <w:spacing w:line="580" w:lineRule="exact"/>
        <w:ind w:firstLine="640"/>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应中心的要求，提供</w:t>
      </w:r>
      <w:r>
        <w:rPr>
          <w:rFonts w:hint="eastAsia" w:ascii="仿宋_GB2312" w:eastAsia="仿宋_GB2312" w:cs="Times New Roman"/>
          <w:kern w:val="2"/>
          <w:sz w:val="32"/>
          <w:szCs w:val="32"/>
          <w:lang w:val="en-US" w:eastAsia="zh-CN" w:bidi="ar-SA"/>
        </w:rPr>
        <w:t>法律</w:t>
      </w:r>
      <w:r>
        <w:rPr>
          <w:rFonts w:hint="eastAsia" w:ascii="仿宋_GB2312" w:hAnsi="Times New Roman" w:eastAsia="仿宋_GB2312" w:cs="Times New Roman"/>
          <w:kern w:val="2"/>
          <w:sz w:val="32"/>
          <w:szCs w:val="32"/>
          <w:lang w:val="en-US" w:eastAsia="zh-CN" w:bidi="ar-SA"/>
        </w:rPr>
        <w:t>教育培训（1-2次/年）</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不定期</w:t>
      </w:r>
      <w:r>
        <w:rPr>
          <w:rFonts w:hint="eastAsia" w:ascii="仿宋_GB2312" w:eastAsia="仿宋_GB2312" w:cs="Times New Roman"/>
          <w:kern w:val="2"/>
          <w:sz w:val="32"/>
          <w:szCs w:val="32"/>
          <w:lang w:val="en-US" w:eastAsia="zh-CN" w:bidi="ar-SA"/>
        </w:rPr>
        <w:t>向中心</w:t>
      </w:r>
      <w:r>
        <w:rPr>
          <w:rFonts w:hint="eastAsia" w:ascii="仿宋_GB2312" w:hAnsi="Times New Roman" w:eastAsia="仿宋_GB2312" w:cs="Times New Roman"/>
          <w:kern w:val="2"/>
          <w:sz w:val="32"/>
          <w:szCs w:val="32"/>
          <w:lang w:val="en-US" w:eastAsia="zh-CN" w:bidi="ar-SA"/>
        </w:rPr>
        <w:t>介绍宣传国家和地方新颁布的有关法律法规</w:t>
      </w:r>
      <w:r>
        <w:rPr>
          <w:rFonts w:hint="eastAsia" w:ascii="仿宋_GB2312" w:eastAsia="仿宋_GB2312" w:cs="Times New Roman"/>
          <w:kern w:val="2"/>
          <w:sz w:val="32"/>
          <w:szCs w:val="32"/>
          <w:lang w:val="en-US" w:eastAsia="zh-CN" w:bidi="ar-SA"/>
        </w:rPr>
        <w:t>。</w:t>
      </w:r>
    </w:p>
    <w:p w14:paraId="6385DBB4">
      <w:pPr>
        <w:pStyle w:val="3"/>
        <w:spacing w:line="560" w:lineRule="exact"/>
        <w:ind w:firstLine="605"/>
        <w:rPr>
          <w:rFonts w:hint="eastAsia" w:ascii="楷体_GB2312" w:hAnsi="Times New Roman" w:eastAsia="楷体_GB2312" w:cs="Times New Roman"/>
          <w:sz w:val="32"/>
          <w:lang w:val="en-US" w:eastAsia="zh-CN"/>
        </w:rPr>
      </w:pPr>
      <w:r>
        <w:rPr>
          <w:rFonts w:hint="eastAsia" w:ascii="楷体_GB2312" w:hAnsi="Times New Roman" w:eastAsia="楷体_GB2312" w:cs="Times New Roman"/>
          <w:sz w:val="32"/>
          <w:lang w:val="en-US" w:eastAsia="zh-CN"/>
        </w:rPr>
        <w:t>（二）非诉讼专项法律服务及诉讼、仲裁代理服务</w:t>
      </w:r>
    </w:p>
    <w:p w14:paraId="17CE69F1">
      <w:pPr>
        <w:adjustRightInd w:val="0"/>
        <w:snapToGrid w:val="0"/>
        <w:spacing w:line="580" w:lineRule="exact"/>
        <w:ind w:firstLine="640"/>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对于单项工作超过</w:t>
      </w:r>
      <w:r>
        <w:rPr>
          <w:rFonts w:hint="eastAsia" w:ascii="仿宋_GB2312" w:eastAsia="仿宋_GB2312" w:cs="Times New Roman"/>
          <w:kern w:val="2"/>
          <w:sz w:val="32"/>
          <w:szCs w:val="32"/>
          <w:lang w:val="en-US" w:eastAsia="zh-CN" w:bidi="ar-SA"/>
        </w:rPr>
        <w:t>一定时长</w:t>
      </w:r>
      <w:r>
        <w:rPr>
          <w:rFonts w:hint="eastAsia" w:ascii="仿宋_GB2312" w:hAnsi="Times New Roman" w:eastAsia="仿宋_GB2312" w:cs="Times New Roman"/>
          <w:kern w:val="2"/>
          <w:sz w:val="32"/>
          <w:szCs w:val="32"/>
          <w:lang w:val="en-US" w:eastAsia="zh-CN" w:bidi="ar-SA"/>
        </w:rPr>
        <w:t>的重大事项提供专项法律服务。根据具体事项、涉及的法律服务领域，组建专门项目团队提供专项法律服务，包括起草、审核、修改并形成相关成果文件，应中心要求参会、对项目进行研讨，与相关方沟通、谈判、提供项目报告等；</w:t>
      </w:r>
    </w:p>
    <w:p w14:paraId="344733D7">
      <w:pPr>
        <w:adjustRightInd w:val="0"/>
        <w:snapToGrid w:val="0"/>
        <w:spacing w:line="580" w:lineRule="exact"/>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针对中心出现或涉及的诉讼、仲裁案件,提供诉讼代理服务，诉讼代理服务包括为诉讼、仲裁案件提供法律咨询服务并进行法律方案设计；代理民事、行政诉讼的一审、二审、执行和再审等程序的案件，以及代理仲裁、行政复议；向与中心合作的违约方及侵权方等出具律师函；针对突发、风险性事项与中心相关负责人成立风控小组，跟进处理该类事项等</w:t>
      </w:r>
      <w:r>
        <w:rPr>
          <w:rFonts w:hint="eastAsia" w:ascii="仿宋_GB2312" w:eastAsia="仿宋_GB2312" w:cs="Times New Roman"/>
          <w:kern w:val="2"/>
          <w:sz w:val="32"/>
          <w:szCs w:val="32"/>
          <w:lang w:val="en-US" w:eastAsia="zh-CN" w:bidi="ar-SA"/>
        </w:rPr>
        <w:t>。</w:t>
      </w:r>
    </w:p>
    <w:p w14:paraId="5A9E45E0">
      <w:pPr>
        <w:adjustRightInd w:val="0"/>
        <w:snapToGrid w:val="0"/>
        <w:spacing w:line="580" w:lineRule="exact"/>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上述非诉讼专项法律服务及诉讼、仲裁代理服务，中心与</w:t>
      </w:r>
      <w:r>
        <w:rPr>
          <w:rFonts w:hint="eastAsia" w:ascii="仿宋_GB2312" w:eastAsia="仿宋_GB2312" w:cs="Times New Roman"/>
          <w:kern w:val="2"/>
          <w:sz w:val="32"/>
          <w:szCs w:val="32"/>
          <w:lang w:val="en-US" w:eastAsia="zh-CN" w:bidi="ar-SA"/>
        </w:rPr>
        <w:t>服务方另行</w:t>
      </w:r>
      <w:r>
        <w:rPr>
          <w:rFonts w:hint="eastAsia" w:ascii="仿宋_GB2312" w:hAnsi="Times New Roman" w:eastAsia="仿宋_GB2312" w:cs="Times New Roman"/>
          <w:kern w:val="2"/>
          <w:sz w:val="32"/>
          <w:szCs w:val="32"/>
          <w:lang w:val="en-US" w:eastAsia="zh-CN" w:bidi="ar-SA"/>
        </w:rPr>
        <w:t>签署协议，委托事项</w:t>
      </w:r>
      <w:r>
        <w:rPr>
          <w:rFonts w:hint="eastAsia" w:ascii="仿宋_GB2312" w:eastAsia="仿宋_GB2312" w:cs="Times New Roman"/>
          <w:kern w:val="2"/>
          <w:sz w:val="32"/>
          <w:szCs w:val="32"/>
          <w:lang w:val="en-US" w:eastAsia="zh-CN" w:bidi="ar-SA"/>
        </w:rPr>
        <w:t>及</w:t>
      </w:r>
      <w:r>
        <w:rPr>
          <w:rFonts w:hint="eastAsia" w:ascii="仿宋_GB2312" w:hAnsi="Times New Roman" w:eastAsia="仿宋_GB2312" w:cs="Times New Roman"/>
          <w:kern w:val="2"/>
          <w:sz w:val="32"/>
          <w:szCs w:val="32"/>
          <w:lang w:val="en-US" w:eastAsia="zh-CN" w:bidi="ar-SA"/>
        </w:rPr>
        <w:t>律师费的支付</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包括数额和支付方式</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等</w:t>
      </w:r>
      <w:r>
        <w:rPr>
          <w:rFonts w:hint="eastAsia" w:ascii="仿宋_GB2312" w:eastAsia="仿宋_GB2312" w:cs="Times New Roman"/>
          <w:kern w:val="2"/>
          <w:sz w:val="32"/>
          <w:szCs w:val="32"/>
          <w:lang w:val="en-US" w:eastAsia="zh-CN" w:bidi="ar-SA"/>
        </w:rPr>
        <w:t>另行</w:t>
      </w:r>
      <w:r>
        <w:rPr>
          <w:rFonts w:hint="eastAsia" w:ascii="仿宋_GB2312" w:hAnsi="Times New Roman" w:eastAsia="仿宋_GB2312" w:cs="Times New Roman"/>
          <w:kern w:val="2"/>
          <w:sz w:val="32"/>
          <w:szCs w:val="32"/>
          <w:lang w:val="en-US" w:eastAsia="zh-CN" w:bidi="ar-SA"/>
        </w:rPr>
        <w:t>进行约定。</w:t>
      </w:r>
    </w:p>
    <w:p w14:paraId="34FF5BA2">
      <w:pPr>
        <w:spacing w:line="560" w:lineRule="exact"/>
        <w:ind w:firstLine="640" w:firstLineChars="200"/>
        <w:jc w:val="left"/>
        <w:rPr>
          <w:rFonts w:hint="eastAsia" w:ascii="黑体" w:hAnsi="Times New Roman" w:eastAsia="黑体" w:cs="Times New Roman"/>
          <w:sz w:val="32"/>
          <w:lang w:val="en-US" w:eastAsia="zh-CN"/>
        </w:rPr>
      </w:pPr>
      <w:r>
        <w:rPr>
          <w:rFonts w:hint="eastAsia" w:ascii="黑体" w:eastAsia="黑体" w:cs="Times New Roman"/>
          <w:sz w:val="32"/>
          <w:lang w:val="en-US" w:eastAsia="zh-CN"/>
        </w:rPr>
        <w:t>五</w:t>
      </w:r>
      <w:r>
        <w:rPr>
          <w:rFonts w:hint="eastAsia" w:ascii="黑体" w:hAnsi="Times New Roman" w:eastAsia="黑体" w:cs="Times New Roman"/>
          <w:sz w:val="32"/>
          <w:lang w:val="en-US" w:eastAsia="zh-CN"/>
        </w:rPr>
        <w:t>、项目量化指标</w:t>
      </w:r>
    </w:p>
    <w:p w14:paraId="1C56B712">
      <w:pPr>
        <w:pStyle w:val="3"/>
        <w:spacing w:line="560" w:lineRule="exact"/>
        <w:ind w:firstLine="605"/>
        <w:rPr>
          <w:rFonts w:hint="eastAsia" w:hAnsi="Times New Roman" w:cs="Times New Roman"/>
          <w:szCs w:val="32"/>
          <w:lang w:val="en-US" w:eastAsia="zh-CN"/>
        </w:rPr>
      </w:pPr>
      <w:r>
        <w:rPr>
          <w:rFonts w:hint="eastAsia" w:hAnsi="Times New Roman" w:cs="Times New Roman"/>
          <w:szCs w:val="32"/>
          <w:lang w:val="en-US" w:eastAsia="zh-CN"/>
        </w:rPr>
        <w:t>根据往年工作情况，中心202</w:t>
      </w:r>
      <w:r>
        <w:rPr>
          <w:rFonts w:hint="eastAsia" w:cs="Times New Roman"/>
          <w:szCs w:val="32"/>
          <w:lang w:val="en-US" w:eastAsia="zh-CN"/>
        </w:rPr>
        <w:t>5</w:t>
      </w:r>
      <w:r>
        <w:rPr>
          <w:rFonts w:hint="eastAsia" w:hAnsi="Times New Roman" w:cs="Times New Roman"/>
          <w:szCs w:val="32"/>
          <w:lang w:val="en-US" w:eastAsia="zh-CN"/>
        </w:rPr>
        <w:t>年度合同</w:t>
      </w:r>
      <w:r>
        <w:rPr>
          <w:rFonts w:hint="eastAsia" w:cs="Times New Roman"/>
          <w:szCs w:val="32"/>
          <w:lang w:val="en-US" w:eastAsia="zh-CN"/>
        </w:rPr>
        <w:t>及相关制度文件</w:t>
      </w:r>
      <w:r>
        <w:rPr>
          <w:rFonts w:hint="eastAsia" w:hAnsi="Times New Roman" w:cs="Times New Roman"/>
          <w:szCs w:val="32"/>
          <w:lang w:val="en-US" w:eastAsia="zh-CN"/>
        </w:rPr>
        <w:t>预计1</w:t>
      </w:r>
      <w:r>
        <w:rPr>
          <w:rFonts w:hint="eastAsia" w:cs="Times New Roman"/>
          <w:szCs w:val="32"/>
          <w:lang w:val="en-US" w:eastAsia="zh-CN"/>
        </w:rPr>
        <w:t>8</w:t>
      </w:r>
      <w:r>
        <w:rPr>
          <w:rFonts w:hint="eastAsia" w:hAnsi="Times New Roman" w:cs="Times New Roman"/>
          <w:szCs w:val="32"/>
          <w:lang w:val="en-US" w:eastAsia="zh-CN"/>
        </w:rPr>
        <w:t>0</w:t>
      </w:r>
      <w:r>
        <w:rPr>
          <w:rFonts w:hint="eastAsia" w:cs="Times New Roman"/>
          <w:szCs w:val="32"/>
          <w:lang w:val="en-US" w:eastAsia="zh-CN"/>
        </w:rPr>
        <w:t>份左右</w:t>
      </w:r>
      <w:r>
        <w:rPr>
          <w:rFonts w:hint="eastAsia" w:hAnsi="Times New Roman" w:cs="Times New Roman"/>
          <w:szCs w:val="32"/>
          <w:lang w:val="en-US" w:eastAsia="zh-CN"/>
        </w:rPr>
        <w:t>，全年获取法律意见书面文件不少于</w:t>
      </w:r>
      <w:r>
        <w:rPr>
          <w:rFonts w:hint="eastAsia" w:cs="Times New Roman"/>
          <w:szCs w:val="32"/>
          <w:lang w:val="en-US" w:eastAsia="zh-CN"/>
        </w:rPr>
        <w:t>6份</w:t>
      </w:r>
      <w:r>
        <w:rPr>
          <w:rFonts w:hint="eastAsia" w:hAnsi="Times New Roman" w:cs="Times New Roman"/>
          <w:szCs w:val="32"/>
          <w:lang w:val="en-US" w:eastAsia="zh-CN"/>
        </w:rPr>
        <w:t>，</w:t>
      </w:r>
      <w:r>
        <w:rPr>
          <w:rFonts w:hint="eastAsia" w:cs="Times New Roman"/>
          <w:szCs w:val="32"/>
          <w:lang w:val="en-US" w:eastAsia="zh-CN"/>
        </w:rPr>
        <w:t>线下专题研讨会不少于2次，</w:t>
      </w:r>
      <w:r>
        <w:rPr>
          <w:rFonts w:hint="eastAsia" w:hAnsi="Times New Roman" w:cs="Times New Roman"/>
          <w:szCs w:val="32"/>
          <w:lang w:val="en-US" w:eastAsia="zh-CN"/>
        </w:rPr>
        <w:t>通过</w:t>
      </w:r>
      <w:r>
        <w:rPr>
          <w:rFonts w:hint="eastAsia" w:cs="Times New Roman"/>
          <w:szCs w:val="32"/>
          <w:lang w:val="en-US" w:eastAsia="zh-CN"/>
        </w:rPr>
        <w:t>邮件、</w:t>
      </w:r>
      <w:r>
        <w:rPr>
          <w:rFonts w:hint="eastAsia" w:hAnsi="Times New Roman" w:cs="Times New Roman"/>
          <w:szCs w:val="32"/>
          <w:lang w:val="en-US" w:eastAsia="zh-CN"/>
        </w:rPr>
        <w:t>电话、微信咨询获取法律意见若干</w:t>
      </w:r>
      <w:r>
        <w:rPr>
          <w:rFonts w:hint="eastAsia" w:cs="Times New Roman"/>
          <w:szCs w:val="32"/>
          <w:lang w:val="en-US" w:eastAsia="zh-CN"/>
        </w:rPr>
        <w:t>，</w:t>
      </w:r>
      <w:r>
        <w:rPr>
          <w:rFonts w:hint="eastAsia" w:hAnsi="Times New Roman" w:cs="Times New Roman"/>
          <w:szCs w:val="32"/>
          <w:lang w:val="en-US" w:eastAsia="zh-CN"/>
        </w:rPr>
        <w:t>法制教育培训</w:t>
      </w:r>
      <w:r>
        <w:rPr>
          <w:rFonts w:hint="eastAsia" w:cs="Times New Roman"/>
          <w:szCs w:val="32"/>
          <w:lang w:val="en-US" w:eastAsia="zh-CN"/>
        </w:rPr>
        <w:t>每年1-</w:t>
      </w:r>
      <w:r>
        <w:rPr>
          <w:rFonts w:hint="eastAsia" w:hAnsi="Times New Roman" w:cs="Times New Roman"/>
          <w:szCs w:val="32"/>
          <w:lang w:val="en-US" w:eastAsia="zh-CN"/>
        </w:rPr>
        <w:t>2次</w:t>
      </w:r>
      <w:r>
        <w:rPr>
          <w:rFonts w:hint="eastAsia" w:cs="Times New Roman"/>
          <w:szCs w:val="32"/>
          <w:lang w:val="en-US" w:eastAsia="zh-CN"/>
        </w:rPr>
        <w:t>，</w:t>
      </w:r>
      <w:r>
        <w:rPr>
          <w:rFonts w:hint="eastAsia" w:hAnsi="Times New Roman" w:cs="Times New Roman"/>
          <w:szCs w:val="32"/>
          <w:lang w:val="en-US" w:eastAsia="zh-CN"/>
        </w:rPr>
        <w:t>不定期</w:t>
      </w:r>
      <w:r>
        <w:rPr>
          <w:rFonts w:hint="eastAsia" w:cs="Times New Roman"/>
          <w:szCs w:val="32"/>
          <w:lang w:val="en-US" w:eastAsia="zh-CN"/>
        </w:rPr>
        <w:t>向中心</w:t>
      </w:r>
      <w:r>
        <w:rPr>
          <w:rFonts w:hint="eastAsia" w:hAnsi="Times New Roman" w:cs="Times New Roman"/>
          <w:szCs w:val="32"/>
          <w:lang w:val="en-US" w:eastAsia="zh-CN"/>
        </w:rPr>
        <w:t>介绍宣传国家和地方新颁布的有关法律法规。</w:t>
      </w:r>
    </w:p>
    <w:p w14:paraId="7B3DBEA5">
      <w:pPr>
        <w:pStyle w:val="3"/>
        <w:spacing w:line="560" w:lineRule="exact"/>
        <w:ind w:firstLine="605"/>
        <w:rPr>
          <w:rFonts w:hint="eastAsia" w:ascii="楷体_GB2312" w:hAnsi="Times New Roman" w:eastAsia="楷体_GB2312" w:cs="Times New Roman"/>
          <w:sz w:val="32"/>
          <w:lang w:val="en-US" w:eastAsia="zh-CN"/>
        </w:rPr>
      </w:pPr>
      <w:r>
        <w:rPr>
          <w:rFonts w:hint="eastAsia" w:ascii="楷体_GB2312" w:eastAsia="楷体_GB2312" w:cs="Times New Roman"/>
          <w:sz w:val="32"/>
          <w:lang w:val="en-US" w:eastAsia="zh-CN"/>
        </w:rPr>
        <w:t>（一）质</w:t>
      </w:r>
      <w:r>
        <w:rPr>
          <w:rFonts w:hint="eastAsia" w:ascii="楷体_GB2312" w:hAnsi="Times New Roman" w:eastAsia="楷体_GB2312" w:cs="Times New Roman"/>
          <w:sz w:val="32"/>
          <w:lang w:val="en-US" w:eastAsia="zh-CN"/>
        </w:rPr>
        <w:t>效指标</w:t>
      </w:r>
    </w:p>
    <w:p w14:paraId="492B3EF1">
      <w:pPr>
        <w:pStyle w:val="3"/>
        <w:spacing w:line="560" w:lineRule="exact"/>
        <w:ind w:firstLine="605"/>
        <w:rPr>
          <w:rFonts w:hint="eastAsia" w:hAnsi="Times New Roman" w:cs="Times New Roman"/>
          <w:szCs w:val="32"/>
          <w:lang w:val="en-US" w:eastAsia="zh-CN"/>
        </w:rPr>
      </w:pPr>
      <w:r>
        <w:rPr>
          <w:rFonts w:hint="eastAsia" w:hAnsi="Times New Roman" w:cs="Times New Roman"/>
          <w:szCs w:val="32"/>
          <w:lang w:val="en-US" w:eastAsia="zh-CN"/>
        </w:rPr>
        <w:t>对中心要求进行审核的合同必须全部完成，在1-2个工作日内进行反馈，完成率不低于100%；对中心通过各种方式进行法律咨询在规定时间内给予反馈，按时反馈率不低于95%</w:t>
      </w:r>
      <w:r>
        <w:rPr>
          <w:rFonts w:hint="eastAsia" w:cs="Times New Roman"/>
          <w:szCs w:val="32"/>
          <w:lang w:val="en-US" w:eastAsia="zh-CN"/>
        </w:rPr>
        <w:t>；结果采纳率不低于90%。</w:t>
      </w:r>
    </w:p>
    <w:p w14:paraId="11920B04">
      <w:pPr>
        <w:pStyle w:val="3"/>
        <w:spacing w:line="560" w:lineRule="exact"/>
        <w:ind w:firstLine="605"/>
        <w:rPr>
          <w:rFonts w:hint="eastAsia" w:ascii="楷体_GB2312" w:hAnsi="Times New Roman" w:eastAsia="楷体_GB2312" w:cs="Times New Roman"/>
          <w:sz w:val="32"/>
          <w:lang w:val="en-US" w:eastAsia="zh-CN"/>
        </w:rPr>
      </w:pPr>
      <w:r>
        <w:rPr>
          <w:rFonts w:hint="eastAsia" w:ascii="楷体_GB2312" w:eastAsia="楷体_GB2312" w:cs="Times New Roman"/>
          <w:sz w:val="32"/>
          <w:lang w:val="en-US" w:eastAsia="zh-CN"/>
        </w:rPr>
        <w:t>（二）</w:t>
      </w:r>
      <w:r>
        <w:rPr>
          <w:rFonts w:hint="eastAsia" w:ascii="楷体_GB2312" w:hAnsi="Times New Roman" w:eastAsia="楷体_GB2312" w:cs="Times New Roman"/>
          <w:sz w:val="32"/>
          <w:lang w:val="en-US" w:eastAsia="zh-CN"/>
        </w:rPr>
        <w:t>满意度指标</w:t>
      </w:r>
    </w:p>
    <w:p w14:paraId="48000C1B">
      <w:pPr>
        <w:pStyle w:val="3"/>
        <w:spacing w:line="560" w:lineRule="exact"/>
        <w:ind w:firstLine="605"/>
        <w:rPr>
          <w:rFonts w:hint="eastAsia" w:ascii="黑体" w:eastAsia="黑体" w:cs="Times New Roman"/>
          <w:sz w:val="32"/>
          <w:lang w:val="en-US" w:eastAsia="zh-CN"/>
        </w:rPr>
      </w:pPr>
      <w:r>
        <w:rPr>
          <w:rFonts w:hint="eastAsia" w:hAnsi="Times New Roman" w:cs="Times New Roman"/>
          <w:szCs w:val="32"/>
          <w:lang w:val="en-US" w:eastAsia="zh-CN"/>
        </w:rPr>
        <w:t>通过中心各部门对法律顾问工作的问卷调查，对于涉及法律顾问的工作态度、专业能力、处理问题响应速度、修改文书的速度、审核文书的质量等工作内容进行分析汇总，满意与非常满意达到90%以上。</w:t>
      </w:r>
    </w:p>
    <w:p w14:paraId="7EB16A1B">
      <w:pPr>
        <w:tabs>
          <w:tab w:val="left" w:pos="632"/>
        </w:tabs>
        <w:spacing w:line="560" w:lineRule="exact"/>
        <w:ind w:firstLine="640" w:firstLineChars="200"/>
        <w:jc w:val="left"/>
        <w:rPr>
          <w:rFonts w:hint="default" w:hAnsi="Times New Roman" w:cs="Times New Roman"/>
          <w:szCs w:val="32"/>
          <w:lang w:val="en-US" w:eastAsia="zh-CN"/>
        </w:rPr>
      </w:pPr>
      <w:r>
        <w:rPr>
          <w:rFonts w:hint="eastAsia" w:ascii="黑体" w:eastAsia="黑体" w:cs="Times New Roman"/>
          <w:sz w:val="32"/>
          <w:lang w:val="en-US" w:eastAsia="zh-CN"/>
        </w:rPr>
        <w:t>六、对项目服务方的要求</w:t>
      </w:r>
    </w:p>
    <w:p w14:paraId="6E94103F">
      <w:pPr>
        <w:pStyle w:val="3"/>
        <w:spacing w:line="560" w:lineRule="exact"/>
        <w:ind w:firstLine="605"/>
        <w:rPr>
          <w:rFonts w:hint="default" w:hAnsi="Times New Roman" w:cs="Times New Roman"/>
          <w:szCs w:val="32"/>
          <w:lang w:val="en-US" w:eastAsia="zh-CN"/>
        </w:rPr>
      </w:pPr>
      <w:r>
        <w:rPr>
          <w:rFonts w:hint="eastAsia" w:hAnsi="Times New Roman" w:cs="Times New Roman"/>
          <w:szCs w:val="32"/>
          <w:lang w:val="en-US" w:eastAsia="zh-CN"/>
        </w:rPr>
        <w:t>1.符合《中华人民共和国政府采购法》第二十二条规定。</w:t>
      </w:r>
    </w:p>
    <w:p w14:paraId="6C9864A2">
      <w:pPr>
        <w:pStyle w:val="3"/>
        <w:spacing w:line="560" w:lineRule="exact"/>
        <w:ind w:firstLine="605"/>
        <w:rPr>
          <w:rFonts w:hint="default" w:hAnsi="Times New Roman" w:cs="Times New Roman"/>
          <w:szCs w:val="32"/>
          <w:lang w:val="en-US" w:eastAsia="zh-CN"/>
        </w:rPr>
      </w:pPr>
      <w:r>
        <w:rPr>
          <w:rFonts w:hint="eastAsia" w:hAnsi="Times New Roman" w:cs="Times New Roman"/>
          <w:szCs w:val="32"/>
          <w:lang w:val="en-US" w:eastAsia="zh-CN"/>
        </w:rPr>
        <w:t>2.须具有司法部门颁发的有效期内的律师事务所执业许可证。</w:t>
      </w:r>
    </w:p>
    <w:p w14:paraId="6065FF4F">
      <w:pPr>
        <w:pStyle w:val="3"/>
        <w:spacing w:line="560" w:lineRule="exact"/>
        <w:ind w:firstLine="605"/>
        <w:rPr>
          <w:rFonts w:hint="default" w:hAnsi="Times New Roman" w:cs="Times New Roman"/>
          <w:szCs w:val="32"/>
          <w:lang w:val="en-US" w:eastAsia="zh-CN"/>
        </w:rPr>
      </w:pPr>
      <w:r>
        <w:rPr>
          <w:rFonts w:hint="eastAsia" w:hAnsi="Times New Roman" w:cs="Times New Roman"/>
          <w:szCs w:val="32"/>
          <w:lang w:val="en-US" w:eastAsia="zh-CN"/>
        </w:rPr>
        <w:t>3.须具有本地化服务能力，在</w:t>
      </w:r>
      <w:r>
        <w:rPr>
          <w:rFonts w:hint="eastAsia" w:cs="Times New Roman"/>
          <w:szCs w:val="32"/>
          <w:lang w:val="en-US" w:eastAsia="zh-CN"/>
        </w:rPr>
        <w:t>北京市</w:t>
      </w:r>
      <w:r>
        <w:rPr>
          <w:rFonts w:hint="eastAsia" w:hAnsi="Times New Roman" w:cs="Times New Roman"/>
          <w:szCs w:val="32"/>
          <w:lang w:val="en-US" w:eastAsia="zh-CN"/>
        </w:rPr>
        <w:t>设立</w:t>
      </w:r>
      <w:r>
        <w:rPr>
          <w:rFonts w:hint="eastAsia" w:cs="Times New Roman"/>
          <w:szCs w:val="32"/>
          <w:lang w:val="en-US" w:eastAsia="zh-CN"/>
        </w:rPr>
        <w:t>的</w:t>
      </w:r>
      <w:r>
        <w:rPr>
          <w:rFonts w:hint="eastAsia" w:hAnsi="Times New Roman" w:cs="Times New Roman"/>
          <w:szCs w:val="32"/>
          <w:lang w:val="en-US" w:eastAsia="zh-CN"/>
        </w:rPr>
        <w:t>律师事务所</w:t>
      </w:r>
      <w:r>
        <w:rPr>
          <w:rFonts w:hint="eastAsia" w:cs="Times New Roman"/>
          <w:szCs w:val="32"/>
          <w:lang w:val="en-US" w:eastAsia="zh-CN"/>
        </w:rPr>
        <w:t>，且执业律师人数不少于100人</w:t>
      </w:r>
      <w:r>
        <w:rPr>
          <w:rFonts w:hint="eastAsia" w:hAnsi="Times New Roman" w:cs="Times New Roman"/>
          <w:szCs w:val="32"/>
          <w:lang w:val="en-US" w:eastAsia="zh-CN"/>
        </w:rPr>
        <w:t>。</w:t>
      </w:r>
    </w:p>
    <w:p w14:paraId="7713E712">
      <w:pPr>
        <w:pStyle w:val="3"/>
        <w:spacing w:line="560" w:lineRule="exact"/>
        <w:ind w:firstLine="605"/>
        <w:rPr>
          <w:rFonts w:hint="default" w:hAnsi="Times New Roman" w:cs="Times New Roman"/>
          <w:szCs w:val="32"/>
          <w:lang w:val="en-US" w:eastAsia="zh-CN"/>
        </w:rPr>
      </w:pPr>
      <w:r>
        <w:rPr>
          <w:rFonts w:hint="eastAsia" w:cs="Times New Roman"/>
          <w:szCs w:val="32"/>
          <w:lang w:val="en-US" w:eastAsia="zh-CN"/>
        </w:rPr>
        <w:t>4.</w:t>
      </w:r>
      <w:r>
        <w:rPr>
          <w:rFonts w:hint="eastAsia" w:hAnsi="Times New Roman" w:cs="Times New Roman"/>
          <w:szCs w:val="32"/>
          <w:lang w:val="en-US" w:eastAsia="zh-CN"/>
        </w:rPr>
        <w:t>须具有近期（202</w:t>
      </w:r>
      <w:r>
        <w:rPr>
          <w:rFonts w:hint="eastAsia" w:cs="Times New Roman"/>
          <w:szCs w:val="32"/>
          <w:lang w:val="en-US" w:eastAsia="zh-CN"/>
        </w:rPr>
        <w:t>2</w:t>
      </w:r>
      <w:r>
        <w:rPr>
          <w:rFonts w:hint="eastAsia" w:hAnsi="Times New Roman" w:cs="Times New Roman"/>
          <w:szCs w:val="32"/>
          <w:lang w:val="en-US" w:eastAsia="zh-CN"/>
        </w:rPr>
        <w:t>年至今）完成同类项目的服务经验</w:t>
      </w:r>
      <w:r>
        <w:rPr>
          <w:rFonts w:hint="eastAsia" w:cs="Times New Roman"/>
          <w:szCs w:val="32"/>
          <w:lang w:val="en-US" w:eastAsia="zh-CN"/>
        </w:rPr>
        <w:t>，曾为政府部门、国有企业、事业单位等提供相关法律服务，具有体育行业、政府采购、民商事纠纷处理及强制执行等法律服务工作经验者优先。</w:t>
      </w:r>
    </w:p>
    <w:p w14:paraId="33B84641">
      <w:pPr>
        <w:pStyle w:val="3"/>
        <w:spacing w:line="560" w:lineRule="exact"/>
        <w:ind w:firstLine="605"/>
        <w:rPr>
          <w:rFonts w:hint="eastAsia" w:hAnsi="Times New Roman" w:cs="Times New Roman"/>
          <w:szCs w:val="32"/>
          <w:lang w:val="en-US" w:eastAsia="zh-CN"/>
        </w:rPr>
      </w:pPr>
      <w:r>
        <w:rPr>
          <w:rFonts w:hint="eastAsia" w:cs="Times New Roman"/>
          <w:szCs w:val="32"/>
          <w:lang w:val="en-US" w:eastAsia="zh-CN"/>
        </w:rPr>
        <w:t>5</w:t>
      </w:r>
      <w:r>
        <w:rPr>
          <w:rFonts w:hint="eastAsia" w:hAnsi="Times New Roman" w:cs="Times New Roman"/>
          <w:szCs w:val="32"/>
          <w:lang w:val="en-US" w:eastAsia="zh-CN"/>
        </w:rPr>
        <w:t>.</w:t>
      </w:r>
      <w:r>
        <w:rPr>
          <w:rFonts w:hint="eastAsia" w:cs="Times New Roman"/>
          <w:szCs w:val="32"/>
          <w:lang w:val="en-US" w:eastAsia="zh-CN"/>
        </w:rPr>
        <w:t>须</w:t>
      </w:r>
      <w:r>
        <w:rPr>
          <w:rFonts w:hint="eastAsia" w:hAnsi="Times New Roman" w:cs="Times New Roman"/>
          <w:szCs w:val="32"/>
          <w:lang w:val="en-US" w:eastAsia="zh-CN"/>
        </w:rPr>
        <w:t>针对本项目组建专门的</w:t>
      </w:r>
      <w:r>
        <w:rPr>
          <w:rFonts w:hint="eastAsia" w:cs="Times New Roman"/>
          <w:szCs w:val="32"/>
          <w:lang w:val="en-US" w:eastAsia="zh-CN"/>
        </w:rPr>
        <w:t>法律</w:t>
      </w:r>
      <w:r>
        <w:rPr>
          <w:rFonts w:hint="eastAsia" w:hAnsi="Times New Roman" w:cs="Times New Roman"/>
          <w:szCs w:val="32"/>
          <w:lang w:val="en-US" w:eastAsia="zh-CN"/>
        </w:rPr>
        <w:t>服务团队，团队成员必须</w:t>
      </w:r>
      <w:r>
        <w:rPr>
          <w:rFonts w:hint="eastAsia" w:cs="Times New Roman"/>
          <w:szCs w:val="32"/>
          <w:lang w:val="en-US" w:eastAsia="zh-CN"/>
        </w:rPr>
        <w:t>为执业律师，并</w:t>
      </w:r>
      <w:r>
        <w:rPr>
          <w:rFonts w:hint="eastAsia" w:hAnsi="Times New Roman" w:cs="Times New Roman"/>
          <w:szCs w:val="32"/>
          <w:lang w:val="en-US" w:eastAsia="zh-CN"/>
        </w:rPr>
        <w:t>具备本项目所需的专业知识和多年的此类项目经验</w:t>
      </w:r>
      <w:r>
        <w:rPr>
          <w:rFonts w:hint="eastAsia" w:cs="Times New Roman"/>
          <w:szCs w:val="32"/>
          <w:lang w:val="en-US" w:eastAsia="zh-CN"/>
        </w:rPr>
        <w:t>，</w:t>
      </w:r>
      <w:r>
        <w:rPr>
          <w:rFonts w:hint="eastAsia" w:hAnsi="Times New Roman" w:cs="Times New Roman"/>
          <w:szCs w:val="32"/>
          <w:lang w:val="en-US" w:eastAsia="zh-CN"/>
        </w:rPr>
        <w:t>熟悉民法典、民事诉讼法、政府采购法、招标投标法、彩票管理条例等相关法律法规；对事业单位内控</w:t>
      </w:r>
      <w:r>
        <w:rPr>
          <w:rFonts w:hint="eastAsia" w:cs="Times New Roman"/>
          <w:szCs w:val="32"/>
          <w:lang w:val="en-US" w:eastAsia="zh-CN"/>
        </w:rPr>
        <w:t>规范</w:t>
      </w:r>
      <w:r>
        <w:rPr>
          <w:rFonts w:hint="eastAsia" w:hAnsi="Times New Roman" w:cs="Times New Roman"/>
          <w:szCs w:val="32"/>
          <w:lang w:val="en-US" w:eastAsia="zh-CN"/>
        </w:rPr>
        <w:t>、</w:t>
      </w:r>
      <w:r>
        <w:rPr>
          <w:rFonts w:hint="eastAsia" w:cs="Times New Roman"/>
          <w:szCs w:val="32"/>
          <w:lang w:val="en-US" w:eastAsia="zh-CN"/>
        </w:rPr>
        <w:t>合同管理、</w:t>
      </w:r>
      <w:r>
        <w:rPr>
          <w:rFonts w:hint="eastAsia" w:hAnsi="Times New Roman" w:cs="Times New Roman"/>
          <w:szCs w:val="32"/>
          <w:lang w:val="en-US" w:eastAsia="zh-CN"/>
        </w:rPr>
        <w:t>对外经济活动等有</w:t>
      </w:r>
      <w:r>
        <w:rPr>
          <w:rFonts w:hint="eastAsia" w:cs="Times New Roman"/>
          <w:szCs w:val="32"/>
          <w:lang w:val="en-US" w:eastAsia="zh-CN"/>
        </w:rPr>
        <w:t>全面</w:t>
      </w:r>
      <w:r>
        <w:rPr>
          <w:rFonts w:hint="eastAsia" w:hAnsi="Times New Roman" w:cs="Times New Roman"/>
          <w:szCs w:val="32"/>
          <w:lang w:val="en-US" w:eastAsia="zh-CN"/>
        </w:rPr>
        <w:t>了解；具有熟练处理民商事、执行等各类法律事务的能力。</w:t>
      </w:r>
      <w:r>
        <w:rPr>
          <w:rFonts w:hint="eastAsia" w:cs="Times New Roman"/>
          <w:szCs w:val="32"/>
          <w:lang w:val="en-US" w:eastAsia="zh-CN"/>
        </w:rPr>
        <w:t>此外，</w:t>
      </w:r>
      <w:r>
        <w:rPr>
          <w:rFonts w:hint="eastAsia" w:hAnsi="Times New Roman" w:cs="Times New Roman"/>
          <w:szCs w:val="32"/>
          <w:lang w:val="en-US" w:eastAsia="zh-CN"/>
        </w:rPr>
        <w:t>应保证服务团队的稳定性，在合同服务期限内</w:t>
      </w:r>
      <w:r>
        <w:rPr>
          <w:rFonts w:hint="eastAsia" w:cs="Times New Roman"/>
          <w:szCs w:val="32"/>
          <w:lang w:val="en-US" w:eastAsia="zh-CN"/>
        </w:rPr>
        <w:t>不得随意</w:t>
      </w:r>
      <w:r>
        <w:rPr>
          <w:rFonts w:hint="eastAsia" w:hAnsi="Times New Roman" w:cs="Times New Roman"/>
          <w:szCs w:val="32"/>
          <w:lang w:val="en-US" w:eastAsia="zh-CN"/>
        </w:rPr>
        <w:t>更换项目团队人员。</w:t>
      </w:r>
    </w:p>
    <w:p w14:paraId="28B5A8D3">
      <w:pPr>
        <w:pStyle w:val="3"/>
        <w:spacing w:line="560" w:lineRule="exact"/>
        <w:ind w:firstLine="605"/>
        <w:rPr>
          <w:rFonts w:hint="default" w:hAnsi="Times New Roman" w:cs="Times New Roman"/>
          <w:szCs w:val="32"/>
          <w:lang w:val="en-US" w:eastAsia="zh-CN"/>
        </w:rPr>
      </w:pPr>
      <w:r>
        <w:rPr>
          <w:rFonts w:hint="eastAsia" w:cs="Times New Roman"/>
          <w:szCs w:val="32"/>
          <w:lang w:val="en-US" w:eastAsia="zh-CN"/>
        </w:rPr>
        <w:t>6</w:t>
      </w:r>
      <w:r>
        <w:rPr>
          <w:rFonts w:hint="eastAsia" w:hAnsi="Times New Roman" w:cs="Times New Roman"/>
          <w:szCs w:val="32"/>
          <w:lang w:val="en-US" w:eastAsia="zh-CN"/>
        </w:rPr>
        <w:t>.</w:t>
      </w:r>
      <w:r>
        <w:rPr>
          <w:rFonts w:hint="eastAsia" w:cs="Times New Roman"/>
          <w:szCs w:val="32"/>
          <w:lang w:val="en-US" w:eastAsia="zh-CN"/>
        </w:rPr>
        <w:t>须有</w:t>
      </w:r>
      <w:r>
        <w:rPr>
          <w:rFonts w:hint="eastAsia" w:hAnsi="Times New Roman" w:cs="Times New Roman"/>
          <w:szCs w:val="32"/>
          <w:lang w:val="en-US" w:eastAsia="zh-CN"/>
        </w:rPr>
        <w:t>具体的工作方案，内容应详尽明确，充分体现专业化程度</w:t>
      </w:r>
      <w:r>
        <w:rPr>
          <w:rFonts w:hint="eastAsia" w:cs="Times New Roman"/>
          <w:szCs w:val="32"/>
          <w:lang w:val="en-US" w:eastAsia="zh-CN"/>
        </w:rPr>
        <w:t>，</w:t>
      </w:r>
      <w:r>
        <w:rPr>
          <w:rFonts w:hint="eastAsia" w:hAnsi="Times New Roman" w:cs="Times New Roman"/>
          <w:szCs w:val="32"/>
          <w:lang w:val="en-US" w:eastAsia="zh-CN"/>
        </w:rPr>
        <w:t>包括但不限于对本项目的认识、需重点关注的问题、人员安排、质量保障措施等内容。</w:t>
      </w:r>
    </w:p>
    <w:p w14:paraId="675B09B2">
      <w:pPr>
        <w:pStyle w:val="3"/>
        <w:spacing w:line="560" w:lineRule="exact"/>
        <w:ind w:firstLine="605"/>
        <w:rPr>
          <w:rFonts w:hint="eastAsia" w:hAnsi="Times New Roman" w:cs="Times New Roman"/>
          <w:szCs w:val="32"/>
          <w:lang w:val="en-US" w:eastAsia="zh-CN"/>
        </w:rPr>
      </w:pPr>
      <w:r>
        <w:rPr>
          <w:rFonts w:hint="eastAsia" w:cs="Times New Roman"/>
          <w:szCs w:val="32"/>
          <w:lang w:val="en-US" w:eastAsia="zh-CN"/>
        </w:rPr>
        <w:t>7</w:t>
      </w:r>
      <w:r>
        <w:rPr>
          <w:rFonts w:hint="eastAsia" w:hAnsi="Times New Roman" w:cs="Times New Roman"/>
          <w:szCs w:val="32"/>
          <w:lang w:val="en-US" w:eastAsia="zh-CN"/>
        </w:rPr>
        <w:t>.须在工作中严格遵守保密规定，不得将服务信息提供给与履行本项目无关的任何其他人，本项目保密义务的期限为永久。</w:t>
      </w:r>
    </w:p>
    <w:p w14:paraId="1F3F93F5">
      <w:pPr>
        <w:pStyle w:val="3"/>
        <w:spacing w:line="560" w:lineRule="exact"/>
        <w:ind w:firstLine="605"/>
        <w:rPr>
          <w:rFonts w:hint="default" w:cs="Times New Roman"/>
          <w:szCs w:val="32"/>
          <w:lang w:val="en-US" w:eastAsia="zh-CN"/>
        </w:rPr>
      </w:pPr>
      <w:r>
        <w:rPr>
          <w:rFonts w:hint="eastAsia" w:cs="Times New Roman"/>
          <w:szCs w:val="32"/>
          <w:lang w:val="en-US" w:eastAsia="zh-CN"/>
        </w:rPr>
        <w:t>8.在合同期内，每季度向中心发送法律服务工作明细（包括提供法律服务的律师姓名、工作时间和工作内容等）；每半年向中心出具合同审核问题工作总结；在项目执行完毕后，向中心发送年度工作总结供中心验收。</w:t>
      </w:r>
    </w:p>
    <w:p w14:paraId="35B1E566">
      <w:pPr>
        <w:pStyle w:val="3"/>
        <w:spacing w:line="560" w:lineRule="exact"/>
        <w:ind w:firstLine="605"/>
        <w:rPr>
          <w:rFonts w:hint="default" w:cs="Times New Roman"/>
          <w:szCs w:val="32"/>
          <w:lang w:val="en-US" w:eastAsia="zh-CN"/>
        </w:rPr>
      </w:pPr>
      <w:r>
        <w:rPr>
          <w:rFonts w:hint="eastAsia" w:cs="Times New Roman"/>
          <w:szCs w:val="32"/>
          <w:lang w:val="en-US" w:eastAsia="zh-CN"/>
        </w:rPr>
        <w:t>9.本项目不接受联合体投标，不得转包、分包。</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679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B6B7D">
                          <w:pPr>
                            <w:pStyle w:val="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B6B7D">
                    <w:pPr>
                      <w:pStyle w:val="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1115"/>
    <w:rsid w:val="00B5336E"/>
    <w:rsid w:val="033F7025"/>
    <w:rsid w:val="03F01582"/>
    <w:rsid w:val="04317370"/>
    <w:rsid w:val="059341B1"/>
    <w:rsid w:val="05CF3317"/>
    <w:rsid w:val="07864A64"/>
    <w:rsid w:val="08232E32"/>
    <w:rsid w:val="08C17AB7"/>
    <w:rsid w:val="09D94E35"/>
    <w:rsid w:val="0A614805"/>
    <w:rsid w:val="0A775C69"/>
    <w:rsid w:val="0B2D6259"/>
    <w:rsid w:val="0B641CFB"/>
    <w:rsid w:val="0C8A21A0"/>
    <w:rsid w:val="0D97146A"/>
    <w:rsid w:val="0EE62A65"/>
    <w:rsid w:val="0F160CE2"/>
    <w:rsid w:val="11E00A63"/>
    <w:rsid w:val="12180BBD"/>
    <w:rsid w:val="12FA6FB1"/>
    <w:rsid w:val="136B6959"/>
    <w:rsid w:val="14FB4178"/>
    <w:rsid w:val="16AD30B4"/>
    <w:rsid w:val="17D55AF9"/>
    <w:rsid w:val="17D91989"/>
    <w:rsid w:val="184C57E9"/>
    <w:rsid w:val="18671C16"/>
    <w:rsid w:val="19093B2A"/>
    <w:rsid w:val="191B4BBD"/>
    <w:rsid w:val="1A437EA3"/>
    <w:rsid w:val="1B8A1844"/>
    <w:rsid w:val="1BDD2D6F"/>
    <w:rsid w:val="1BFA7574"/>
    <w:rsid w:val="1C804A76"/>
    <w:rsid w:val="1D3462ED"/>
    <w:rsid w:val="1D703D1D"/>
    <w:rsid w:val="1E9B20C6"/>
    <w:rsid w:val="20D643EF"/>
    <w:rsid w:val="216D1B64"/>
    <w:rsid w:val="21B942D2"/>
    <w:rsid w:val="224157DF"/>
    <w:rsid w:val="22F92970"/>
    <w:rsid w:val="23C558D6"/>
    <w:rsid w:val="2411343C"/>
    <w:rsid w:val="28962DD3"/>
    <w:rsid w:val="29420991"/>
    <w:rsid w:val="2A2420B3"/>
    <w:rsid w:val="2B143BB9"/>
    <w:rsid w:val="2B84085A"/>
    <w:rsid w:val="2BBA2FF4"/>
    <w:rsid w:val="2BE82C27"/>
    <w:rsid w:val="2C9762B4"/>
    <w:rsid w:val="2CD10A17"/>
    <w:rsid w:val="2DCF3E29"/>
    <w:rsid w:val="31E83799"/>
    <w:rsid w:val="336F70E4"/>
    <w:rsid w:val="33CE18E6"/>
    <w:rsid w:val="34EE387B"/>
    <w:rsid w:val="35B47338"/>
    <w:rsid w:val="35EA4E5A"/>
    <w:rsid w:val="35FE0934"/>
    <w:rsid w:val="36BD1EDC"/>
    <w:rsid w:val="39AD25AF"/>
    <w:rsid w:val="3A6D7975"/>
    <w:rsid w:val="3AB3217D"/>
    <w:rsid w:val="3D10193C"/>
    <w:rsid w:val="3D60632F"/>
    <w:rsid w:val="3E0F0CDE"/>
    <w:rsid w:val="3EBE304C"/>
    <w:rsid w:val="41CC3DB5"/>
    <w:rsid w:val="42630560"/>
    <w:rsid w:val="4378353F"/>
    <w:rsid w:val="43856121"/>
    <w:rsid w:val="44786980"/>
    <w:rsid w:val="44923C8C"/>
    <w:rsid w:val="4506316A"/>
    <w:rsid w:val="458F3F2F"/>
    <w:rsid w:val="464C7847"/>
    <w:rsid w:val="467B6838"/>
    <w:rsid w:val="47962833"/>
    <w:rsid w:val="4AC3699E"/>
    <w:rsid w:val="4B603035"/>
    <w:rsid w:val="4BE67E16"/>
    <w:rsid w:val="4BFA5F71"/>
    <w:rsid w:val="4C2E30E8"/>
    <w:rsid w:val="4C387BBF"/>
    <w:rsid w:val="4CC81A20"/>
    <w:rsid w:val="4E7F4257"/>
    <w:rsid w:val="4E965E62"/>
    <w:rsid w:val="4F4A531F"/>
    <w:rsid w:val="5075704B"/>
    <w:rsid w:val="508F3C37"/>
    <w:rsid w:val="52A03BD4"/>
    <w:rsid w:val="53B37937"/>
    <w:rsid w:val="541561A0"/>
    <w:rsid w:val="545E17CF"/>
    <w:rsid w:val="54886DAE"/>
    <w:rsid w:val="553271D3"/>
    <w:rsid w:val="56241FDF"/>
    <w:rsid w:val="572B7227"/>
    <w:rsid w:val="573B2E2C"/>
    <w:rsid w:val="58695B19"/>
    <w:rsid w:val="58A16B4D"/>
    <w:rsid w:val="58B5300C"/>
    <w:rsid w:val="590B7824"/>
    <w:rsid w:val="595809A2"/>
    <w:rsid w:val="5B4624AD"/>
    <w:rsid w:val="5BA1231F"/>
    <w:rsid w:val="5C1A2683"/>
    <w:rsid w:val="5EA33529"/>
    <w:rsid w:val="5EE43D4B"/>
    <w:rsid w:val="5EFE2E50"/>
    <w:rsid w:val="5F2D4536"/>
    <w:rsid w:val="603749E8"/>
    <w:rsid w:val="608C1EF4"/>
    <w:rsid w:val="61A83DFE"/>
    <w:rsid w:val="61EE62B8"/>
    <w:rsid w:val="644E4B1D"/>
    <w:rsid w:val="644E7BCC"/>
    <w:rsid w:val="647D1DE9"/>
    <w:rsid w:val="65CA2E38"/>
    <w:rsid w:val="664604DB"/>
    <w:rsid w:val="680F2164"/>
    <w:rsid w:val="69FF4345"/>
    <w:rsid w:val="6A02377A"/>
    <w:rsid w:val="6DD17D62"/>
    <w:rsid w:val="6EB04EF1"/>
    <w:rsid w:val="6F141745"/>
    <w:rsid w:val="6F1C17FA"/>
    <w:rsid w:val="6FC87D72"/>
    <w:rsid w:val="70800D73"/>
    <w:rsid w:val="70BC724E"/>
    <w:rsid w:val="70CF67AD"/>
    <w:rsid w:val="714A7CE9"/>
    <w:rsid w:val="71DE745D"/>
    <w:rsid w:val="72694E43"/>
    <w:rsid w:val="726F0F4A"/>
    <w:rsid w:val="72AC6E77"/>
    <w:rsid w:val="73392261"/>
    <w:rsid w:val="74B7598C"/>
    <w:rsid w:val="74D74BBC"/>
    <w:rsid w:val="75D60362"/>
    <w:rsid w:val="77992934"/>
    <w:rsid w:val="78003CAF"/>
    <w:rsid w:val="78601BF8"/>
    <w:rsid w:val="786D349E"/>
    <w:rsid w:val="78B33DB1"/>
    <w:rsid w:val="78C965A0"/>
    <w:rsid w:val="78FA5070"/>
    <w:rsid w:val="7ABC4335"/>
    <w:rsid w:val="7B081EE9"/>
    <w:rsid w:val="7B142084"/>
    <w:rsid w:val="7B8008AE"/>
    <w:rsid w:val="7E660BF3"/>
    <w:rsid w:val="7F215521"/>
    <w:rsid w:val="7F2C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spacing w:line="360" w:lineRule="auto"/>
      <w:ind w:firstLine="560" w:firstLineChars="200"/>
      <w:outlineLvl w:val="2"/>
    </w:pPr>
    <w:rPr>
      <w:b/>
      <w:bCs/>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60" w:lineRule="exact"/>
      <w:ind w:firstLine="640" w:firstLineChars="2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2451</Words>
  <Characters>2519</Characters>
  <Lines>0</Lines>
  <Paragraphs>0</Paragraphs>
  <TotalTime>5</TotalTime>
  <ScaleCrop>false</ScaleCrop>
  <LinksUpToDate>false</LinksUpToDate>
  <CharactersWithSpaces>2519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2022-12-07T12:11:00Z</dcterms:created>
  <dc:creator>admin</dc:creator>
  <cp:lastModifiedBy>匿名用户</cp:lastModifiedBy>
  <cp:lastPrinted>2024-11-29T03:09:00Z</cp:lastPrinted>
  <dcterms:modified xsi:type="dcterms:W3CDTF">2024-12-05T01:21:54Z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6626FEA7C9DD4BB39D667E4ABA22EB65</vt:lpwstr>
  </property>
</Properties>
</file>