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B8037">
      <w:pPr>
        <w:rPr>
          <w:highlight w:val="none"/>
        </w:rPr>
      </w:pPr>
      <w:bookmarkStart w:id="18" w:name="_GoBack"/>
      <w:bookmarkEnd w:id="18"/>
    </w:p>
    <w:p w14:paraId="491DA505">
      <w:pPr>
        <w:jc w:val="center"/>
        <w:rPr>
          <w:rFonts w:ascii="宋体" w:hAnsi="宋体"/>
          <w:b/>
          <w:color w:val="000000"/>
          <w:sz w:val="72"/>
          <w:highlight w:val="none"/>
        </w:rPr>
      </w:pPr>
    </w:p>
    <w:p w14:paraId="4C8A9DD9">
      <w:pPr>
        <w:jc w:val="center"/>
        <w:rPr>
          <w:rFonts w:ascii="方正小标宋简体" w:hAnsi="宋体" w:eastAsia="方正小标宋简体"/>
          <w:color w:val="000000"/>
          <w:sz w:val="48"/>
          <w:szCs w:val="48"/>
          <w:highlight w:val="none"/>
        </w:rPr>
      </w:pPr>
      <w:r>
        <w:rPr>
          <w:rFonts w:hint="eastAsia" w:ascii="方正小标宋简体" w:hAnsi="宋体" w:eastAsia="方正小标宋简体"/>
          <w:color w:val="000000"/>
          <w:sz w:val="48"/>
          <w:szCs w:val="48"/>
          <w:highlight w:val="none"/>
          <w:lang w:val="en-US" w:eastAsia="zh-CN"/>
        </w:rPr>
        <w:t>2025世界泳联跳水世界杯总决赛（北京）</w:t>
      </w:r>
      <w:r>
        <w:rPr>
          <w:rFonts w:hint="default" w:ascii="方正小标宋简体" w:hAnsi="宋体" w:eastAsia="方正小标宋简体"/>
          <w:color w:val="000000"/>
          <w:sz w:val="48"/>
          <w:szCs w:val="48"/>
          <w:highlight w:val="none"/>
          <w:lang w:eastAsia="zh-CN"/>
        </w:rPr>
        <w:t>交通</w:t>
      </w:r>
      <w:r>
        <w:rPr>
          <w:rFonts w:hint="eastAsia" w:ascii="方正小标宋简体" w:hAnsi="宋体" w:eastAsia="方正小标宋简体"/>
          <w:color w:val="000000"/>
          <w:sz w:val="48"/>
          <w:szCs w:val="48"/>
          <w:highlight w:val="none"/>
          <w:lang w:val="en-US" w:eastAsia="zh-CN"/>
        </w:rPr>
        <w:t>服务比选文件</w:t>
      </w:r>
    </w:p>
    <w:p w14:paraId="15BB8740">
      <w:pPr>
        <w:jc w:val="center"/>
        <w:rPr>
          <w:rFonts w:ascii="宋体" w:hAnsi="宋体"/>
          <w:b/>
          <w:color w:val="000000"/>
          <w:sz w:val="72"/>
          <w:highlight w:val="none"/>
        </w:rPr>
      </w:pPr>
    </w:p>
    <w:p w14:paraId="7508CC8A">
      <w:pPr>
        <w:rPr>
          <w:rFonts w:ascii="宋体" w:hAnsi="宋体"/>
          <w:b/>
          <w:color w:val="000000"/>
          <w:spacing w:val="-10"/>
          <w:sz w:val="30"/>
          <w:szCs w:val="30"/>
          <w:highlight w:val="none"/>
        </w:rPr>
      </w:pPr>
    </w:p>
    <w:p w14:paraId="13E439AE">
      <w:pPr>
        <w:rPr>
          <w:rFonts w:ascii="宋体" w:hAnsi="宋体"/>
          <w:b/>
          <w:color w:val="000000"/>
          <w:spacing w:val="-10"/>
          <w:sz w:val="30"/>
          <w:szCs w:val="30"/>
          <w:highlight w:val="none"/>
        </w:rPr>
      </w:pPr>
    </w:p>
    <w:p w14:paraId="1BBBF049">
      <w:pPr>
        <w:rPr>
          <w:rFonts w:ascii="宋体" w:hAnsi="宋体"/>
          <w:b/>
          <w:color w:val="000000"/>
          <w:spacing w:val="-10"/>
          <w:sz w:val="30"/>
          <w:szCs w:val="30"/>
          <w:highlight w:val="none"/>
        </w:rPr>
      </w:pPr>
    </w:p>
    <w:p w14:paraId="4FE3E4F5">
      <w:pPr>
        <w:jc w:val="center"/>
        <w:rPr>
          <w:rFonts w:hint="eastAsia" w:ascii="宋体" w:hAnsi="宋体" w:eastAsia="宋体"/>
          <w:b/>
          <w:color w:val="000000"/>
          <w:spacing w:val="-10"/>
          <w:sz w:val="28"/>
          <w:szCs w:val="28"/>
          <w:highlight w:val="none"/>
          <w:lang w:eastAsia="zh-CN"/>
        </w:rPr>
      </w:pPr>
      <w:r>
        <w:rPr>
          <w:rFonts w:hint="eastAsia" w:ascii="宋体" w:hAnsi="宋体"/>
          <w:b/>
          <w:color w:val="000000"/>
          <w:spacing w:val="-10"/>
          <w:sz w:val="28"/>
          <w:szCs w:val="28"/>
          <w:highlight w:val="none"/>
        </w:rPr>
        <w:t>项目名称：2025世界泳联跳水世界杯总决赛（北京）</w:t>
      </w:r>
    </w:p>
    <w:p w14:paraId="60965189">
      <w:pPr>
        <w:jc w:val="center"/>
        <w:rPr>
          <w:rFonts w:hint="default" w:ascii="宋体" w:hAnsi="宋体"/>
          <w:b/>
          <w:color w:val="000000"/>
          <w:spacing w:val="-6"/>
          <w:sz w:val="28"/>
          <w:szCs w:val="28"/>
          <w:highlight w:val="none"/>
        </w:rPr>
      </w:pPr>
      <w:r>
        <w:rPr>
          <w:rFonts w:hint="default" w:ascii="宋体" w:hAnsi="宋体"/>
          <w:b/>
          <w:color w:val="000000"/>
          <w:spacing w:val="-10"/>
          <w:sz w:val="28"/>
          <w:szCs w:val="28"/>
          <w:highlight w:val="none"/>
        </w:rPr>
        <w:t>交通</w:t>
      </w:r>
      <w:r>
        <w:rPr>
          <w:rFonts w:hint="eastAsia" w:ascii="宋体" w:hAnsi="宋体"/>
          <w:b/>
          <w:color w:val="000000"/>
          <w:spacing w:val="-10"/>
          <w:sz w:val="28"/>
          <w:szCs w:val="28"/>
          <w:highlight w:val="none"/>
        </w:rPr>
        <w:t>服务</w:t>
      </w:r>
      <w:r>
        <w:rPr>
          <w:rFonts w:hint="eastAsia" w:ascii="宋体" w:hAnsi="宋体"/>
          <w:b/>
          <w:color w:val="000000"/>
          <w:spacing w:val="-10"/>
          <w:sz w:val="28"/>
          <w:szCs w:val="28"/>
          <w:highlight w:val="none"/>
          <w:lang w:val="en-US" w:eastAsia="zh-CN"/>
        </w:rPr>
        <w:t>比</w:t>
      </w:r>
      <w:r>
        <w:rPr>
          <w:rFonts w:hint="default" w:ascii="宋体" w:hAnsi="宋体"/>
          <w:b/>
          <w:color w:val="000000"/>
          <w:spacing w:val="-10"/>
          <w:sz w:val="28"/>
          <w:szCs w:val="28"/>
          <w:highlight w:val="none"/>
        </w:rPr>
        <w:t>选文件</w:t>
      </w:r>
    </w:p>
    <w:p w14:paraId="6E9778A2">
      <w:pPr>
        <w:ind w:firstLine="673" w:firstLineChars="250"/>
        <w:rPr>
          <w:rFonts w:ascii="宋体" w:hAnsi="宋体"/>
          <w:b/>
          <w:color w:val="000000"/>
          <w:spacing w:val="-6"/>
          <w:sz w:val="28"/>
          <w:szCs w:val="28"/>
          <w:highlight w:val="none"/>
        </w:rPr>
      </w:pPr>
    </w:p>
    <w:p w14:paraId="07BA80EE">
      <w:pPr>
        <w:ind w:firstLine="673" w:firstLineChars="250"/>
        <w:rPr>
          <w:rFonts w:ascii="宋体" w:hAnsi="宋体"/>
          <w:b/>
          <w:color w:val="000000"/>
          <w:spacing w:val="-6"/>
          <w:sz w:val="28"/>
          <w:szCs w:val="28"/>
          <w:highlight w:val="none"/>
        </w:rPr>
      </w:pPr>
    </w:p>
    <w:p w14:paraId="109D25B2">
      <w:pPr>
        <w:ind w:firstLine="673" w:firstLineChars="250"/>
        <w:rPr>
          <w:rFonts w:ascii="宋体" w:hAnsi="宋体"/>
          <w:b/>
          <w:color w:val="000000"/>
          <w:spacing w:val="-6"/>
          <w:sz w:val="28"/>
          <w:szCs w:val="28"/>
          <w:highlight w:val="none"/>
        </w:rPr>
      </w:pPr>
    </w:p>
    <w:p w14:paraId="4F189342">
      <w:pPr>
        <w:jc w:val="center"/>
        <w:rPr>
          <w:rFonts w:ascii="宋体" w:hAnsi="宋体"/>
          <w:b/>
          <w:color w:val="000000"/>
          <w:sz w:val="28"/>
          <w:szCs w:val="28"/>
          <w:highlight w:val="none"/>
        </w:rPr>
      </w:pPr>
      <w:r>
        <w:rPr>
          <w:rFonts w:hint="eastAsia" w:ascii="宋体" w:hAnsi="宋体"/>
          <w:b/>
          <w:color w:val="000000"/>
          <w:sz w:val="28"/>
          <w:szCs w:val="28"/>
          <w:highlight w:val="none"/>
        </w:rPr>
        <w:t>2025世界泳联跳水世界杯总决赛（北京）组织委员会</w:t>
      </w:r>
    </w:p>
    <w:p w14:paraId="03A770F6">
      <w:pPr>
        <w:jc w:val="center"/>
        <w:rPr>
          <w:rFonts w:hint="eastAsia" w:ascii="宋体" w:hAnsi="宋体"/>
          <w:b/>
          <w:color w:val="000000"/>
          <w:sz w:val="28"/>
          <w:szCs w:val="28"/>
          <w:highlight w:val="none"/>
        </w:rPr>
        <w:sectPr>
          <w:footerReference r:id="rId3" w:type="default"/>
          <w:pgSz w:w="11906" w:h="16838"/>
          <w:pgMar w:top="2098" w:right="1474" w:bottom="1984" w:left="1588" w:header="851" w:footer="992" w:gutter="0"/>
          <w:pgNumType w:fmt="numberInDash" w:start="1"/>
          <w:cols w:space="720" w:num="1"/>
          <w:docGrid w:type="lines" w:linePitch="312" w:charSpace="0"/>
        </w:sectPr>
      </w:pPr>
      <w:r>
        <w:rPr>
          <w:rFonts w:ascii="宋体" w:hAnsi="宋体"/>
          <w:b/>
          <w:color w:val="000000"/>
          <w:sz w:val="28"/>
          <w:szCs w:val="28"/>
          <w:highlight w:val="none"/>
        </w:rPr>
        <w:t>202</w:t>
      </w:r>
      <w:r>
        <w:rPr>
          <w:rFonts w:hint="eastAsia" w:ascii="宋体" w:hAnsi="宋体"/>
          <w:b/>
          <w:color w:val="000000"/>
          <w:sz w:val="28"/>
          <w:szCs w:val="28"/>
          <w:highlight w:val="none"/>
          <w:lang w:val="en-US" w:eastAsia="zh-CN"/>
        </w:rPr>
        <w:t>5</w:t>
      </w:r>
      <w:r>
        <w:rPr>
          <w:rFonts w:hint="eastAsia" w:ascii="宋体" w:hAnsi="宋体"/>
          <w:b/>
          <w:color w:val="000000"/>
          <w:sz w:val="28"/>
          <w:szCs w:val="28"/>
          <w:highlight w:val="none"/>
        </w:rPr>
        <w:t>年</w:t>
      </w:r>
      <w:r>
        <w:rPr>
          <w:rFonts w:hint="eastAsia" w:ascii="宋体" w:hAnsi="宋体"/>
          <w:b/>
          <w:color w:val="000000"/>
          <w:sz w:val="28"/>
          <w:szCs w:val="28"/>
          <w:highlight w:val="none"/>
          <w:lang w:val="en-US" w:eastAsia="zh-CN"/>
        </w:rPr>
        <w:t>4</w:t>
      </w:r>
      <w:r>
        <w:rPr>
          <w:rFonts w:hint="eastAsia" w:ascii="宋体" w:hAnsi="宋体"/>
          <w:b/>
          <w:color w:val="000000"/>
          <w:sz w:val="28"/>
          <w:szCs w:val="28"/>
          <w:highlight w:val="none"/>
        </w:rPr>
        <w:t>月</w:t>
      </w:r>
    </w:p>
    <w:p w14:paraId="1A8CA12A">
      <w:pPr>
        <w:pStyle w:val="3"/>
        <w:keepNext w:val="0"/>
        <w:keepLines w:val="0"/>
        <w:pageBreakBefore w:val="0"/>
        <w:numPr>
          <w:ilvl w:val="0"/>
          <w:numId w:val="0"/>
        </w:numPr>
        <w:kinsoku/>
        <w:wordWrap/>
        <w:overflowPunct/>
        <w:topLinePunct w:val="0"/>
        <w:autoSpaceDE/>
        <w:autoSpaceDN/>
        <w:bidi w:val="0"/>
        <w:adjustRightInd/>
        <w:snapToGrid w:val="0"/>
        <w:spacing w:before="80" w:beforeAutospacing="0" w:after="0" w:afterAutospacing="0" w:line="400" w:lineRule="exact"/>
        <w:ind w:firstLine="2880" w:firstLineChars="900"/>
        <w:jc w:val="both"/>
        <w:textAlignment w:val="auto"/>
        <w:rPr>
          <w:highlight w:val="none"/>
        </w:rPr>
      </w:pPr>
      <w:bookmarkStart w:id="0" w:name="_Toc31472"/>
      <w:r>
        <w:rPr>
          <w:rFonts w:hint="eastAsia" w:ascii="黑体" w:hAnsi="黑体" w:eastAsia="黑体"/>
          <w:b w:val="0"/>
          <w:bCs w:val="0"/>
          <w:kern w:val="2"/>
          <w:sz w:val="32"/>
          <w:szCs w:val="32"/>
          <w:highlight w:val="none"/>
          <w:lang w:val="en-US"/>
        </w:rPr>
        <w:t>第一部分  比选邀请书</w:t>
      </w:r>
      <w:bookmarkEnd w:id="0"/>
    </w:p>
    <w:p w14:paraId="362231E3">
      <w:pPr>
        <w:keepNext w:val="0"/>
        <w:keepLines w:val="0"/>
        <w:pageBreakBefore w:val="0"/>
        <w:kinsoku/>
        <w:wordWrap/>
        <w:overflowPunct/>
        <w:topLinePunct w:val="0"/>
        <w:autoSpaceDE/>
        <w:autoSpaceDN/>
        <w:bidi w:val="0"/>
        <w:adjustRightInd/>
        <w:spacing w:before="80" w:beforeAutospacing="0" w:afterAutospacing="0" w:line="400" w:lineRule="exact"/>
        <w:ind w:left="0" w:leftChars="0" w:firstLine="0" w:firstLineChars="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根据</w:t>
      </w:r>
      <w:r>
        <w:rPr>
          <w:rFonts w:hint="eastAsia" w:ascii="仿宋_GB2312" w:hAnsi="仿宋_GB2312" w:eastAsia="仿宋_GB2312" w:cs="仿宋_GB2312"/>
          <w:color w:val="000000"/>
          <w:sz w:val="24"/>
          <w:szCs w:val="24"/>
          <w:highlight w:val="none"/>
          <w:lang w:eastAsia="zh-CN"/>
        </w:rPr>
        <w:t>2025世界泳联跳水世界杯总决赛（北京）</w:t>
      </w:r>
      <w:r>
        <w:rPr>
          <w:rFonts w:hint="eastAsia" w:ascii="仿宋_GB2312" w:hAnsi="仿宋_GB2312" w:eastAsia="仿宋_GB2312" w:cs="仿宋_GB2312"/>
          <w:color w:val="000000"/>
          <w:sz w:val="24"/>
          <w:szCs w:val="24"/>
          <w:highlight w:val="none"/>
          <w:lang w:val="en-US" w:eastAsia="zh-CN"/>
        </w:rPr>
        <w:t>赛事</w:t>
      </w:r>
      <w:r>
        <w:rPr>
          <w:rFonts w:hint="eastAsia" w:ascii="仿宋_GB2312" w:hAnsi="仿宋_GB2312" w:eastAsia="仿宋_GB2312" w:cs="仿宋_GB2312"/>
          <w:color w:val="000000"/>
          <w:sz w:val="24"/>
          <w:szCs w:val="24"/>
          <w:highlight w:val="none"/>
        </w:rPr>
        <w:t>工作计划安排，对</w:t>
      </w:r>
      <w:r>
        <w:rPr>
          <w:rFonts w:hint="eastAsia" w:ascii="仿宋_GB2312" w:hAnsi="仿宋_GB2312" w:eastAsia="仿宋_GB2312" w:cs="仿宋_GB2312"/>
          <w:color w:val="000000"/>
          <w:sz w:val="24"/>
          <w:szCs w:val="24"/>
          <w:highlight w:val="none"/>
          <w:lang w:val="en-US" w:eastAsia="zh-CN"/>
        </w:rPr>
        <w:t>交通服务</w:t>
      </w:r>
      <w:r>
        <w:rPr>
          <w:rFonts w:hint="eastAsia" w:ascii="仿宋_GB2312" w:hAnsi="仿宋_GB2312" w:eastAsia="仿宋_GB2312" w:cs="仿宋_GB2312"/>
          <w:color w:val="000000"/>
          <w:sz w:val="24"/>
          <w:szCs w:val="24"/>
          <w:highlight w:val="none"/>
        </w:rPr>
        <w:t>进行比选采购。</w:t>
      </w:r>
    </w:p>
    <w:p w14:paraId="3FE93CA3">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一、项目名称：</w:t>
      </w:r>
      <w:r>
        <w:rPr>
          <w:rFonts w:hint="eastAsia" w:ascii="仿宋_GB2312" w:hAnsi="仿宋_GB2312" w:eastAsia="仿宋_GB2312" w:cs="仿宋_GB2312"/>
          <w:color w:val="000000"/>
          <w:sz w:val="24"/>
          <w:szCs w:val="24"/>
          <w:highlight w:val="none"/>
          <w:lang w:eastAsia="zh-CN"/>
        </w:rPr>
        <w:t>2025世界泳联跳水世界杯总决赛（北京）交通服务</w:t>
      </w:r>
    </w:p>
    <w:p w14:paraId="051E7FAF">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二、项目内容：为参加</w:t>
      </w:r>
      <w:r>
        <w:rPr>
          <w:rFonts w:hint="eastAsia" w:ascii="仿宋_GB2312" w:hAnsi="仿宋_GB2312" w:eastAsia="仿宋_GB2312" w:cs="仿宋_GB2312"/>
          <w:color w:val="000000"/>
          <w:sz w:val="24"/>
          <w:szCs w:val="24"/>
          <w:highlight w:val="none"/>
          <w:lang w:eastAsia="zh-CN"/>
        </w:rPr>
        <w:t>2025世界泳联跳水世界杯总决赛（北京）</w:t>
      </w:r>
      <w:r>
        <w:rPr>
          <w:rFonts w:hint="eastAsia" w:ascii="仿宋_GB2312" w:hAnsi="仿宋_GB2312" w:eastAsia="仿宋_GB2312" w:cs="仿宋_GB2312"/>
          <w:color w:val="000000"/>
          <w:sz w:val="24"/>
          <w:szCs w:val="24"/>
          <w:highlight w:val="none"/>
        </w:rPr>
        <w:t>的</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rPr>
        <w:t>联官员、运动员、随队人员、媒体等赛事相关人员制定专属</w:t>
      </w:r>
      <w:r>
        <w:rPr>
          <w:rFonts w:hint="eastAsia" w:ascii="仿宋_GB2312" w:hAnsi="仿宋_GB2312" w:eastAsia="仿宋_GB2312" w:cs="仿宋_GB2312"/>
          <w:color w:val="000000"/>
          <w:sz w:val="24"/>
          <w:szCs w:val="24"/>
          <w:highlight w:val="none"/>
          <w:lang w:eastAsia="zh-CN"/>
        </w:rPr>
        <w:t>交通服务</w:t>
      </w:r>
      <w:r>
        <w:rPr>
          <w:rFonts w:hint="eastAsia" w:ascii="仿宋_GB2312" w:hAnsi="仿宋_GB2312" w:eastAsia="仿宋_GB2312" w:cs="仿宋_GB2312"/>
          <w:color w:val="000000"/>
          <w:sz w:val="24"/>
          <w:szCs w:val="24"/>
          <w:highlight w:val="none"/>
        </w:rPr>
        <w:t>方案，为赛事提供接送机、班车、专车等车辆保障服务，</w:t>
      </w:r>
      <w:r>
        <w:rPr>
          <w:rFonts w:hint="eastAsia" w:ascii="仿宋_GB2312" w:hAnsi="仿宋_GB2312" w:eastAsia="仿宋_GB2312" w:cs="仿宋_GB2312"/>
          <w:color w:val="000000"/>
          <w:sz w:val="24"/>
          <w:szCs w:val="24"/>
          <w:highlight w:val="none"/>
          <w:lang w:val="en-US" w:eastAsia="zh-CN"/>
        </w:rPr>
        <w:t>预计接待人数400人</w:t>
      </w:r>
      <w:r>
        <w:rPr>
          <w:rFonts w:hint="eastAsia" w:ascii="仿宋_GB2312" w:hAnsi="仿宋_GB2312" w:eastAsia="仿宋_GB2312" w:cs="仿宋_GB2312"/>
          <w:color w:val="000000"/>
          <w:sz w:val="24"/>
          <w:szCs w:val="24"/>
          <w:highlight w:val="none"/>
        </w:rPr>
        <w:t>。</w:t>
      </w:r>
    </w:p>
    <w:p w14:paraId="10251A6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三、采购方式：公开比选</w:t>
      </w:r>
    </w:p>
    <w:p w14:paraId="13A4C29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四、预算金额: 项目预算约</w:t>
      </w:r>
      <w:r>
        <w:rPr>
          <w:rFonts w:hint="eastAsia" w:ascii="仿宋_GB2312" w:hAnsi="仿宋_GB2312" w:eastAsia="仿宋_GB2312" w:cs="仿宋_GB2312"/>
          <w:color w:val="000000"/>
          <w:sz w:val="24"/>
          <w:szCs w:val="24"/>
          <w:highlight w:val="none"/>
          <w:lang w:val="en-US" w:eastAsia="zh-CN"/>
        </w:rPr>
        <w:t>196500</w:t>
      </w:r>
      <w:r>
        <w:rPr>
          <w:rFonts w:hint="eastAsia" w:ascii="仿宋_GB2312" w:hAnsi="仿宋_GB2312" w:eastAsia="仿宋_GB2312" w:cs="仿宋_GB2312"/>
          <w:color w:val="000000"/>
          <w:sz w:val="24"/>
          <w:szCs w:val="24"/>
          <w:highlight w:val="none"/>
        </w:rPr>
        <w:t>元，实际金额以财政评审为准</w:t>
      </w:r>
    </w:p>
    <w:p w14:paraId="00ADB39C">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五、项目实施地点：</w:t>
      </w:r>
      <w:r>
        <w:rPr>
          <w:rFonts w:hint="eastAsia" w:ascii="仿宋_GB2312" w:hAnsi="仿宋_GB2312" w:eastAsia="仿宋_GB2312" w:cs="仿宋_GB2312"/>
          <w:color w:val="000000"/>
          <w:sz w:val="24"/>
          <w:szCs w:val="24"/>
          <w:highlight w:val="none"/>
          <w:lang w:val="en-US" w:eastAsia="zh-CN"/>
        </w:rPr>
        <w:t>2025世界泳联跳水世界杯总决赛（北京）</w:t>
      </w:r>
    </w:p>
    <w:p w14:paraId="03572C89">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赛事地点：国家游泳中心   </w:t>
      </w:r>
    </w:p>
    <w:p w14:paraId="152EA716">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赛事时间：2025年5月2-4日</w:t>
      </w:r>
    </w:p>
    <w:p w14:paraId="470F092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六、比选地点：北京市体育竞赛管理和国际交流中心会议室</w:t>
      </w:r>
    </w:p>
    <w:p w14:paraId="7E1BE7FB">
      <w:pPr>
        <w:adjustRightInd w:val="0"/>
        <w:snapToGrid w:val="0"/>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七、比选时间：202</w:t>
      </w: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11</w:t>
      </w:r>
      <w:r>
        <w:rPr>
          <w:rFonts w:hint="eastAsia" w:ascii="仿宋_GB2312" w:hAnsi="仿宋_GB2312" w:eastAsia="仿宋_GB2312" w:cs="仿宋_GB2312"/>
          <w:color w:val="000000"/>
          <w:sz w:val="24"/>
          <w:highlight w:val="none"/>
        </w:rPr>
        <w:t>日</w:t>
      </w:r>
    </w:p>
    <w:p w14:paraId="104051B3">
      <w:pPr>
        <w:adjustRightInd w:val="0"/>
        <w:snapToGrid w:val="0"/>
        <w:spacing w:line="400" w:lineRule="exact"/>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八、接受比选文件时间：</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7</w:t>
      </w:r>
      <w:r>
        <w:rPr>
          <w:rFonts w:hint="eastAsia" w:ascii="仿宋_GB2312" w:hAnsi="仿宋_GB2312" w:eastAsia="仿宋_GB2312" w:cs="仿宋_GB2312"/>
          <w:color w:val="000000"/>
          <w:sz w:val="24"/>
          <w:highlight w:val="none"/>
        </w:rPr>
        <w:t>日-</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11</w:t>
      </w:r>
      <w:r>
        <w:rPr>
          <w:rFonts w:hint="eastAsia" w:ascii="仿宋_GB2312" w:hAnsi="仿宋_GB2312" w:eastAsia="仿宋_GB2312" w:cs="仿宋_GB2312"/>
          <w:color w:val="000000"/>
          <w:sz w:val="24"/>
          <w:highlight w:val="none"/>
        </w:rPr>
        <w:t>日</w:t>
      </w:r>
    </w:p>
    <w:p w14:paraId="65D4905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九、提交比选文件地点：北京市西城区先农坛体育场</w:t>
      </w:r>
      <w:r>
        <w:rPr>
          <w:rFonts w:hint="eastAsia" w:ascii="仿宋_GB2312" w:hAnsi="仿宋_GB2312" w:eastAsia="仿宋_GB2312" w:cs="仿宋_GB2312"/>
          <w:color w:val="000000"/>
          <w:sz w:val="24"/>
          <w:szCs w:val="24"/>
          <w:highlight w:val="none"/>
          <w:lang w:eastAsia="zh-CN"/>
        </w:rPr>
        <w:t>2号楼</w:t>
      </w:r>
      <w:r>
        <w:rPr>
          <w:rFonts w:hint="eastAsia" w:ascii="仿宋_GB2312" w:hAnsi="仿宋_GB2312" w:eastAsia="仿宋_GB2312" w:cs="仿宋_GB2312"/>
          <w:color w:val="000000"/>
          <w:sz w:val="24"/>
          <w:szCs w:val="24"/>
          <w:highlight w:val="none"/>
          <w:lang w:val="en-US" w:eastAsia="zh-CN"/>
        </w:rPr>
        <w:t>412</w:t>
      </w:r>
    </w:p>
    <w:p w14:paraId="642F62F3">
      <w:pPr>
        <w:adjustRightInd w:val="0"/>
        <w:snapToGrid w:val="0"/>
        <w:spacing w:line="400" w:lineRule="exact"/>
        <w:ind w:left="0" w:leftChars="0" w:firstLine="480" w:firstLineChars="20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十、联系人：</w:t>
      </w:r>
      <w:r>
        <w:rPr>
          <w:rFonts w:hint="eastAsia" w:ascii="仿宋_GB2312" w:hAnsi="仿宋_GB2312" w:eastAsia="仿宋_GB2312" w:cs="仿宋_GB2312"/>
          <w:color w:val="000000"/>
          <w:sz w:val="24"/>
          <w:szCs w:val="24"/>
          <w:highlight w:val="none"/>
          <w:lang w:val="en-US" w:eastAsia="zh-CN"/>
        </w:rPr>
        <w:t>马可</w:t>
      </w:r>
      <w:r>
        <w:rPr>
          <w:rFonts w:hint="eastAsia" w:ascii="仿宋_GB2312" w:hAnsi="仿宋_GB2312" w:eastAsia="仿宋_GB2312" w:cs="仿宋_GB2312"/>
          <w:color w:val="000000"/>
          <w:sz w:val="24"/>
          <w:szCs w:val="24"/>
          <w:highlight w:val="none"/>
        </w:rPr>
        <w:t>；联系电话：</w:t>
      </w:r>
      <w:r>
        <w:rPr>
          <w:rFonts w:hint="eastAsia" w:ascii="仿宋_GB2312" w:hAnsi="仿宋_GB2312" w:eastAsia="仿宋_GB2312" w:cs="仿宋_GB2312"/>
          <w:color w:val="000000"/>
          <w:sz w:val="24"/>
          <w:szCs w:val="24"/>
          <w:highlight w:val="none"/>
          <w:lang w:val="en-US" w:eastAsia="zh-CN"/>
        </w:rPr>
        <w:t>13581813159</w:t>
      </w:r>
    </w:p>
    <w:p w14:paraId="70DD82D6">
      <w:pPr>
        <w:adjustRightInd w:val="0"/>
        <w:snapToGrid w:val="0"/>
        <w:spacing w:line="520" w:lineRule="exact"/>
        <w:ind w:firstLine="480" w:firstLineChars="200"/>
        <w:rPr>
          <w:rFonts w:hint="eastAsia" w:asciiTheme="minorEastAsia" w:hAnsiTheme="minorEastAsia" w:eastAsiaTheme="minorEastAsia" w:cstheme="minorEastAsia"/>
          <w:color w:val="000000"/>
          <w:sz w:val="24"/>
          <w:szCs w:val="24"/>
          <w:highlight w:val="none"/>
        </w:rPr>
      </w:pPr>
    </w:p>
    <w:p w14:paraId="0F524CEF">
      <w:pPr>
        <w:adjustRightInd w:val="0"/>
        <w:snapToGrid w:val="0"/>
        <w:spacing w:line="600" w:lineRule="exact"/>
        <w:ind w:firstLine="2168" w:firstLineChars="900"/>
        <w:jc w:val="both"/>
        <w:rPr>
          <w:rFonts w:hint="eastAsia" w:asciiTheme="minorEastAsia" w:hAnsiTheme="minorEastAsia" w:eastAsiaTheme="minorEastAsia" w:cstheme="minorEastAsia"/>
          <w:b/>
          <w:bCs/>
          <w:sz w:val="24"/>
          <w:szCs w:val="24"/>
          <w:highlight w:val="none"/>
        </w:rPr>
      </w:pPr>
    </w:p>
    <w:p w14:paraId="4A775641">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1EF51ABD">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5CC34A34">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140C2D05">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532E0C8B">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BDB3518">
      <w:pPr>
        <w:pStyle w:val="3"/>
        <w:keepNext w:val="0"/>
        <w:keepLines w:val="0"/>
        <w:pageBreakBefore w:val="0"/>
        <w:numPr>
          <w:ilvl w:val="0"/>
          <w:numId w:val="0"/>
        </w:numPr>
        <w:kinsoku/>
        <w:wordWrap/>
        <w:overflowPunct/>
        <w:topLinePunct w:val="0"/>
        <w:autoSpaceDE/>
        <w:autoSpaceDN/>
        <w:bidi w:val="0"/>
        <w:adjustRightInd/>
        <w:snapToGrid w:val="0"/>
        <w:spacing w:before="80" w:beforeAutospacing="0" w:after="0" w:afterAutospacing="0" w:line="400" w:lineRule="exact"/>
        <w:ind w:firstLine="2880" w:firstLineChars="900"/>
        <w:jc w:val="both"/>
        <w:textAlignment w:val="auto"/>
        <w:rPr>
          <w:rFonts w:hint="eastAsia" w:ascii="黑体" w:hAnsi="黑体" w:eastAsia="黑体"/>
          <w:b w:val="0"/>
          <w:bCs w:val="0"/>
          <w:kern w:val="2"/>
          <w:sz w:val="32"/>
          <w:szCs w:val="32"/>
          <w:highlight w:val="none"/>
          <w:lang w:val="en-US"/>
        </w:rPr>
      </w:pPr>
      <w:r>
        <w:rPr>
          <w:rFonts w:hint="eastAsia" w:ascii="宋体" w:hAnsi="宋体" w:eastAsia="宋体" w:cs="宋体"/>
          <w:b w:val="0"/>
          <w:bCs w:val="0"/>
          <w:sz w:val="32"/>
          <w:szCs w:val="32"/>
          <w:highlight w:val="none"/>
        </w:rPr>
        <w:t xml:space="preserve"> </w:t>
      </w:r>
      <w:r>
        <w:rPr>
          <w:rFonts w:hint="eastAsia" w:ascii="黑体" w:hAnsi="黑体" w:eastAsia="黑体" w:cs="黑体"/>
          <w:b w:val="0"/>
          <w:bCs w:val="0"/>
          <w:sz w:val="32"/>
          <w:szCs w:val="32"/>
          <w:highlight w:val="none"/>
          <w:lang w:val="en-US" w:eastAsia="zh-CN"/>
        </w:rPr>
        <w:t xml:space="preserve">第二部分  </w:t>
      </w:r>
      <w:r>
        <w:rPr>
          <w:rFonts w:hint="eastAsia" w:ascii="黑体" w:hAnsi="黑体" w:eastAsia="黑体" w:cs="黑体"/>
          <w:b w:val="0"/>
          <w:bCs w:val="0"/>
          <w:kern w:val="2"/>
          <w:sz w:val="32"/>
          <w:szCs w:val="32"/>
          <w:highlight w:val="none"/>
          <w:lang w:val="en-US"/>
        </w:rPr>
        <w:t>比</w:t>
      </w:r>
      <w:r>
        <w:rPr>
          <w:rFonts w:hint="eastAsia" w:ascii="黑体" w:hAnsi="黑体" w:eastAsia="黑体"/>
          <w:b w:val="0"/>
          <w:bCs w:val="0"/>
          <w:kern w:val="2"/>
          <w:sz w:val="32"/>
          <w:szCs w:val="32"/>
          <w:highlight w:val="none"/>
          <w:lang w:val="en-US"/>
        </w:rPr>
        <w:t>选须知</w:t>
      </w:r>
    </w:p>
    <w:p w14:paraId="71C7971B">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一、项目简介</w:t>
      </w:r>
    </w:p>
    <w:p w14:paraId="4FB7AA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1.采购人：2025世界泳联跳水世界杯总决赛（北京）组织委员会</w:t>
      </w:r>
    </w:p>
    <w:p w14:paraId="42F5BE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.项目名称：2025世界泳联跳水世界杯总决赛（北京）</w:t>
      </w:r>
      <w:r>
        <w:rPr>
          <w:rFonts w:hint="eastAsia" w:ascii="仿宋_GB2312" w:hAnsi="仿宋_GB2312" w:eastAsia="仿宋_GB2312" w:cs="仿宋_GB2312"/>
          <w:color w:val="000000"/>
          <w:sz w:val="24"/>
          <w:szCs w:val="24"/>
          <w:highlight w:val="none"/>
          <w:lang w:eastAsia="zh-CN"/>
        </w:rPr>
        <w:t>交通服务</w:t>
      </w:r>
    </w:p>
    <w:p w14:paraId="75C564A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.项目内容：为参加2025世界泳联跳水世界杯总决赛（北京）的</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rPr>
        <w:t>联官员、运动员、随队人员、媒体等赛事相关人员制定专属</w:t>
      </w:r>
      <w:r>
        <w:rPr>
          <w:rFonts w:hint="eastAsia" w:ascii="仿宋_GB2312" w:hAnsi="仿宋_GB2312" w:eastAsia="仿宋_GB2312" w:cs="仿宋_GB2312"/>
          <w:color w:val="000000"/>
          <w:sz w:val="24"/>
          <w:szCs w:val="24"/>
          <w:highlight w:val="none"/>
          <w:lang w:eastAsia="zh-CN"/>
        </w:rPr>
        <w:t>交通服务</w:t>
      </w:r>
      <w:r>
        <w:rPr>
          <w:rFonts w:hint="eastAsia" w:ascii="仿宋_GB2312" w:hAnsi="仿宋_GB2312" w:eastAsia="仿宋_GB2312" w:cs="仿宋_GB2312"/>
          <w:color w:val="000000"/>
          <w:sz w:val="24"/>
          <w:szCs w:val="24"/>
          <w:highlight w:val="none"/>
        </w:rPr>
        <w:t>方案，为赛事提供接送机、班车、专车等车辆保障服务，</w:t>
      </w:r>
      <w:r>
        <w:rPr>
          <w:rFonts w:hint="eastAsia" w:ascii="仿宋_GB2312" w:hAnsi="仿宋_GB2312" w:eastAsia="仿宋_GB2312" w:cs="仿宋_GB2312"/>
          <w:color w:val="000000"/>
          <w:sz w:val="24"/>
          <w:szCs w:val="24"/>
          <w:highlight w:val="none"/>
          <w:lang w:val="en-US" w:eastAsia="zh-CN"/>
        </w:rPr>
        <w:t>预计接待人数400人</w:t>
      </w:r>
      <w:r>
        <w:rPr>
          <w:rFonts w:hint="eastAsia" w:ascii="仿宋_GB2312" w:hAnsi="仿宋_GB2312" w:eastAsia="仿宋_GB2312" w:cs="仿宋_GB2312"/>
          <w:color w:val="000000"/>
          <w:sz w:val="24"/>
          <w:szCs w:val="24"/>
          <w:highlight w:val="none"/>
        </w:rPr>
        <w:t>。</w:t>
      </w:r>
    </w:p>
    <w:p w14:paraId="1D6C895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.采购方式：公开比选</w:t>
      </w:r>
    </w:p>
    <w:p w14:paraId="14639A8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预算金额:项目预算约</w:t>
      </w:r>
      <w:r>
        <w:rPr>
          <w:rFonts w:hint="eastAsia" w:ascii="仿宋_GB2312" w:hAnsi="仿宋_GB2312" w:eastAsia="仿宋_GB2312" w:cs="仿宋_GB2312"/>
          <w:color w:val="000000"/>
          <w:sz w:val="24"/>
          <w:szCs w:val="24"/>
          <w:highlight w:val="none"/>
          <w:lang w:val="en-US" w:eastAsia="zh-CN"/>
        </w:rPr>
        <w:t>196500</w:t>
      </w:r>
      <w:r>
        <w:rPr>
          <w:rFonts w:hint="eastAsia" w:ascii="仿宋_GB2312" w:hAnsi="仿宋_GB2312" w:eastAsia="仿宋_GB2312" w:cs="仿宋_GB2312"/>
          <w:color w:val="000000"/>
          <w:sz w:val="24"/>
          <w:szCs w:val="24"/>
          <w:highlight w:val="none"/>
        </w:rPr>
        <w:t>元，实际金额以财政评审</w:t>
      </w:r>
      <w:r>
        <w:rPr>
          <w:rFonts w:hint="eastAsia" w:ascii="仿宋_GB2312" w:hAnsi="仿宋_GB2312" w:eastAsia="仿宋_GB2312" w:cs="仿宋_GB2312"/>
          <w:color w:val="000000"/>
          <w:sz w:val="24"/>
          <w:szCs w:val="24"/>
          <w:highlight w:val="none"/>
          <w:lang w:val="en-US" w:eastAsia="zh-CN"/>
        </w:rPr>
        <w:t>结果</w:t>
      </w:r>
      <w:r>
        <w:rPr>
          <w:rFonts w:hint="eastAsia" w:ascii="仿宋_GB2312" w:hAnsi="仿宋_GB2312" w:eastAsia="仿宋_GB2312" w:cs="仿宋_GB2312"/>
          <w:color w:val="000000"/>
          <w:sz w:val="24"/>
          <w:szCs w:val="24"/>
          <w:highlight w:val="none"/>
        </w:rPr>
        <w:t>为准</w:t>
      </w:r>
    </w:p>
    <w:p w14:paraId="4820BF92">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6.</w:t>
      </w:r>
      <w:r>
        <w:rPr>
          <w:rFonts w:hint="eastAsia" w:ascii="仿宋_GB2312" w:hAnsi="仿宋_GB2312" w:eastAsia="仿宋_GB2312" w:cs="仿宋_GB2312"/>
          <w:color w:val="000000"/>
          <w:sz w:val="24"/>
          <w:szCs w:val="24"/>
          <w:highlight w:val="none"/>
        </w:rPr>
        <w:t>项目实施地点：2025世界泳联跳水世界杯总决赛（北京）</w:t>
      </w:r>
      <w:r>
        <w:rPr>
          <w:rFonts w:hint="eastAsia" w:ascii="仿宋_GB2312" w:hAnsi="仿宋_GB2312" w:eastAsia="仿宋_GB2312" w:cs="仿宋_GB2312"/>
          <w:color w:val="000000"/>
          <w:sz w:val="24"/>
          <w:szCs w:val="24"/>
          <w:highlight w:val="none"/>
          <w:lang w:val="en-US" w:eastAsia="zh-CN"/>
        </w:rPr>
        <w:t>,国家游泳中心</w:t>
      </w:r>
    </w:p>
    <w:p w14:paraId="07A8342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赛事时间：2025年5月2-4日</w:t>
      </w:r>
    </w:p>
    <w:p w14:paraId="12DB90C1">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二、供应商资格条件</w:t>
      </w:r>
    </w:p>
    <w:p w14:paraId="324ABC1A">
      <w:pPr>
        <w:adjustRightInd w:val="0"/>
        <w:snapToGrid w:val="0"/>
        <w:spacing w:line="400" w:lineRule="exact"/>
        <w:ind w:firstLine="480" w:firstLineChars="200"/>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lang w:val="zh-TW"/>
        </w:rPr>
        <w:t>在中华人民共和国境内注册、响应招标、参加投标竞争的法人、其他组织或者自然人</w:t>
      </w:r>
      <w:r>
        <w:rPr>
          <w:rFonts w:hint="eastAsia" w:ascii="仿宋_GB2312" w:hAnsi="仿宋_GB2312" w:eastAsia="仿宋_GB2312" w:cs="仿宋_GB2312"/>
          <w:sz w:val="24"/>
          <w:szCs w:val="24"/>
          <w:highlight w:val="none"/>
          <w:lang w:val="zh-TW" w:eastAsia="zh-CN"/>
        </w:rPr>
        <w:t>，</w:t>
      </w:r>
      <w:r>
        <w:rPr>
          <w:rFonts w:hint="eastAsia" w:ascii="仿宋_GB2312" w:hAnsi="仿宋_GB2312" w:eastAsia="仿宋_GB2312" w:cs="仿宋_GB2312"/>
          <w:color w:val="000000"/>
          <w:sz w:val="24"/>
          <w:szCs w:val="24"/>
          <w:highlight w:val="none"/>
        </w:rPr>
        <w:t>公司</w:t>
      </w:r>
      <w:r>
        <w:rPr>
          <w:rFonts w:hint="eastAsia" w:ascii="仿宋_GB2312" w:hAnsi="仿宋_GB2312" w:eastAsia="仿宋_GB2312" w:cs="仿宋_GB2312"/>
          <w:color w:val="000000"/>
          <w:sz w:val="24"/>
          <w:szCs w:val="24"/>
          <w:highlight w:val="none"/>
          <w:lang w:val="en-US" w:eastAsia="zh-CN"/>
        </w:rPr>
        <w:t>注册</w:t>
      </w:r>
      <w:r>
        <w:rPr>
          <w:rFonts w:hint="eastAsia" w:ascii="仿宋_GB2312" w:hAnsi="仿宋_GB2312" w:eastAsia="仿宋_GB2312" w:cs="仿宋_GB2312"/>
          <w:color w:val="000000"/>
          <w:sz w:val="24"/>
          <w:szCs w:val="24"/>
          <w:highlight w:val="none"/>
        </w:rPr>
        <w:t>地在北京</w:t>
      </w:r>
      <w:r>
        <w:rPr>
          <w:rFonts w:hint="eastAsia" w:ascii="仿宋_GB2312" w:hAnsi="仿宋_GB2312" w:eastAsia="仿宋_GB2312" w:cs="仿宋_GB2312"/>
          <w:color w:val="000000"/>
          <w:sz w:val="24"/>
          <w:szCs w:val="24"/>
          <w:highlight w:val="none"/>
          <w:lang w:eastAsia="zh-CN"/>
        </w:rPr>
        <w:t>；</w:t>
      </w:r>
    </w:p>
    <w:p w14:paraId="7A64AC6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2.投标人应</w:t>
      </w:r>
      <w:r>
        <w:rPr>
          <w:rFonts w:hint="eastAsia" w:ascii="仿宋_GB2312" w:hAnsi="仿宋_GB2312" w:eastAsia="仿宋_GB2312" w:cs="仿宋_GB2312"/>
          <w:color w:val="000000"/>
          <w:sz w:val="24"/>
          <w:szCs w:val="24"/>
          <w:highlight w:val="none"/>
        </w:rPr>
        <w:t>须具备《中华人民共和国政府采购法》第二十二条规定的条件。</w:t>
      </w:r>
    </w:p>
    <w:p w14:paraId="21FA383B">
      <w:pPr>
        <w:adjustRightInd w:val="0"/>
        <w:snapToGrid w:val="0"/>
        <w:spacing w:line="400" w:lineRule="exact"/>
        <w:ind w:left="0" w:leftChars="0" w:firstLine="480" w:firstLineChars="200"/>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根据本项目特点，服务商应具备的特殊资格条件：</w:t>
      </w:r>
      <w:r>
        <w:rPr>
          <w:rFonts w:hint="eastAsia" w:ascii="仿宋_GB2312" w:hAnsi="仿宋_GB2312" w:eastAsia="仿宋_GB2312" w:cs="仿宋_GB2312"/>
          <w:b w:val="0"/>
          <w:bCs/>
          <w:sz w:val="24"/>
          <w:szCs w:val="24"/>
          <w:highlight w:val="none"/>
        </w:rPr>
        <w:t>应具有有效的道路运输经营许可证</w:t>
      </w:r>
      <w:r>
        <w:rPr>
          <w:rFonts w:hint="eastAsia" w:ascii="仿宋_GB2312" w:hAnsi="仿宋_GB2312" w:eastAsia="仿宋_GB2312" w:cs="仿宋_GB2312"/>
          <w:b w:val="0"/>
          <w:bCs/>
          <w:sz w:val="24"/>
          <w:szCs w:val="24"/>
          <w:highlight w:val="none"/>
          <w:lang w:eastAsia="zh-CN"/>
        </w:rPr>
        <w:t>；</w:t>
      </w:r>
    </w:p>
    <w:p w14:paraId="2DCC9C5F">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.营业执照上经营范围（业务范围）包含</w:t>
      </w:r>
      <w:r>
        <w:rPr>
          <w:rFonts w:hint="eastAsia" w:ascii="仿宋_GB2312" w:hAnsi="仿宋_GB2312" w:eastAsia="仿宋_GB2312" w:cs="仿宋_GB2312"/>
          <w:color w:val="000000"/>
          <w:sz w:val="24"/>
          <w:szCs w:val="24"/>
          <w:highlight w:val="none"/>
          <w:lang w:val="en-US" w:eastAsia="zh-CN"/>
        </w:rPr>
        <w:t>汽车客运</w:t>
      </w:r>
      <w:r>
        <w:rPr>
          <w:rFonts w:hint="eastAsia" w:ascii="仿宋_GB2312" w:hAnsi="仿宋_GB2312" w:eastAsia="仿宋_GB2312" w:cs="仿宋_GB2312"/>
          <w:color w:val="000000"/>
          <w:sz w:val="24"/>
          <w:szCs w:val="24"/>
          <w:highlight w:val="none"/>
        </w:rPr>
        <w:t>等相关业务经营范围，且截至递交响应文件时经营时长达3年及以上；</w:t>
      </w:r>
    </w:p>
    <w:p w14:paraId="076B24D6">
      <w:pPr>
        <w:numPr>
          <w:ilvl w:val="0"/>
          <w:numId w:val="0"/>
        </w:numPr>
        <w:spacing w:line="400" w:lineRule="exact"/>
        <w:ind w:left="0" w:leftChars="0" w:firstLine="480" w:firstLineChars="200"/>
        <w:jc w:val="left"/>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sz w:val="24"/>
          <w:szCs w:val="24"/>
          <w:highlight w:val="none"/>
        </w:rPr>
        <w:t>通过“信用中国”网站（www.creditchina.gov.cn）等查询信用记录，投标人未被列入失信被执行人、重大税收违法案件当事人名单、政府采购严重违法失信行为记录名单；</w:t>
      </w:r>
    </w:p>
    <w:p w14:paraId="190F6230">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6.投标人具有良好的商业信誉和健全的财务会计制度，有依法缴纳税收和社会保障资金的良好记录，具有履行合同所必需的设备和专业技术能力，三年内在经营活动中没有重大违法记录；</w:t>
      </w:r>
    </w:p>
    <w:p w14:paraId="3E8F6F9D">
      <w:pPr>
        <w:adjustRightInd w:val="0"/>
        <w:snapToGrid w:val="0"/>
        <w:spacing w:line="400" w:lineRule="exact"/>
        <w:ind w:left="0" w:leftChars="0" w:firstLine="480" w:firstLineChars="200"/>
        <w:jc w:val="left"/>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color w:val="000000"/>
          <w:sz w:val="24"/>
          <w:szCs w:val="24"/>
          <w:highlight w:val="none"/>
          <w:lang w:val="en-US" w:eastAsia="zh-CN"/>
        </w:rPr>
        <w:t>7.</w:t>
      </w:r>
      <w:r>
        <w:rPr>
          <w:rFonts w:hint="eastAsia" w:ascii="仿宋_GB2312" w:hAnsi="仿宋_GB2312" w:eastAsia="仿宋_GB2312" w:cs="仿宋_GB2312"/>
          <w:sz w:val="24"/>
          <w:szCs w:val="24"/>
          <w:highlight w:val="none"/>
          <w:lang w:val="zh-TW"/>
        </w:rPr>
        <w:t>本项目</w:t>
      </w:r>
      <w:r>
        <w:rPr>
          <w:rFonts w:hint="eastAsia" w:ascii="仿宋_GB2312" w:hAnsi="仿宋_GB2312" w:eastAsia="仿宋_GB2312" w:cs="仿宋_GB2312"/>
          <w:sz w:val="24"/>
          <w:szCs w:val="24"/>
          <w:highlight w:val="none"/>
          <w:u w:val="single"/>
          <w:lang w:val="zh-TW"/>
        </w:rPr>
        <w:t>不</w:t>
      </w:r>
      <w:r>
        <w:rPr>
          <w:rFonts w:hint="eastAsia" w:ascii="仿宋_GB2312" w:hAnsi="仿宋_GB2312" w:eastAsia="仿宋_GB2312" w:cs="仿宋_GB2312"/>
          <w:sz w:val="24"/>
          <w:szCs w:val="24"/>
          <w:highlight w:val="none"/>
          <w:lang w:val="zh-TW"/>
        </w:rPr>
        <w:t>接受联合体投标；</w:t>
      </w:r>
    </w:p>
    <w:p w14:paraId="0E3444B8">
      <w:pPr>
        <w:numPr>
          <w:ilvl w:val="0"/>
          <w:numId w:val="0"/>
        </w:numPr>
        <w:adjustRightInd w:val="0"/>
        <w:snapToGrid w:val="0"/>
        <w:spacing w:line="400" w:lineRule="exact"/>
        <w:ind w:firstLine="480" w:firstLineChars="200"/>
        <w:jc w:val="left"/>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lang w:val="zh-TW"/>
        </w:rPr>
        <w:t>本项目</w:t>
      </w:r>
      <w:r>
        <w:rPr>
          <w:rFonts w:hint="eastAsia" w:ascii="仿宋_GB2312" w:hAnsi="仿宋_GB2312" w:eastAsia="仿宋_GB2312" w:cs="仿宋_GB2312"/>
          <w:sz w:val="24"/>
          <w:szCs w:val="24"/>
          <w:highlight w:val="none"/>
          <w:u w:val="single"/>
          <w:lang w:val="zh-TW"/>
        </w:rPr>
        <w:t>不</w:t>
      </w:r>
      <w:r>
        <w:rPr>
          <w:rFonts w:hint="eastAsia" w:ascii="仿宋_GB2312" w:hAnsi="仿宋_GB2312" w:eastAsia="仿宋_GB2312" w:cs="仿宋_GB2312"/>
          <w:sz w:val="24"/>
          <w:szCs w:val="24"/>
          <w:highlight w:val="none"/>
          <w:lang w:val="zh-TW"/>
        </w:rPr>
        <w:t>接受进口产品投标（进口产品是指通过中国海关报关，验放进入中国境内，且产自关境外的产品）</w:t>
      </w:r>
      <w:r>
        <w:rPr>
          <w:rFonts w:hint="eastAsia" w:ascii="仿宋_GB2312" w:hAnsi="仿宋_GB2312" w:eastAsia="仿宋_GB2312" w:cs="仿宋_GB2312"/>
          <w:sz w:val="24"/>
          <w:szCs w:val="24"/>
          <w:highlight w:val="none"/>
          <w:lang w:val="zh-TW" w:eastAsia="zh-CN"/>
        </w:rPr>
        <w:t>；</w:t>
      </w:r>
    </w:p>
    <w:p w14:paraId="6EAE792A">
      <w:pPr>
        <w:numPr>
          <w:ilvl w:val="-1"/>
          <w:numId w:val="0"/>
        </w:numPr>
        <w:adjustRightInd/>
        <w:snapToGrid/>
        <w:spacing w:line="240" w:lineRule="auto"/>
        <w:ind w:firstLine="0" w:firstLineChars="0"/>
        <w:jc w:val="left"/>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sz w:val="24"/>
          <w:szCs w:val="24"/>
          <w:highlight w:val="none"/>
          <w:lang w:val="zh-TW" w:eastAsia="zh-CN"/>
        </w:rPr>
        <w:br w:type="page"/>
      </w:r>
    </w:p>
    <w:p w14:paraId="50464F44">
      <w:pPr>
        <w:numPr>
          <w:ilvl w:val="0"/>
          <w:numId w:val="0"/>
        </w:numPr>
        <w:adjustRightInd w:val="0"/>
        <w:snapToGrid w:val="0"/>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本项目为非专门面向中小企业的项目；</w:t>
      </w:r>
    </w:p>
    <w:p w14:paraId="003F888C">
      <w:pPr>
        <w:numPr>
          <w:ilvl w:val="0"/>
          <w:numId w:val="0"/>
        </w:numPr>
        <w:spacing w:line="400" w:lineRule="exact"/>
        <w:ind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lang w:val="zh-TW"/>
        </w:rPr>
        <w:t>法律、行政法规、招标文件关于“合格投标人”的其他条件。</w:t>
      </w:r>
    </w:p>
    <w:p w14:paraId="0DD92A75">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三、比选文件</w:t>
      </w:r>
    </w:p>
    <w:p w14:paraId="69A2E066">
      <w:pPr>
        <w:adjustRightInd w:val="0"/>
        <w:snapToGrid w:val="0"/>
        <w:spacing w:line="400" w:lineRule="exact"/>
        <w:ind w:left="0" w:leftChars="0" w:firstLine="240" w:firstLineChars="1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比选文件组成</w:t>
      </w:r>
    </w:p>
    <w:p w14:paraId="0583A67F">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1.1</w:t>
      </w:r>
      <w:r>
        <w:rPr>
          <w:rFonts w:hint="eastAsia" w:ascii="仿宋_GB2312" w:hAnsi="仿宋_GB2312" w:eastAsia="仿宋_GB2312" w:cs="仿宋_GB2312"/>
          <w:color w:val="000000"/>
          <w:sz w:val="24"/>
          <w:szCs w:val="24"/>
          <w:highlight w:val="none"/>
        </w:rPr>
        <w:t>比选响应函（附件1）</w:t>
      </w:r>
    </w:p>
    <w:p w14:paraId="31AADB11">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1.2</w:t>
      </w:r>
      <w:r>
        <w:rPr>
          <w:rFonts w:hint="eastAsia" w:ascii="仿宋_GB2312" w:hAnsi="仿宋_GB2312" w:eastAsia="仿宋_GB2312" w:cs="仿宋_GB2312"/>
          <w:color w:val="000000"/>
          <w:sz w:val="24"/>
          <w:szCs w:val="24"/>
          <w:highlight w:val="none"/>
        </w:rPr>
        <w:t>资格证明文件（附件2）</w:t>
      </w:r>
    </w:p>
    <w:p w14:paraId="42578245">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1.3</w:t>
      </w:r>
      <w:r>
        <w:rPr>
          <w:rFonts w:hint="eastAsia" w:ascii="仿宋_GB2312" w:hAnsi="仿宋_GB2312" w:eastAsia="仿宋_GB2312" w:cs="仿宋_GB2312"/>
          <w:color w:val="000000"/>
          <w:sz w:val="24"/>
          <w:szCs w:val="24"/>
          <w:highlight w:val="none"/>
        </w:rPr>
        <w:t>类似项目业绩（附件3）</w:t>
      </w:r>
    </w:p>
    <w:p w14:paraId="69B25B0D">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1.4本项目的实施计划</w:t>
      </w:r>
      <w:r>
        <w:rPr>
          <w:rFonts w:hint="eastAsia" w:ascii="仿宋_GB2312" w:hAnsi="仿宋_GB2312" w:eastAsia="仿宋_GB2312" w:cs="仿宋_GB2312"/>
          <w:color w:val="000000"/>
          <w:sz w:val="24"/>
          <w:szCs w:val="24"/>
          <w:highlight w:val="none"/>
        </w:rPr>
        <w:t>（附件4）</w:t>
      </w:r>
    </w:p>
    <w:p w14:paraId="46335331">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1.5总体报价表</w:t>
      </w:r>
      <w:r>
        <w:rPr>
          <w:rFonts w:hint="eastAsia" w:ascii="仿宋_GB2312" w:hAnsi="仿宋_GB2312" w:eastAsia="仿宋_GB2312" w:cs="仿宋_GB2312"/>
          <w:color w:val="000000"/>
          <w:sz w:val="24"/>
          <w:szCs w:val="24"/>
          <w:highlight w:val="none"/>
        </w:rPr>
        <w:t>（附件5）</w:t>
      </w:r>
    </w:p>
    <w:p w14:paraId="76806A20">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1.6</w:t>
      </w:r>
      <w:r>
        <w:rPr>
          <w:rFonts w:hint="eastAsia" w:ascii="仿宋_GB2312" w:hAnsi="仿宋_GB2312" w:eastAsia="仿宋_GB2312" w:cs="仿宋_GB2312"/>
          <w:color w:val="000000"/>
          <w:sz w:val="24"/>
          <w:szCs w:val="24"/>
          <w:highlight w:val="none"/>
        </w:rPr>
        <w:t>报价明细表（附件6）</w:t>
      </w:r>
    </w:p>
    <w:p w14:paraId="40BFC175">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.7其他资质补充材料（附件7）</w:t>
      </w:r>
    </w:p>
    <w:p w14:paraId="726046A0">
      <w:pPr>
        <w:adjustRightInd w:val="0"/>
        <w:snapToGrid w:val="0"/>
        <w:spacing w:line="400" w:lineRule="exact"/>
        <w:ind w:left="0" w:leftChars="0" w:firstLine="240" w:firstLineChars="1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2.比选内容填写说明及装订</w:t>
      </w:r>
    </w:p>
    <w:p w14:paraId="565B611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比选文件需按统一格式填写，并按本须知</w:t>
      </w:r>
      <w:r>
        <w:rPr>
          <w:rFonts w:hint="eastAsia" w:ascii="仿宋_GB2312" w:hAnsi="仿宋_GB2312" w:eastAsia="仿宋_GB2312" w:cs="仿宋_GB2312"/>
          <w:color w:val="000000"/>
          <w:sz w:val="24"/>
          <w:highlight w:val="none"/>
        </w:rPr>
        <w:t>第</w:t>
      </w:r>
      <w:r>
        <w:rPr>
          <w:rFonts w:hint="eastAsia" w:ascii="仿宋_GB2312" w:hAnsi="仿宋_GB2312" w:eastAsia="仿宋_GB2312" w:cs="仿宋_GB2312"/>
          <w:color w:val="000000"/>
          <w:sz w:val="24"/>
          <w:highlight w:val="none"/>
          <w:lang w:val="en-US" w:eastAsia="zh-CN"/>
        </w:rPr>
        <w:t>三项第1</w:t>
      </w:r>
      <w:r>
        <w:rPr>
          <w:rFonts w:hint="eastAsia" w:ascii="仿宋_GB2312" w:hAnsi="仿宋_GB2312" w:eastAsia="仿宋_GB2312" w:cs="仿宋_GB2312"/>
          <w:color w:val="000000"/>
          <w:sz w:val="24"/>
          <w:highlight w:val="none"/>
        </w:rPr>
        <w:t>条</w:t>
      </w:r>
      <w:r>
        <w:rPr>
          <w:rFonts w:hint="eastAsia" w:ascii="仿宋_GB2312" w:hAnsi="仿宋_GB2312" w:eastAsia="仿宋_GB2312" w:cs="仿宋_GB2312"/>
          <w:color w:val="000000"/>
          <w:sz w:val="24"/>
          <w:szCs w:val="24"/>
          <w:highlight w:val="none"/>
        </w:rPr>
        <w:t>规定的顺序排列，将其统一装订为一册（正副本均不得采用活页夹装订），封面注明项目名称、响应人名称等内容。全部比选文件的规格尺寸为A4纸型。</w:t>
      </w:r>
    </w:p>
    <w:p w14:paraId="5EB3C523">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报价</w:t>
      </w:r>
    </w:p>
    <w:p w14:paraId="5C7380A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3.1</w:t>
      </w:r>
      <w:r>
        <w:rPr>
          <w:rFonts w:hint="eastAsia" w:ascii="仿宋_GB2312" w:hAnsi="仿宋_GB2312" w:eastAsia="仿宋_GB2312" w:cs="仿宋_GB2312"/>
          <w:color w:val="000000"/>
          <w:sz w:val="24"/>
          <w:szCs w:val="24"/>
          <w:highlight w:val="none"/>
        </w:rPr>
        <w:t>本项目报价采用的币种为人民币。</w:t>
      </w:r>
    </w:p>
    <w:p w14:paraId="1AC658C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3.2</w:t>
      </w:r>
      <w:r>
        <w:rPr>
          <w:rFonts w:hint="eastAsia" w:ascii="仿宋_GB2312" w:hAnsi="仿宋_GB2312" w:eastAsia="仿宋_GB2312" w:cs="仿宋_GB2312"/>
          <w:color w:val="000000"/>
          <w:sz w:val="24"/>
          <w:szCs w:val="24"/>
          <w:highlight w:val="none"/>
        </w:rPr>
        <w:t>报价总价应为人民币，包括比选响应人为完成本项目所发生的一切费用，包括但不限于：工资、劳务支出、安全保险、劳保福利、住宿、</w:t>
      </w:r>
      <w:r>
        <w:rPr>
          <w:rFonts w:hint="eastAsia" w:ascii="仿宋_GB2312" w:hAnsi="仿宋_GB2312" w:eastAsia="仿宋_GB2312" w:cs="仿宋_GB2312"/>
          <w:color w:val="000000"/>
          <w:sz w:val="24"/>
          <w:szCs w:val="24"/>
          <w:highlight w:val="none"/>
          <w:lang w:eastAsia="zh-CN"/>
        </w:rPr>
        <w:t>餐饮、</w:t>
      </w:r>
      <w:r>
        <w:rPr>
          <w:rFonts w:hint="eastAsia" w:ascii="仿宋_GB2312" w:hAnsi="仿宋_GB2312" w:eastAsia="仿宋_GB2312" w:cs="仿宋_GB2312"/>
          <w:color w:val="000000"/>
          <w:sz w:val="24"/>
          <w:szCs w:val="24"/>
          <w:highlight w:val="none"/>
        </w:rPr>
        <w:t>材料、机器及损耗、</w:t>
      </w:r>
      <w:r>
        <w:rPr>
          <w:rFonts w:hint="eastAsia" w:ascii="仿宋_GB2312" w:hAnsi="仿宋_GB2312" w:eastAsia="仿宋_GB2312" w:cs="仿宋_GB2312"/>
          <w:color w:val="000000"/>
          <w:sz w:val="24"/>
          <w:szCs w:val="24"/>
          <w:highlight w:val="none"/>
          <w:lang w:eastAsia="zh-CN"/>
        </w:rPr>
        <w:t>车贴广告、停车费、</w:t>
      </w:r>
      <w:r>
        <w:rPr>
          <w:rFonts w:hint="eastAsia" w:ascii="仿宋_GB2312" w:hAnsi="仿宋_GB2312" w:eastAsia="仿宋_GB2312" w:cs="仿宋_GB2312"/>
          <w:color w:val="000000"/>
          <w:sz w:val="24"/>
          <w:szCs w:val="24"/>
          <w:highlight w:val="none"/>
        </w:rPr>
        <w:t>税收、管理费、社会保险等一切费用。采购人不再单独支付其他任何费用。</w:t>
      </w:r>
    </w:p>
    <w:p w14:paraId="62CC1608">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3.3</w:t>
      </w:r>
      <w:r>
        <w:rPr>
          <w:rFonts w:hint="eastAsia" w:ascii="仿宋_GB2312" w:hAnsi="仿宋_GB2312" w:eastAsia="仿宋_GB2312" w:cs="仿宋_GB2312"/>
          <w:color w:val="000000"/>
          <w:sz w:val="24"/>
          <w:szCs w:val="24"/>
          <w:highlight w:val="none"/>
        </w:rPr>
        <w:t>采购人不接受任何选择报价，对每一种项目只允许有一个报价。</w:t>
      </w:r>
    </w:p>
    <w:p w14:paraId="4154D0F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3.4</w:t>
      </w:r>
      <w:r>
        <w:rPr>
          <w:rFonts w:hint="eastAsia" w:ascii="仿宋_GB2312" w:hAnsi="仿宋_GB2312" w:eastAsia="仿宋_GB2312" w:cs="仿宋_GB2312"/>
          <w:color w:val="000000"/>
          <w:sz w:val="24"/>
          <w:szCs w:val="24"/>
          <w:highlight w:val="none"/>
        </w:rPr>
        <w:t>服务方案中明确的服务内容应能够满足服务周期、服务需求。报价应结合服务方案中明确的服务内容报价。</w:t>
      </w:r>
    </w:p>
    <w:p w14:paraId="35C944B6">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3.5响应人按照以上规定及要求，除核算总价外，须列明各细项服务报价，不允许低于成本的恶意报价。各项费用在项目评审审定的预算范围内，按照实际发生结算，没有实际发生的服务费用不予结算。</w:t>
      </w:r>
    </w:p>
    <w:p w14:paraId="3FFF7E90">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4.比选文件的有效期</w:t>
      </w:r>
    </w:p>
    <w:p w14:paraId="651AB8A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1比选文件自开标日起90天内有效。有效期短于90天的比选文件，将被拒绝。</w:t>
      </w:r>
    </w:p>
    <w:p w14:paraId="4E382539">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.2在特殊情况下，采购人与响应人协商延长比选文件的有效期。这种要求和答复都应以书面、传真等形式进行。同意延长有效期的响应人不能修改比选文件。</w:t>
      </w:r>
    </w:p>
    <w:p w14:paraId="07C4C997">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比选文件的签署及规定</w:t>
      </w:r>
    </w:p>
    <w:p w14:paraId="5E5FC4E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.1组成比选文件的各项资料(本须知</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比选文件组成</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中所规定)均应遵守本条。</w:t>
      </w:r>
    </w:p>
    <w:p w14:paraId="341414B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.2响应人应填写全称，同时加盖印章。</w:t>
      </w:r>
    </w:p>
    <w:p w14:paraId="11BE5D18">
      <w:pPr>
        <w:adjustRightInd/>
        <w:snapToGrid/>
        <w:spacing w:line="24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.3比选文件必须由法人代表或授权代表签署(印刷体、复印件无效)。</w:t>
      </w:r>
    </w:p>
    <w:p w14:paraId="65F219B4">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4比选文件</w:t>
      </w:r>
      <w:r>
        <w:rPr>
          <w:rFonts w:hint="eastAsia" w:ascii="仿宋_GB2312" w:hAnsi="仿宋_GB2312" w:eastAsia="仿宋_GB2312" w:cs="仿宋_GB2312"/>
          <w:color w:val="000000"/>
          <w:sz w:val="24"/>
          <w:szCs w:val="24"/>
          <w:highlight w:val="none"/>
          <w:lang w:eastAsia="zh-CN"/>
        </w:rPr>
        <w:t>一式3份</w:t>
      </w:r>
      <w:r>
        <w:rPr>
          <w:rFonts w:hint="eastAsia" w:ascii="仿宋_GB2312" w:hAnsi="仿宋_GB2312" w:eastAsia="仿宋_GB2312" w:cs="仿宋_GB2312"/>
          <w:color w:val="000000"/>
          <w:sz w:val="24"/>
          <w:szCs w:val="24"/>
          <w:highlight w:val="none"/>
        </w:rPr>
        <w:t>。其中正本1份，副本</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份。如果正本与副本不符，以正本为准。</w:t>
      </w:r>
    </w:p>
    <w:p w14:paraId="3D98E1FA">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5.5</w:t>
      </w:r>
      <w:r>
        <w:rPr>
          <w:rFonts w:hint="eastAsia" w:ascii="仿宋_GB2312" w:hAnsi="仿宋_GB2312" w:eastAsia="仿宋_GB2312" w:cs="仿宋_GB2312"/>
          <w:color w:val="000000"/>
          <w:sz w:val="24"/>
          <w:szCs w:val="24"/>
          <w:highlight w:val="none"/>
        </w:rPr>
        <w:t>比选文件的正本必须用不退色的墨水填写或打印，在封面注明“正本”字样。副本可以用正本的复印件，在封面注明“副本”字样。</w:t>
      </w:r>
    </w:p>
    <w:p w14:paraId="5A3287D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5.6</w:t>
      </w:r>
      <w:r>
        <w:rPr>
          <w:rFonts w:hint="eastAsia" w:ascii="仿宋_GB2312" w:hAnsi="仿宋_GB2312" w:eastAsia="仿宋_GB2312" w:cs="仿宋_GB2312"/>
          <w:color w:val="000000"/>
          <w:sz w:val="24"/>
          <w:szCs w:val="24"/>
          <w:highlight w:val="none"/>
        </w:rPr>
        <w:t>比选文件不得涂改和增删，如有修改错漏处，必须由同一签署人签字或盖章。</w:t>
      </w:r>
    </w:p>
    <w:p w14:paraId="201CC71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.7比选文件因字迹潦草或表达不清所引起的后果由响应人负责。</w:t>
      </w:r>
    </w:p>
    <w:p w14:paraId="777824C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四、比选文件的提交</w:t>
      </w:r>
    </w:p>
    <w:p w14:paraId="3BD3592D">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比选文件的密封及标记</w:t>
      </w:r>
    </w:p>
    <w:p w14:paraId="6E841F86">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1</w:t>
      </w:r>
      <w:r>
        <w:rPr>
          <w:rFonts w:hint="eastAsia" w:ascii="仿宋_GB2312" w:hAnsi="仿宋_GB2312" w:eastAsia="仿宋_GB2312" w:cs="仿宋_GB2312"/>
          <w:color w:val="000000"/>
          <w:sz w:val="24"/>
          <w:szCs w:val="24"/>
          <w:highlight w:val="none"/>
        </w:rPr>
        <w:t>.1比选文件密封袋内装响应文件正副本共</w:t>
      </w:r>
      <w:r>
        <w:rPr>
          <w:rFonts w:hint="eastAsia" w:ascii="仿宋_GB2312" w:hAnsi="仿宋_GB2312" w:eastAsia="仿宋_GB2312" w:cs="仿宋_GB2312"/>
          <w:color w:val="000000"/>
          <w:sz w:val="24"/>
          <w:szCs w:val="24"/>
          <w:highlight w:val="none"/>
          <w:lang w:eastAsia="zh-CN"/>
        </w:rPr>
        <w:t>一式3份</w:t>
      </w:r>
      <w:r>
        <w:rPr>
          <w:rFonts w:hint="eastAsia" w:ascii="仿宋_GB2312" w:hAnsi="仿宋_GB2312" w:eastAsia="仿宋_GB2312" w:cs="仿宋_GB2312"/>
          <w:color w:val="000000"/>
          <w:sz w:val="24"/>
          <w:szCs w:val="24"/>
          <w:highlight w:val="none"/>
        </w:rPr>
        <w:t>。密封袋上、下封口处均应有密封条和比选授权代表的签字以及响应人公章。封皮上写明项目名称、响应人名称。</w:t>
      </w:r>
    </w:p>
    <w:p w14:paraId="2525BAA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1.2单独准备一套比选文件电子版（可放在一个U盘/光盘里)单独密封完好，并在封套封口处加盖比选申请人单位章，在封套上标记“比选申请文件电子版”字样。</w:t>
      </w:r>
    </w:p>
    <w:p w14:paraId="7C92064C">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比选截止时间</w:t>
      </w:r>
    </w:p>
    <w:p w14:paraId="5ECC77C9">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.1响应文件必须在规定的比选时间送达到指定的比选地点。</w:t>
      </w:r>
    </w:p>
    <w:p w14:paraId="2D9D158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.2采购人推迟比选时间时，应以书面(或传真)的形式，通知所有响应人。在这种情况下，采购人和响应人的权利和义务将受到新的比选时间的约束。</w:t>
      </w:r>
    </w:p>
    <w:p w14:paraId="6DCCE77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五、比选文件提交时间</w:t>
      </w:r>
    </w:p>
    <w:p w14:paraId="7A200C21">
      <w:pPr>
        <w:adjustRightInd w:val="0"/>
        <w:snapToGrid w:val="0"/>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202</w:t>
      </w: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4月7日-4月11日</w:t>
      </w:r>
    </w:p>
    <w:p w14:paraId="30B39D1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六、比选文件提交地点</w:t>
      </w:r>
    </w:p>
    <w:p w14:paraId="5D720F21">
      <w:pPr>
        <w:adjustRightInd w:val="0"/>
        <w:snapToGrid w:val="0"/>
        <w:spacing w:line="400" w:lineRule="exact"/>
        <w:ind w:firstLine="480" w:firstLineChars="20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北京市西城区先农坛体育场2号楼4层412</w:t>
      </w:r>
    </w:p>
    <w:p w14:paraId="3B27BEFD">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七、成交原则</w:t>
      </w:r>
    </w:p>
    <w:p w14:paraId="3087B592">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采用综合评分法，即比选文件满足比选文件全部实质性要求且按评审因素的量化指标评审得分最高的供应商为成交候选供应商的评审方法。</w:t>
      </w:r>
    </w:p>
    <w:p w14:paraId="14E98E6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八、无效响应人条款</w:t>
      </w:r>
    </w:p>
    <w:p w14:paraId="62EEC4C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.比选文件未按照比选文件规定要求密封、签署、盖章的；</w:t>
      </w:r>
    </w:p>
    <w:p w14:paraId="4713118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2.提供选择性报价的；</w:t>
      </w:r>
    </w:p>
    <w:p w14:paraId="0E256022">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.响应人比选总价超过预算金额的；</w:t>
      </w:r>
    </w:p>
    <w:p w14:paraId="068A2EF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.未提交实质性比选文件的响应文件；</w:t>
      </w:r>
    </w:p>
    <w:p w14:paraId="5FFC7C24">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 xml:space="preserve">.响应人不具备比选文件中规定的资格要求的； </w:t>
      </w:r>
    </w:p>
    <w:p w14:paraId="7037DC28">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6</w:t>
      </w:r>
      <w:r>
        <w:rPr>
          <w:rFonts w:hint="eastAsia" w:ascii="仿宋_GB2312" w:hAnsi="仿宋_GB2312" w:eastAsia="仿宋_GB2312" w:cs="仿宋_GB2312"/>
          <w:color w:val="000000"/>
          <w:sz w:val="24"/>
          <w:szCs w:val="24"/>
          <w:highlight w:val="none"/>
        </w:rPr>
        <w:t>.不符合法律、法规和比选文件中规定的其他实质性要求，且经评委评审将导致不利于采购人后果的（响应人对比选文件中比选文件中带有“应、应当、须、必须、不得”等字样条款的偏离，均有可能导致其比选被拒绝。）；</w:t>
      </w:r>
    </w:p>
    <w:p w14:paraId="0370982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7</w:t>
      </w:r>
      <w:r>
        <w:rPr>
          <w:rFonts w:hint="eastAsia" w:ascii="仿宋_GB2312" w:hAnsi="仿宋_GB2312" w:eastAsia="仿宋_GB2312" w:cs="仿宋_GB2312"/>
          <w:color w:val="000000"/>
          <w:sz w:val="24"/>
          <w:szCs w:val="24"/>
          <w:highlight w:val="none"/>
        </w:rPr>
        <w:t>.未按照资格证明文件中要求，提供有效的资格证明文件的；</w:t>
      </w:r>
    </w:p>
    <w:p w14:paraId="0C9BF68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8</w:t>
      </w:r>
      <w:r>
        <w:rPr>
          <w:rFonts w:hint="eastAsia" w:ascii="仿宋_GB2312" w:hAnsi="仿宋_GB2312" w:eastAsia="仿宋_GB2312" w:cs="仿宋_GB2312"/>
          <w:color w:val="000000"/>
          <w:sz w:val="24"/>
          <w:szCs w:val="24"/>
          <w:highlight w:val="none"/>
        </w:rPr>
        <w:t>.在评审期间，试图影响采购单位和比选小组的任何活动的；</w:t>
      </w:r>
    </w:p>
    <w:p w14:paraId="7EAD6AA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.付款条件不能响应比选文件要求的；</w:t>
      </w:r>
    </w:p>
    <w:p w14:paraId="4EB371A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10</w:t>
      </w:r>
      <w:r>
        <w:rPr>
          <w:rFonts w:hint="eastAsia" w:ascii="仿宋_GB2312" w:hAnsi="仿宋_GB2312" w:eastAsia="仿宋_GB2312" w:cs="仿宋_GB2312"/>
          <w:color w:val="000000"/>
          <w:sz w:val="24"/>
          <w:szCs w:val="24"/>
          <w:highlight w:val="none"/>
        </w:rPr>
        <w:t>.在截止时间后送达的比选文件。</w:t>
      </w:r>
    </w:p>
    <w:p w14:paraId="7C755F7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000000"/>
          <w:sz w:val="32"/>
          <w:szCs w:val="32"/>
          <w:highlight w:val="none"/>
          <w:lang w:val="en-US" w:eastAsia="zh-CN"/>
        </w:rPr>
      </w:pPr>
    </w:p>
    <w:p w14:paraId="0051252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第三部分  采购需求</w:t>
      </w:r>
    </w:p>
    <w:p w14:paraId="3510849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default" w:ascii="黑体" w:hAnsi="黑体" w:eastAsia="黑体" w:cs="黑体"/>
          <w:sz w:val="28"/>
          <w:szCs w:val="28"/>
          <w:highlight w:val="none"/>
          <w:lang w:val="en-US"/>
        </w:rPr>
      </w:pPr>
      <w:r>
        <w:rPr>
          <w:rFonts w:hint="eastAsia" w:ascii="黑体" w:hAnsi="黑体" w:eastAsia="黑体" w:cs="黑体"/>
          <w:sz w:val="28"/>
          <w:szCs w:val="28"/>
          <w:highlight w:val="none"/>
          <w:lang w:val="en-US" w:eastAsia="zh-CN"/>
        </w:rPr>
        <w:t>一、服务原则</w:t>
      </w:r>
    </w:p>
    <w:p w14:paraId="3FD6E22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赛事交通服务的关键功能需求为车辆、驾驶员、协调服务，需要实现赛事交通服务保障的安全、可靠、高效，具备安全可靠的运输服务能力和应急保障能力，确保在本项目赛事期间全天候及场景条件下正常工作。整体交通服务以简约、安全、精彩为主旨理念，同时充分考虑共享原则。</w:t>
      </w:r>
    </w:p>
    <w:p w14:paraId="69BCAB0F">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报价人需具备相应交通运输资质，按照采购人的要求，统一提供功能完备、性能优良、安全可靠,符合相关法律法规、行业标准的交通服务保障，确保车辆运行平稳有序，团队及人员管理高效，能够及时消除各类交通安全风险隐患。</w:t>
      </w:r>
    </w:p>
    <w:p w14:paraId="49C80C58">
      <w:pPr>
        <w:pStyle w:val="2"/>
        <w:ind w:left="559" w:leftChars="266" w:firstLine="0" w:firstLineChars="0"/>
        <w:rPr>
          <w:rFonts w:hint="eastAsia"/>
          <w:highlight w:val="none"/>
        </w:rPr>
      </w:pPr>
      <w:r>
        <w:rPr>
          <w:rFonts w:hint="eastAsia" w:ascii="黑体" w:hAnsi="黑体" w:eastAsia="黑体" w:cs="黑体"/>
          <w:sz w:val="28"/>
          <w:szCs w:val="28"/>
          <w:highlight w:val="none"/>
          <w:lang w:val="en-US" w:eastAsia="zh-CN"/>
        </w:rPr>
        <w:t>二、</w:t>
      </w:r>
      <w:r>
        <w:rPr>
          <w:rFonts w:hint="default" w:ascii="黑体" w:hAnsi="黑体" w:eastAsia="黑体" w:cs="黑体"/>
          <w:sz w:val="28"/>
          <w:szCs w:val="28"/>
          <w:highlight w:val="none"/>
          <w:lang w:eastAsia="zh-CN"/>
        </w:rPr>
        <w:t>总</w:t>
      </w:r>
      <w:r>
        <w:rPr>
          <w:rFonts w:hint="eastAsia" w:ascii="黑体" w:hAnsi="黑体" w:eastAsia="黑体" w:cs="黑体"/>
          <w:sz w:val="28"/>
          <w:szCs w:val="28"/>
          <w:highlight w:val="none"/>
          <w:lang w:val="en-US" w:eastAsia="zh-CN"/>
        </w:rPr>
        <w:t>体要求</w:t>
      </w:r>
    </w:p>
    <w:p w14:paraId="3007AC81">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rPr>
      </w:pPr>
      <w:r>
        <w:rPr>
          <w:rFonts w:hint="eastAsia" w:ascii="方正楷体_GB2312" w:hAnsi="方正楷体_GB2312" w:eastAsia="方正楷体_GB2312" w:cs="方正楷体_GB2312"/>
          <w:color w:val="000000"/>
          <w:kern w:val="2"/>
          <w:sz w:val="24"/>
          <w:szCs w:val="24"/>
          <w:highlight w:val="none"/>
          <w:lang w:val="en-US" w:eastAsia="zh-CN" w:bidi="ar"/>
        </w:rPr>
        <w:t>（一）服务对象</w:t>
      </w:r>
    </w:p>
    <w:p w14:paraId="5373EA07">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包括参加本赛事的各国运动员和随队官员、世界泳联官员及工作人员、转播商、新闻媒体、中方工作人员等注册人员，为其提供机场接送机、市内班车、专车等交通服务保障。</w:t>
      </w:r>
    </w:p>
    <w:p w14:paraId="5B20AB48">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r>
        <w:rPr>
          <w:rFonts w:hint="eastAsia" w:ascii="方正楷体_GB2312" w:hAnsi="方正楷体_GB2312" w:eastAsia="方正楷体_GB2312" w:cs="方正楷体_GB2312"/>
          <w:color w:val="000000"/>
          <w:kern w:val="2"/>
          <w:sz w:val="24"/>
          <w:szCs w:val="24"/>
          <w:highlight w:val="none"/>
          <w:lang w:val="en-US" w:eastAsia="zh-CN" w:bidi="ar"/>
        </w:rPr>
        <w:t>（二）服务场所</w:t>
      </w:r>
    </w:p>
    <w:p w14:paraId="74350AA6">
      <w:pPr>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bidi="ar"/>
        </w:rPr>
        <w:t>包括北京首都机场各航站楼</w:t>
      </w:r>
      <w:r>
        <w:rPr>
          <w:rFonts w:hint="eastAsia" w:ascii="仿宋_GB2312" w:hAnsi="仿宋_GB2312" w:eastAsia="仿宋_GB2312" w:cs="仿宋_GB2312"/>
          <w:color w:val="000000"/>
          <w:sz w:val="24"/>
          <w:highlight w:val="none"/>
          <w:lang w:eastAsia="zh-CN" w:bidi="ar"/>
        </w:rPr>
        <w:t>、</w:t>
      </w:r>
      <w:r>
        <w:rPr>
          <w:rFonts w:hint="eastAsia" w:ascii="仿宋_GB2312" w:hAnsi="仿宋_GB2312" w:eastAsia="仿宋_GB2312" w:cs="仿宋_GB2312"/>
          <w:color w:val="000000"/>
          <w:sz w:val="24"/>
          <w:highlight w:val="none"/>
          <w:lang w:bidi="ar"/>
        </w:rPr>
        <w:t>大兴机场、赛事场馆、酒店和</w:t>
      </w:r>
      <w:r>
        <w:rPr>
          <w:rFonts w:hint="eastAsia" w:ascii="仿宋_GB2312" w:hAnsi="仿宋_GB2312" w:eastAsia="仿宋_GB2312" w:cs="仿宋_GB2312"/>
          <w:color w:val="000000"/>
          <w:sz w:val="24"/>
          <w:highlight w:val="none"/>
          <w:lang w:val="en-US" w:eastAsia="zh-CN" w:bidi="ar"/>
        </w:rPr>
        <w:t>其他可能涉及的</w:t>
      </w:r>
      <w:r>
        <w:rPr>
          <w:rFonts w:hint="eastAsia" w:ascii="仿宋_GB2312" w:hAnsi="仿宋_GB2312" w:eastAsia="仿宋_GB2312" w:cs="仿宋_GB2312"/>
          <w:color w:val="000000"/>
          <w:sz w:val="24"/>
          <w:highlight w:val="none"/>
          <w:lang w:bidi="ar"/>
        </w:rPr>
        <w:t>赛事</w:t>
      </w:r>
      <w:r>
        <w:rPr>
          <w:rFonts w:hint="eastAsia" w:ascii="仿宋_GB2312" w:hAnsi="仿宋_GB2312" w:eastAsia="仿宋_GB2312" w:cs="仿宋_GB2312"/>
          <w:color w:val="000000"/>
          <w:sz w:val="24"/>
          <w:highlight w:val="none"/>
          <w:lang w:val="en-US" w:eastAsia="zh-CN" w:bidi="ar"/>
        </w:rPr>
        <w:t>相关</w:t>
      </w:r>
      <w:r>
        <w:rPr>
          <w:rFonts w:hint="eastAsia" w:ascii="仿宋_GB2312" w:hAnsi="仿宋_GB2312" w:eastAsia="仿宋_GB2312" w:cs="仿宋_GB2312"/>
          <w:color w:val="000000"/>
          <w:sz w:val="24"/>
          <w:highlight w:val="none"/>
          <w:lang w:bidi="ar"/>
        </w:rPr>
        <w:t>场所、点位。</w:t>
      </w:r>
    </w:p>
    <w:p w14:paraId="03469AF0">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r>
        <w:rPr>
          <w:rFonts w:hint="eastAsia" w:ascii="方正楷体_GB2312" w:hAnsi="方正楷体_GB2312" w:eastAsia="方正楷体_GB2312" w:cs="方正楷体_GB2312"/>
          <w:color w:val="000000"/>
          <w:kern w:val="2"/>
          <w:sz w:val="24"/>
          <w:szCs w:val="24"/>
          <w:highlight w:val="none"/>
          <w:lang w:val="en-US" w:eastAsia="zh-CN" w:bidi="ar"/>
        </w:rPr>
        <w:t>（三）服务时间</w:t>
      </w:r>
    </w:p>
    <w:p w14:paraId="66A531F8">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本项目服务时间分为三个阶段，具体如下：</w:t>
      </w:r>
    </w:p>
    <w:p w14:paraId="6C6356C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 赛前准备期</w:t>
      </w:r>
    </w:p>
    <w:p w14:paraId="683CE33F">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报价人需完成服务车辆的整备工作，驾驶员到岗并开展专业和岗位培训，同时根据采购人相关工作安排开展行车路线、上落客点位踏勘、车辆标识张贴工作，并按需制定接送机和赛场班车的交通运行计划。</w:t>
      </w:r>
    </w:p>
    <w:p w14:paraId="50C4C3D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 赛事服务期</w:t>
      </w:r>
    </w:p>
    <w:p w14:paraId="1F78D08E">
      <w:pPr>
        <w:pStyle w:val="5"/>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报价人需按照赛事交通运行计划，为采购人提供安全可靠的运输服务和保障，满足赛事交通服务需求，实现服务车辆与运行数据同步，按要求完成交通突发应急事件的处置工作。应有</w:t>
      </w:r>
      <w:r>
        <w:rPr>
          <w:rFonts w:hint="eastAsia" w:ascii="仿宋_GB2312" w:hAnsi="仿宋_GB2312" w:eastAsia="仿宋_GB2312" w:cs="仿宋_GB2312"/>
          <w:color w:val="000000"/>
          <w:sz w:val="24"/>
          <w:szCs w:val="24"/>
          <w:highlight w:val="none"/>
          <w:lang w:val="en-US" w:eastAsia="zh-CN"/>
        </w:rPr>
        <w:t>专人协调整体交通车辆运转，保障参赛人员准时抵达目的地。</w:t>
      </w:r>
    </w:p>
    <w:p w14:paraId="1019DD0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 赛后收尾期</w:t>
      </w:r>
    </w:p>
    <w:p w14:paraId="79285F9B">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根据赛事实际服务情况与合同约定，做好服务费用结算等收尾工作。</w:t>
      </w:r>
    </w:p>
    <w:p w14:paraId="3F25C89E">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bookmarkStart w:id="1" w:name="OLE_LINK1"/>
      <w:r>
        <w:rPr>
          <w:rFonts w:hint="eastAsia" w:ascii="方正楷体_GB2312" w:hAnsi="方正楷体_GB2312" w:eastAsia="方正楷体_GB2312" w:cs="方正楷体_GB2312"/>
          <w:color w:val="000000"/>
          <w:kern w:val="2"/>
          <w:sz w:val="24"/>
          <w:szCs w:val="24"/>
          <w:highlight w:val="none"/>
          <w:lang w:val="en-US" w:eastAsia="zh-CN" w:bidi="ar"/>
        </w:rPr>
        <w:t>（四）服务需求</w:t>
      </w:r>
    </w:p>
    <w:bookmarkEnd w:id="1"/>
    <w:p w14:paraId="1E360776">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1.接送机</w:t>
      </w:r>
    </w:p>
    <w:p w14:paraId="529D8A7E">
      <w:pPr>
        <w:pStyle w:val="5"/>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按照世界泳联官员及裁判、运动员、随队人员提供的航班信息，机场需配备充足工作人员，核对信息、清点人数，确保外方人员顺利登车，安排</w:t>
      </w:r>
      <w:r>
        <w:rPr>
          <w:rFonts w:hint="eastAsia" w:ascii="仿宋_GB2312" w:hAnsi="仿宋_GB2312" w:eastAsia="仿宋_GB2312" w:cs="仿宋_GB2312"/>
          <w:color w:val="000000"/>
          <w:kern w:val="2"/>
          <w:sz w:val="24"/>
          <w:szCs w:val="24"/>
          <w:highlight w:val="none"/>
          <w:lang w:eastAsia="zh-CN" w:bidi="ar"/>
        </w:rPr>
        <w:t>车辆和司机</w:t>
      </w:r>
      <w:r>
        <w:rPr>
          <w:rFonts w:hint="eastAsia" w:ascii="仿宋_GB2312" w:hAnsi="仿宋_GB2312" w:eastAsia="仿宋_GB2312" w:cs="仿宋_GB2312"/>
          <w:color w:val="000000"/>
          <w:kern w:val="2"/>
          <w:sz w:val="24"/>
          <w:szCs w:val="24"/>
          <w:highlight w:val="none"/>
          <w:lang w:val="en-US" w:eastAsia="zh-CN" w:bidi="ar"/>
        </w:rPr>
        <w:t>将相关人员送至下榻酒店/机场。</w:t>
      </w:r>
    </w:p>
    <w:p w14:paraId="674E4CD0">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（1）接送机车辆和人员安排</w:t>
      </w:r>
    </w:p>
    <w:p w14:paraId="2C088AD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预计抵离时间：4月27日-5月2日（接机）</w:t>
      </w:r>
    </w:p>
    <w:p w14:paraId="5A41D736">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 xml:space="preserve">              5月2日-5月7日（送机）</w:t>
      </w:r>
    </w:p>
    <w:p w14:paraId="134A628E">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运行时段：接送机班车根据具体抵离时间灵活调整运行时间。</w:t>
      </w:r>
    </w:p>
    <w:p w14:paraId="0BFE6815">
      <w:pPr>
        <w:keepNext w:val="0"/>
        <w:keepLines w:val="0"/>
        <w:widowControl w:val="0"/>
        <w:numPr>
          <w:ilvl w:val="0"/>
          <w:numId w:val="0"/>
        </w:numPr>
        <w:suppressLineNumbers w:val="0"/>
        <w:spacing w:before="0" w:beforeAutospacing="0" w:after="0" w:afterAutospacing="0" w:line="400" w:lineRule="exact"/>
        <w:ind w:left="479" w:leftChars="228" w:right="0" w:rightChars="0" w:firstLine="0" w:firstLineChars="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车辆安排：根据实际人数需求，使用大巴、中巴、小巴、商务车等为运动队、世界泳联官员、工作人员、裁判、世界泳联主席、秘书长等嘉宾提供接送机服务。</w:t>
      </w:r>
    </w:p>
    <w:p w14:paraId="19C0371D">
      <w:pPr>
        <w:keepNext w:val="0"/>
        <w:keepLines w:val="0"/>
        <w:widowControl w:val="0"/>
        <w:numPr>
          <w:ilvl w:val="0"/>
          <w:numId w:val="0"/>
        </w:numPr>
        <w:suppressLineNumbers w:val="0"/>
        <w:spacing w:before="0" w:beforeAutospacing="0" w:after="0" w:afterAutospacing="0" w:line="400" w:lineRule="exact"/>
        <w:ind w:left="0"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（2）应急措施</w:t>
      </w:r>
    </w:p>
    <w:p w14:paraId="560653C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接机延误</w:t>
      </w:r>
    </w:p>
    <w:p w14:paraId="51D657CF">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出现航班延误的情况，根据采购人要求变更用车安排，如遇特殊意外突发状况要及时通知</w:t>
      </w:r>
      <w:r>
        <w:rPr>
          <w:rFonts w:hint="eastAsia" w:ascii="仿宋_GB2312" w:hAnsi="仿宋_GB2312" w:eastAsia="仿宋_GB2312" w:cs="仿宋_GB2312"/>
          <w:color w:val="000000"/>
          <w:kern w:val="2"/>
          <w:sz w:val="24"/>
          <w:szCs w:val="24"/>
          <w:highlight w:val="none"/>
          <w:lang w:eastAsia="zh-CN" w:bidi="ar"/>
        </w:rPr>
        <w:t>采购人</w:t>
      </w:r>
      <w:r>
        <w:rPr>
          <w:rFonts w:hint="eastAsia" w:ascii="仿宋_GB2312" w:hAnsi="仿宋_GB2312" w:eastAsia="仿宋_GB2312" w:cs="仿宋_GB2312"/>
          <w:color w:val="000000"/>
          <w:kern w:val="2"/>
          <w:sz w:val="24"/>
          <w:szCs w:val="24"/>
          <w:highlight w:val="none"/>
          <w:lang w:val="en-US" w:eastAsia="zh-CN" w:bidi="ar"/>
        </w:rPr>
        <w:t>协调处理。</w:t>
      </w:r>
    </w:p>
    <w:p w14:paraId="4248366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交通事故</w:t>
      </w:r>
    </w:p>
    <w:p w14:paraId="43DB4121">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出现交通事故的情况，应立即采取措施对受伤人员施救、对受损车辆进行保护，对事故现场进行警示隔离，防止二次事故的隐患发生，并及时向交通管理部门报案处理和</w:t>
      </w:r>
      <w:r>
        <w:rPr>
          <w:rFonts w:hint="eastAsia" w:ascii="仿宋_GB2312" w:hAnsi="仿宋_GB2312" w:eastAsia="仿宋_GB2312" w:cs="仿宋_GB2312"/>
          <w:color w:val="000000"/>
          <w:kern w:val="2"/>
          <w:sz w:val="24"/>
          <w:szCs w:val="24"/>
          <w:highlight w:val="none"/>
          <w:lang w:eastAsia="zh-CN" w:bidi="ar"/>
        </w:rPr>
        <w:t>采购人</w:t>
      </w:r>
      <w:r>
        <w:rPr>
          <w:rFonts w:hint="eastAsia" w:ascii="仿宋_GB2312" w:hAnsi="仿宋_GB2312" w:eastAsia="仿宋_GB2312" w:cs="仿宋_GB2312"/>
          <w:color w:val="000000"/>
          <w:kern w:val="2"/>
          <w:sz w:val="24"/>
          <w:szCs w:val="24"/>
          <w:highlight w:val="none"/>
          <w:lang w:val="en-US" w:eastAsia="zh-CN" w:bidi="ar"/>
        </w:rPr>
        <w:t>报告具体情况，对于受伤人员及时送医处理，对于受损车辆及时调派新车。</w:t>
      </w:r>
    </w:p>
    <w:p w14:paraId="29C0E66A">
      <w:pPr>
        <w:keepNext w:val="0"/>
        <w:keepLines w:val="0"/>
        <w:widowControl w:val="0"/>
        <w:numPr>
          <w:ilvl w:val="0"/>
          <w:numId w:val="0"/>
        </w:numPr>
        <w:suppressLineNumbers w:val="0"/>
        <w:spacing w:before="0" w:beforeAutospacing="0" w:after="0" w:afterAutospacing="0" w:line="400" w:lineRule="exact"/>
        <w:ind w:left="0"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2.市内用车</w:t>
      </w:r>
    </w:p>
    <w:p w14:paraId="5ACED77A">
      <w:pPr>
        <w:keepNext w:val="0"/>
        <w:keepLines w:val="0"/>
        <w:widowControl w:val="0"/>
        <w:numPr>
          <w:ilvl w:val="0"/>
          <w:numId w:val="0"/>
        </w:numPr>
        <w:suppressLineNumbers w:val="0"/>
        <w:spacing w:before="0" w:beforeAutospacing="0" w:after="0" w:afterAutospacing="0" w:line="400" w:lineRule="exact"/>
        <w:ind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（1）班车</w:t>
      </w:r>
    </w:p>
    <w:p w14:paraId="515F8BC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运行区间：赛时班车往返于场馆与运动员酒店</w:t>
      </w:r>
    </w:p>
    <w:p w14:paraId="4C9F777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val="en-US" w:eastAsia="zh-CN" w:bidi="ar"/>
        </w:rPr>
        <w:t>预计运行时间：7:00-22:00，每30分钟（比赛日）/1小时（训练日）一班车，根据赛程灵活调整。</w:t>
      </w:r>
    </w:p>
    <w:p w14:paraId="66FC4508">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val="en-US" w:eastAsia="zh-CN" w:bidi="ar"/>
        </w:rPr>
        <w:t>车型：大巴车、中巴车、小巴车</w:t>
      </w:r>
    </w:p>
    <w:p w14:paraId="2627B4F2">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（2）专车</w:t>
      </w:r>
    </w:p>
    <w:p w14:paraId="0D33049C">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 xml:space="preserve">    根据世界泳联要求，在本赛事期间，为世界泳联主席/代表、世界泳联赛事经理及其团队、世界泳联贵宾配备专职司机驾驶的专车</w:t>
      </w:r>
      <w:r>
        <w:rPr>
          <w:rFonts w:hint="eastAsia" w:ascii="仿宋_GB2312" w:hAnsi="仿宋_GB2312" w:eastAsia="仿宋_GB2312" w:cs="仿宋_GB2312"/>
          <w:color w:val="000000"/>
          <w:sz w:val="24"/>
          <w:highlight w:val="none"/>
          <w:lang w:eastAsia="zh-CN" w:bidi="ar"/>
        </w:rPr>
        <w:t>，</w:t>
      </w:r>
      <w:r>
        <w:rPr>
          <w:rFonts w:hint="eastAsia" w:ascii="仿宋_GB2312" w:hAnsi="仿宋_GB2312" w:eastAsia="仿宋_GB2312" w:cs="仿宋_GB2312"/>
          <w:color w:val="000000"/>
          <w:sz w:val="24"/>
          <w:highlight w:val="none"/>
          <w:lang w:val="en-US" w:eastAsia="zh-CN" w:bidi="ar"/>
        </w:rPr>
        <w:t>车型为商务车</w:t>
      </w:r>
      <w:r>
        <w:rPr>
          <w:rFonts w:hint="eastAsia" w:ascii="仿宋_GB2312" w:hAnsi="仿宋_GB2312" w:eastAsia="仿宋_GB2312" w:cs="仿宋_GB2312"/>
          <w:color w:val="000000"/>
          <w:sz w:val="24"/>
          <w:highlight w:val="none"/>
          <w:lang w:bidi="ar"/>
        </w:rPr>
        <w:t>。</w:t>
      </w:r>
    </w:p>
    <w:p w14:paraId="2E383469">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3.赛时交通运行保障</w:t>
      </w:r>
    </w:p>
    <w:p w14:paraId="13485FAA">
      <w:pPr>
        <w:keepNext w:val="0"/>
        <w:keepLines w:val="0"/>
        <w:widowControl w:val="0"/>
        <w:suppressLineNumbers w:val="0"/>
        <w:spacing w:before="0" w:beforeAutospacing="0" w:after="0" w:afterAutospacing="0" w:line="400" w:lineRule="exact"/>
        <w:ind w:left="0" w:right="0" w:firstLine="480" w:firstLineChars="200"/>
        <w:jc w:val="both"/>
        <w:rPr>
          <w:rFonts w:hint="eastAsia"/>
          <w:lang w:val="en-US" w:eastAsia="zh-CN"/>
        </w:rPr>
      </w:pPr>
      <w:r>
        <w:rPr>
          <w:rFonts w:hint="eastAsia" w:ascii="仿宋_GB2312" w:hAnsi="仿宋_GB2312" w:eastAsia="仿宋_GB2312" w:cs="仿宋_GB2312"/>
          <w:color w:val="000000"/>
          <w:kern w:val="2"/>
          <w:sz w:val="24"/>
          <w:szCs w:val="24"/>
          <w:highlight w:val="none"/>
          <w:lang w:val="en-US" w:eastAsia="zh-CN" w:bidi="ar"/>
        </w:rPr>
        <w:t>车辆协调人应与采购人在运动员、世界泳联官员及裁判员酒店、主场馆设置的交通信息联络点工作人员密切沟通配合，随时掌握往返班车情况，合理协调车辆，保障参赛人员按时抵达场馆、抵离顺畅。</w:t>
      </w:r>
    </w:p>
    <w:p w14:paraId="354CF7AC">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方正楷体_GB2312" w:hAnsi="方正楷体_GB2312" w:eastAsia="方正楷体_GB2312" w:cs="方正楷体_GB2312"/>
          <w:color w:val="000000"/>
          <w:sz w:val="24"/>
          <w:szCs w:val="24"/>
          <w:highlight w:val="none"/>
          <w:lang w:eastAsia="zh-CN"/>
        </w:rPr>
      </w:pPr>
      <w:r>
        <w:rPr>
          <w:rFonts w:hint="eastAsia" w:ascii="方正楷体_GB2312" w:hAnsi="方正楷体_GB2312" w:eastAsia="方正楷体_GB2312" w:cs="方正楷体_GB2312"/>
          <w:b w:val="0"/>
          <w:bCs w:val="0"/>
          <w:color w:val="000000"/>
          <w:sz w:val="24"/>
          <w:szCs w:val="24"/>
          <w:highlight w:val="none"/>
          <w:lang w:eastAsia="zh-CN"/>
        </w:rPr>
        <w:t>（</w:t>
      </w:r>
      <w:r>
        <w:rPr>
          <w:rFonts w:hint="eastAsia" w:ascii="方正楷体_GB2312" w:hAnsi="方正楷体_GB2312" w:eastAsia="方正楷体_GB2312" w:cs="方正楷体_GB2312"/>
          <w:b w:val="0"/>
          <w:bCs w:val="0"/>
          <w:color w:val="000000"/>
          <w:sz w:val="24"/>
          <w:szCs w:val="24"/>
          <w:highlight w:val="none"/>
          <w:lang w:val="en-US" w:eastAsia="zh-CN"/>
        </w:rPr>
        <w:t>五</w:t>
      </w:r>
      <w:r>
        <w:rPr>
          <w:rFonts w:hint="eastAsia" w:ascii="方正楷体_GB2312" w:hAnsi="方正楷体_GB2312" w:eastAsia="方正楷体_GB2312" w:cs="方正楷体_GB2312"/>
          <w:b w:val="0"/>
          <w:bCs w:val="0"/>
          <w:color w:val="000000"/>
          <w:sz w:val="24"/>
          <w:szCs w:val="24"/>
          <w:highlight w:val="none"/>
          <w:lang w:eastAsia="zh-CN"/>
        </w:rPr>
        <w:t>）</w:t>
      </w:r>
      <w:bookmarkStart w:id="2" w:name="OLE_LINK11"/>
      <w:r>
        <w:rPr>
          <w:rFonts w:hint="eastAsia" w:ascii="方正楷体_GB2312" w:hAnsi="方正楷体_GB2312" w:eastAsia="方正楷体_GB2312" w:cs="方正楷体_GB2312"/>
          <w:b w:val="0"/>
          <w:bCs w:val="0"/>
          <w:color w:val="000000"/>
          <w:sz w:val="24"/>
          <w:szCs w:val="24"/>
          <w:highlight w:val="none"/>
        </w:rPr>
        <w:t>车辆和车型需求及</w:t>
      </w:r>
      <w:r>
        <w:rPr>
          <w:rFonts w:hint="eastAsia" w:ascii="方正楷体_GB2312" w:hAnsi="方正楷体_GB2312" w:eastAsia="方正楷体_GB2312" w:cs="方正楷体_GB2312"/>
          <w:b w:val="0"/>
          <w:bCs w:val="0"/>
          <w:color w:val="000000"/>
          <w:sz w:val="24"/>
          <w:szCs w:val="24"/>
          <w:highlight w:val="none"/>
          <w:lang w:val="en-US" w:eastAsia="zh-CN"/>
        </w:rPr>
        <w:t>数量</w:t>
      </w:r>
      <w:bookmarkEnd w:id="2"/>
    </w:p>
    <w:p w14:paraId="6B0ED813">
      <w:pPr>
        <w:pStyle w:val="5"/>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lang w:eastAsia="zh-CN"/>
        </w:rPr>
        <w:t>接送机</w:t>
      </w:r>
    </w:p>
    <w:p w14:paraId="7916082E">
      <w:pPr>
        <w:pStyle w:val="5"/>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运动队、</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lang w:eastAsia="zh-CN"/>
        </w:rPr>
        <w:t>联官员及工作人员、</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lang w:eastAsia="zh-CN"/>
        </w:rPr>
        <w:t>联主席、</w:t>
      </w:r>
      <w:r>
        <w:rPr>
          <w:rFonts w:hint="default" w:ascii="仿宋_GB2312" w:hAnsi="仿宋_GB2312" w:eastAsia="仿宋_GB2312" w:cs="仿宋_GB2312"/>
          <w:color w:val="000000"/>
          <w:sz w:val="24"/>
          <w:szCs w:val="24"/>
          <w:highlight w:val="none"/>
          <w:lang w:val="en-US" w:eastAsia="zh-CN"/>
        </w:rPr>
        <w:t>秘书长</w:t>
      </w:r>
      <w:r>
        <w:rPr>
          <w:rFonts w:hint="eastAsia" w:ascii="仿宋_GB2312" w:hAnsi="仿宋_GB2312" w:eastAsia="仿宋_GB2312" w:cs="仿宋_GB2312"/>
          <w:color w:val="000000"/>
          <w:sz w:val="24"/>
          <w:szCs w:val="24"/>
          <w:highlight w:val="none"/>
          <w:lang w:val="en-US" w:eastAsia="zh-CN"/>
        </w:rPr>
        <w:t>等，各航站楼需配备车辆协调人。</w:t>
      </w:r>
    </w:p>
    <w:tbl>
      <w:tblPr>
        <w:tblStyle w:val="7"/>
        <w:tblpPr w:leftFromText="180" w:rightFromText="180" w:vertAnchor="text" w:horzAnchor="page" w:tblpX="2133" w:tblpY="210"/>
        <w:tblOverlap w:val="never"/>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32"/>
        <w:gridCol w:w="2070"/>
        <w:gridCol w:w="1590"/>
        <w:gridCol w:w="1266"/>
        <w:gridCol w:w="1677"/>
      </w:tblGrid>
      <w:tr w14:paraId="267443CA">
        <w:tc>
          <w:tcPr>
            <w:tcW w:w="622" w:type="pct"/>
            <w:tcBorders>
              <w:top w:val="single" w:color="auto" w:sz="4" w:space="0"/>
              <w:left w:val="single" w:color="auto" w:sz="4" w:space="0"/>
              <w:bottom w:val="single" w:color="auto" w:sz="4" w:space="0"/>
              <w:right w:val="single" w:color="auto" w:sz="4" w:space="0"/>
            </w:tcBorders>
            <w:noWrap w:val="0"/>
            <w:vAlign w:val="center"/>
          </w:tcPr>
          <w:p w14:paraId="21F31C5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bookmarkStart w:id="3" w:name="OLE_LINK7" w:colFirst="0" w:colLast="5"/>
            <w:bookmarkStart w:id="4" w:name="OLE_LINK4"/>
            <w:r>
              <w:rPr>
                <w:rFonts w:hint="eastAsia" w:ascii="仿宋_GB2312" w:hAnsi="仿宋_GB2312" w:eastAsia="仿宋_GB2312" w:cs="仿宋_GB2312"/>
                <w:b/>
                <w:bCs/>
                <w:kern w:val="2"/>
                <w:sz w:val="24"/>
                <w:szCs w:val="24"/>
                <w:highlight w:val="none"/>
                <w:lang w:val="en-US" w:eastAsia="zh-CN" w:bidi="ar"/>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726F9E1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156427C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349CC35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7ABF75C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1E2B71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7D7812D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6FD3084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bookmarkStart w:id="5" w:name="OLE_LINK13"/>
            <w:r>
              <w:rPr>
                <w:rFonts w:hint="eastAsia" w:ascii="仿宋_GB2312" w:hAnsi="仿宋_GB2312" w:eastAsia="仿宋_GB2312" w:cs="仿宋_GB2312"/>
                <w:b/>
                <w:bCs/>
                <w:kern w:val="2"/>
                <w:sz w:val="24"/>
                <w:szCs w:val="24"/>
                <w:highlight w:val="none"/>
                <w:lang w:val="en-US" w:eastAsia="zh-CN" w:bidi="ar"/>
              </w:rPr>
              <w:t>备注</w:t>
            </w:r>
            <w:bookmarkEnd w:id="5"/>
          </w:p>
        </w:tc>
      </w:tr>
      <w:bookmarkEnd w:id="3"/>
      <w:tr w14:paraId="3083CF3C">
        <w:tc>
          <w:tcPr>
            <w:tcW w:w="622" w:type="pct"/>
            <w:vMerge w:val="restart"/>
            <w:tcBorders>
              <w:top w:val="single" w:color="auto" w:sz="4" w:space="0"/>
              <w:left w:val="single" w:color="auto" w:sz="4" w:space="0"/>
              <w:right w:val="single" w:color="auto" w:sz="4" w:space="0"/>
            </w:tcBorders>
            <w:noWrap w:val="0"/>
            <w:vAlign w:val="center"/>
          </w:tcPr>
          <w:p w14:paraId="6C0A5119">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1</w:t>
            </w:r>
          </w:p>
        </w:tc>
        <w:tc>
          <w:tcPr>
            <w:tcW w:w="824" w:type="pct"/>
            <w:vMerge w:val="restart"/>
            <w:tcBorders>
              <w:top w:val="single" w:color="auto" w:sz="4" w:space="0"/>
              <w:left w:val="single" w:color="auto" w:sz="4" w:space="0"/>
              <w:right w:val="single" w:color="auto" w:sz="4" w:space="0"/>
            </w:tcBorders>
            <w:noWrap w:val="0"/>
            <w:vAlign w:val="center"/>
          </w:tcPr>
          <w:p w14:paraId="2D449A9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接送机</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4262D25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43232D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B066FB2">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902" w:type="pct"/>
            <w:vMerge w:val="restart"/>
            <w:tcBorders>
              <w:top w:val="single" w:color="auto" w:sz="4" w:space="0"/>
              <w:left w:val="single" w:color="auto" w:sz="4" w:space="0"/>
              <w:right w:val="single" w:color="auto" w:sz="4" w:space="0"/>
            </w:tcBorders>
            <w:noWrap w:val="0"/>
            <w:vAlign w:val="center"/>
          </w:tcPr>
          <w:p w14:paraId="1003C97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bookmarkStart w:id="6" w:name="OLE_LINK12"/>
            <w:r>
              <w:rPr>
                <w:rFonts w:hint="eastAsia" w:ascii="仿宋_GB2312" w:hAnsi="仿宋_GB2312" w:eastAsia="仿宋_GB2312" w:cs="仿宋_GB2312"/>
                <w:kern w:val="2"/>
                <w:sz w:val="24"/>
                <w:szCs w:val="24"/>
                <w:highlight w:val="none"/>
                <w:lang w:val="en-US" w:eastAsia="zh-CN" w:bidi="ar"/>
              </w:rPr>
              <w:t>含司机</w:t>
            </w:r>
            <w:bookmarkEnd w:id="6"/>
          </w:p>
          <w:p w14:paraId="32AF5A8B">
            <w:pPr>
              <w:pStyle w:val="2"/>
              <w:keepNext w:val="0"/>
              <w:keepLines w:val="0"/>
              <w:suppressLineNumbers w:val="0"/>
              <w:spacing w:before="0" w:beforeAutospacing="0" w:after="0" w:afterAutospacing="0"/>
              <w:ind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含首都机场、</w:t>
            </w:r>
          </w:p>
          <w:p w14:paraId="1FD6299E">
            <w:pPr>
              <w:pStyle w:val="2"/>
              <w:keepNext w:val="0"/>
              <w:keepLines w:val="0"/>
              <w:suppressLineNumbers w:val="0"/>
              <w:spacing w:before="0" w:beforeAutospacing="0" w:after="0" w:afterAutospacing="0"/>
              <w:ind w:right="0"/>
              <w:jc w:val="center"/>
              <w:rPr>
                <w:rFonts w:hint="eastAsia"/>
                <w:highlight w:val="none"/>
                <w:lang w:val="en-US" w:eastAsia="zh-CN"/>
              </w:rPr>
            </w:pPr>
            <w:r>
              <w:rPr>
                <w:rFonts w:hint="eastAsia" w:ascii="仿宋_GB2312" w:hAnsi="仿宋_GB2312" w:eastAsia="仿宋_GB2312" w:cs="仿宋_GB2312"/>
                <w:kern w:val="2"/>
                <w:sz w:val="24"/>
                <w:szCs w:val="24"/>
                <w:highlight w:val="none"/>
                <w:lang w:val="en-US" w:eastAsia="zh-CN" w:bidi="ar"/>
              </w:rPr>
              <w:t>大兴机场</w:t>
            </w:r>
          </w:p>
        </w:tc>
      </w:tr>
      <w:tr w14:paraId="2712B350">
        <w:tc>
          <w:tcPr>
            <w:tcW w:w="622" w:type="pct"/>
            <w:vMerge w:val="continue"/>
            <w:tcBorders>
              <w:left w:val="single" w:color="auto" w:sz="4" w:space="0"/>
              <w:right w:val="single" w:color="auto" w:sz="4" w:space="0"/>
            </w:tcBorders>
            <w:noWrap w:val="0"/>
            <w:vAlign w:val="center"/>
          </w:tcPr>
          <w:p w14:paraId="51DE794C">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right w:val="single" w:color="auto" w:sz="4" w:space="0"/>
            </w:tcBorders>
            <w:noWrap w:val="0"/>
            <w:vAlign w:val="center"/>
          </w:tcPr>
          <w:p w14:paraId="12A3E7B3">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6C44CEF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F8CD06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254B6D25">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902" w:type="pct"/>
            <w:vMerge w:val="continue"/>
            <w:tcBorders>
              <w:left w:val="single" w:color="auto" w:sz="4" w:space="0"/>
              <w:right w:val="single" w:color="auto" w:sz="4" w:space="0"/>
            </w:tcBorders>
            <w:noWrap w:val="0"/>
            <w:vAlign w:val="center"/>
          </w:tcPr>
          <w:p w14:paraId="144661F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tr w14:paraId="62451AE2">
        <w:tc>
          <w:tcPr>
            <w:tcW w:w="622" w:type="pct"/>
            <w:vMerge w:val="continue"/>
            <w:tcBorders>
              <w:left w:val="single" w:color="auto" w:sz="4" w:space="0"/>
              <w:right w:val="single" w:color="auto" w:sz="4" w:space="0"/>
            </w:tcBorders>
            <w:noWrap w:val="0"/>
            <w:vAlign w:val="center"/>
          </w:tcPr>
          <w:p w14:paraId="3682D63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right w:val="single" w:color="auto" w:sz="4" w:space="0"/>
            </w:tcBorders>
            <w:noWrap w:val="0"/>
            <w:vAlign w:val="center"/>
          </w:tcPr>
          <w:p w14:paraId="24C628E3">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3E9D00B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7" w:name="OLE_LINK5"/>
            <w:r>
              <w:rPr>
                <w:rFonts w:hint="eastAsia" w:ascii="仿宋_GB2312" w:hAnsi="仿宋_GB2312" w:eastAsia="仿宋_GB2312" w:cs="仿宋_GB2312"/>
                <w:kern w:val="2"/>
                <w:sz w:val="24"/>
                <w:szCs w:val="24"/>
                <w:highlight w:val="none"/>
                <w:lang w:val="en-US" w:eastAsia="zh-CN" w:bidi="ar"/>
              </w:rPr>
              <w:t>小巴（19座）</w:t>
            </w:r>
            <w:bookmarkEnd w:id="7"/>
          </w:p>
        </w:tc>
        <w:tc>
          <w:tcPr>
            <w:tcW w:w="855" w:type="pct"/>
            <w:tcBorders>
              <w:top w:val="single" w:color="auto" w:sz="4" w:space="0"/>
              <w:left w:val="single" w:color="auto" w:sz="4" w:space="0"/>
              <w:bottom w:val="single" w:color="auto" w:sz="4" w:space="0"/>
              <w:right w:val="single" w:color="auto" w:sz="4" w:space="0"/>
            </w:tcBorders>
            <w:noWrap w:val="0"/>
            <w:vAlign w:val="top"/>
          </w:tcPr>
          <w:p w14:paraId="13D5EAA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8" w:name="OLE_LINK3"/>
            <w:r>
              <w:rPr>
                <w:rFonts w:hint="eastAsia" w:ascii="仿宋_GB2312" w:hAnsi="仿宋_GB2312" w:eastAsia="仿宋_GB2312" w:cs="仿宋_GB2312"/>
                <w:kern w:val="2"/>
                <w:sz w:val="24"/>
                <w:szCs w:val="24"/>
                <w:highlight w:val="none"/>
                <w:lang w:val="en-US" w:eastAsia="zh-CN" w:bidi="ar"/>
              </w:rPr>
              <w:t>趟/次</w:t>
            </w:r>
            <w:bookmarkEnd w:id="8"/>
          </w:p>
        </w:tc>
        <w:tc>
          <w:tcPr>
            <w:tcW w:w="681" w:type="pct"/>
            <w:tcBorders>
              <w:top w:val="single" w:color="auto" w:sz="4" w:space="0"/>
              <w:left w:val="single" w:color="auto" w:sz="4" w:space="0"/>
              <w:bottom w:val="single" w:color="auto" w:sz="4" w:space="0"/>
              <w:right w:val="single" w:color="auto" w:sz="4" w:space="0"/>
            </w:tcBorders>
            <w:noWrap w:val="0"/>
            <w:vAlign w:val="center"/>
          </w:tcPr>
          <w:p w14:paraId="33CC054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02" w:type="pct"/>
            <w:vMerge w:val="continue"/>
            <w:tcBorders>
              <w:left w:val="single" w:color="auto" w:sz="4" w:space="0"/>
              <w:right w:val="single" w:color="auto" w:sz="4" w:space="0"/>
            </w:tcBorders>
            <w:noWrap w:val="0"/>
            <w:vAlign w:val="center"/>
          </w:tcPr>
          <w:p w14:paraId="4C4AEF3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tr w14:paraId="1915ED29">
        <w:tc>
          <w:tcPr>
            <w:tcW w:w="622" w:type="pct"/>
            <w:vMerge w:val="continue"/>
            <w:tcBorders>
              <w:left w:val="single" w:color="auto" w:sz="4" w:space="0"/>
              <w:bottom w:val="single" w:color="auto" w:sz="4" w:space="0"/>
              <w:right w:val="single" w:color="auto" w:sz="4" w:space="0"/>
            </w:tcBorders>
            <w:noWrap w:val="0"/>
            <w:vAlign w:val="center"/>
          </w:tcPr>
          <w:p w14:paraId="739FFD89">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bottom w:val="single" w:color="auto" w:sz="4" w:space="0"/>
              <w:right w:val="single" w:color="auto" w:sz="4" w:space="0"/>
            </w:tcBorders>
            <w:noWrap w:val="0"/>
            <w:vAlign w:val="center"/>
          </w:tcPr>
          <w:p w14:paraId="5DE117CD">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203DC26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商务车（7座）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7AA62A6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0ED174F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02" w:type="pct"/>
            <w:vMerge w:val="continue"/>
            <w:tcBorders>
              <w:left w:val="single" w:color="auto" w:sz="4" w:space="0"/>
              <w:right w:val="single" w:color="auto" w:sz="4" w:space="0"/>
            </w:tcBorders>
            <w:noWrap w:val="0"/>
            <w:vAlign w:val="center"/>
          </w:tcPr>
          <w:p w14:paraId="7E135E7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bookmarkEnd w:id="4"/>
    </w:tbl>
    <w:p w14:paraId="299630AD">
      <w:pPr>
        <w:pStyle w:val="5"/>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2.市内用车</w:t>
      </w:r>
    </w:p>
    <w:tbl>
      <w:tblPr>
        <w:tblStyle w:val="7"/>
        <w:tblpPr w:leftFromText="180" w:rightFromText="180" w:vertAnchor="text" w:horzAnchor="page" w:tblpX="2128" w:tblpY="601"/>
        <w:tblOverlap w:val="never"/>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32"/>
        <w:gridCol w:w="2070"/>
        <w:gridCol w:w="1590"/>
        <w:gridCol w:w="1266"/>
        <w:gridCol w:w="1677"/>
      </w:tblGrid>
      <w:tr w14:paraId="166100D7">
        <w:tc>
          <w:tcPr>
            <w:tcW w:w="622" w:type="pct"/>
            <w:tcBorders>
              <w:top w:val="single" w:color="auto" w:sz="4" w:space="0"/>
              <w:left w:val="single" w:color="auto" w:sz="4" w:space="0"/>
              <w:bottom w:val="single" w:color="auto" w:sz="4" w:space="0"/>
              <w:right w:val="single" w:color="auto" w:sz="4" w:space="0"/>
            </w:tcBorders>
            <w:noWrap w:val="0"/>
            <w:vAlign w:val="center"/>
          </w:tcPr>
          <w:p w14:paraId="71A0CEB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1883C10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1147A7E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3D9A365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3B0A52A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AEBE37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762A9B9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1E096E1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备注</w:t>
            </w:r>
          </w:p>
        </w:tc>
      </w:tr>
      <w:tr w14:paraId="172F09DD">
        <w:tc>
          <w:tcPr>
            <w:tcW w:w="622" w:type="pct"/>
            <w:vMerge w:val="restart"/>
            <w:tcBorders>
              <w:top w:val="single" w:color="auto" w:sz="4" w:space="0"/>
              <w:left w:val="single" w:color="auto" w:sz="4" w:space="0"/>
              <w:right w:val="single" w:color="auto" w:sz="4" w:space="0"/>
            </w:tcBorders>
            <w:noWrap w:val="0"/>
            <w:vAlign w:val="center"/>
          </w:tcPr>
          <w:p w14:paraId="6D1E7E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9" w:name="OLE_LINK6" w:colFirst="4" w:colLast="4"/>
            <w:r>
              <w:rPr>
                <w:rFonts w:hint="eastAsia" w:ascii="仿宋_GB2312" w:hAnsi="仿宋_GB2312" w:eastAsia="仿宋_GB2312" w:cs="仿宋_GB2312"/>
                <w:kern w:val="2"/>
                <w:sz w:val="24"/>
                <w:szCs w:val="24"/>
                <w:highlight w:val="none"/>
                <w:lang w:val="en-US" w:eastAsia="zh-CN" w:bidi="ar"/>
              </w:rPr>
              <w:t>1</w:t>
            </w:r>
          </w:p>
        </w:tc>
        <w:tc>
          <w:tcPr>
            <w:tcW w:w="824" w:type="pct"/>
            <w:vMerge w:val="restart"/>
            <w:tcBorders>
              <w:top w:val="single" w:color="auto" w:sz="4" w:space="0"/>
              <w:left w:val="single" w:color="auto" w:sz="4" w:space="0"/>
              <w:right w:val="single" w:color="auto" w:sz="4" w:space="0"/>
            </w:tcBorders>
            <w:noWrap w:val="0"/>
            <w:vAlign w:val="center"/>
          </w:tcPr>
          <w:p w14:paraId="16C8A82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市内用车</w:t>
            </w:r>
          </w:p>
        </w:tc>
        <w:tc>
          <w:tcPr>
            <w:tcW w:w="1113" w:type="pct"/>
            <w:tcBorders>
              <w:top w:val="single" w:color="auto" w:sz="4" w:space="0"/>
              <w:left w:val="single" w:color="auto" w:sz="4" w:space="0"/>
              <w:bottom w:val="single" w:color="auto" w:sz="4" w:space="0"/>
              <w:right w:val="single" w:color="auto" w:sz="4" w:space="0"/>
            </w:tcBorders>
            <w:noWrap w:val="0"/>
            <w:vAlign w:val="top"/>
          </w:tcPr>
          <w:p w14:paraId="701E457E">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174B9720">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A9004CB">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48</w:t>
            </w:r>
          </w:p>
        </w:tc>
        <w:tc>
          <w:tcPr>
            <w:tcW w:w="902" w:type="pct"/>
            <w:vMerge w:val="restart"/>
            <w:tcBorders>
              <w:top w:val="single" w:color="auto" w:sz="4" w:space="0"/>
              <w:left w:val="single" w:color="auto" w:sz="4" w:space="0"/>
              <w:right w:val="single" w:color="auto" w:sz="4" w:space="0"/>
            </w:tcBorders>
            <w:noWrap w:val="0"/>
            <w:vAlign w:val="center"/>
          </w:tcPr>
          <w:p w14:paraId="671BEA4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含司机</w:t>
            </w:r>
          </w:p>
          <w:p w14:paraId="2019111F">
            <w:pPr>
              <w:pStyle w:val="2"/>
              <w:keepNext w:val="0"/>
              <w:keepLines w:val="0"/>
              <w:suppressLineNumbers w:val="0"/>
              <w:spacing w:before="0" w:beforeAutospacing="0" w:after="0" w:afterAutospacing="0"/>
              <w:ind w:right="0"/>
              <w:rPr>
                <w:rFonts w:hint="eastAsia"/>
                <w:lang w:val="en-US" w:eastAsia="zh-CN"/>
              </w:rPr>
            </w:pPr>
            <w:r>
              <w:rPr>
                <w:rFonts w:hint="eastAsia" w:ascii="仿宋_GB2312" w:hAnsi="仿宋_GB2312" w:eastAsia="仿宋_GB2312" w:cs="仿宋_GB2312"/>
                <w:kern w:val="2"/>
                <w:sz w:val="24"/>
                <w:szCs w:val="24"/>
                <w:highlight w:val="none"/>
                <w:lang w:val="en-US" w:eastAsia="zh-CN" w:bidi="ar"/>
              </w:rPr>
              <w:t>（8小时为一班次）</w:t>
            </w:r>
          </w:p>
        </w:tc>
      </w:tr>
      <w:tr w14:paraId="50350836">
        <w:tc>
          <w:tcPr>
            <w:tcW w:w="622" w:type="pct"/>
            <w:vMerge w:val="continue"/>
            <w:tcBorders>
              <w:left w:val="single" w:color="auto" w:sz="4" w:space="0"/>
              <w:right w:val="single" w:color="auto" w:sz="4" w:space="0"/>
            </w:tcBorders>
            <w:noWrap w:val="0"/>
            <w:vAlign w:val="center"/>
          </w:tcPr>
          <w:p w14:paraId="45AA69F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824" w:type="pct"/>
            <w:vMerge w:val="continue"/>
            <w:tcBorders>
              <w:left w:val="single" w:color="auto" w:sz="4" w:space="0"/>
              <w:right w:val="single" w:color="auto" w:sz="4" w:space="0"/>
            </w:tcBorders>
            <w:noWrap w:val="0"/>
            <w:vAlign w:val="center"/>
          </w:tcPr>
          <w:p w14:paraId="2CD7CC1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11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8E8A7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85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A2FD05D">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441F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902" w:type="pct"/>
            <w:vMerge w:val="continue"/>
            <w:tcBorders>
              <w:left w:val="single" w:color="auto" w:sz="4" w:space="0"/>
              <w:right w:val="single" w:color="auto" w:sz="4" w:space="0"/>
            </w:tcBorders>
            <w:noWrap w:val="0"/>
            <w:vAlign w:val="center"/>
          </w:tcPr>
          <w:p w14:paraId="40CEF45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tr w14:paraId="6B2420DC">
        <w:tc>
          <w:tcPr>
            <w:tcW w:w="622" w:type="pct"/>
            <w:vMerge w:val="continue"/>
            <w:tcBorders>
              <w:left w:val="single" w:color="auto" w:sz="4" w:space="0"/>
              <w:right w:val="single" w:color="auto" w:sz="4" w:space="0"/>
            </w:tcBorders>
            <w:noWrap w:val="0"/>
            <w:vAlign w:val="center"/>
          </w:tcPr>
          <w:p w14:paraId="55627B0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824" w:type="pct"/>
            <w:vMerge w:val="continue"/>
            <w:tcBorders>
              <w:left w:val="single" w:color="auto" w:sz="4" w:space="0"/>
              <w:right w:val="single" w:color="auto" w:sz="4" w:space="0"/>
            </w:tcBorders>
            <w:noWrap w:val="0"/>
            <w:vAlign w:val="center"/>
          </w:tcPr>
          <w:p w14:paraId="6DC4761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1113" w:type="pct"/>
            <w:tcBorders>
              <w:top w:val="single" w:color="auto" w:sz="4" w:space="0"/>
              <w:left w:val="single" w:color="auto" w:sz="4" w:space="0"/>
              <w:bottom w:val="single" w:color="auto" w:sz="4" w:space="0"/>
              <w:right w:val="single" w:color="auto" w:sz="4" w:space="0"/>
            </w:tcBorders>
            <w:noWrap w:val="0"/>
            <w:vAlign w:val="top"/>
          </w:tcPr>
          <w:p w14:paraId="25DFABCA">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580D0E9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1628080">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28</w:t>
            </w:r>
          </w:p>
        </w:tc>
        <w:tc>
          <w:tcPr>
            <w:tcW w:w="902" w:type="pct"/>
            <w:vMerge w:val="continue"/>
            <w:tcBorders>
              <w:left w:val="single" w:color="auto" w:sz="4" w:space="0"/>
              <w:right w:val="single" w:color="auto" w:sz="4" w:space="0"/>
            </w:tcBorders>
            <w:noWrap w:val="0"/>
            <w:vAlign w:val="center"/>
          </w:tcPr>
          <w:p w14:paraId="4B7FC06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tr w14:paraId="3087FDA2">
        <w:tc>
          <w:tcPr>
            <w:tcW w:w="622" w:type="pct"/>
            <w:vMerge w:val="continue"/>
            <w:tcBorders>
              <w:left w:val="single" w:color="auto" w:sz="4" w:space="0"/>
              <w:bottom w:val="single" w:color="auto" w:sz="4" w:space="0"/>
              <w:right w:val="single" w:color="auto" w:sz="4" w:space="0"/>
            </w:tcBorders>
            <w:noWrap w:val="0"/>
            <w:vAlign w:val="center"/>
          </w:tcPr>
          <w:p w14:paraId="258ED790">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yellow"/>
              </w:rPr>
            </w:pPr>
          </w:p>
        </w:tc>
        <w:tc>
          <w:tcPr>
            <w:tcW w:w="824" w:type="pct"/>
            <w:vMerge w:val="continue"/>
            <w:tcBorders>
              <w:left w:val="single" w:color="auto" w:sz="4" w:space="0"/>
              <w:bottom w:val="single" w:color="auto" w:sz="4" w:space="0"/>
              <w:right w:val="single" w:color="auto" w:sz="4" w:space="0"/>
            </w:tcBorders>
            <w:noWrap w:val="0"/>
            <w:vAlign w:val="center"/>
          </w:tcPr>
          <w:p w14:paraId="290FE72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yellow"/>
              </w:rPr>
            </w:pPr>
          </w:p>
        </w:tc>
        <w:tc>
          <w:tcPr>
            <w:tcW w:w="1113" w:type="pct"/>
            <w:tcBorders>
              <w:top w:val="single" w:color="auto" w:sz="4" w:space="0"/>
              <w:left w:val="single" w:color="auto" w:sz="4" w:space="0"/>
              <w:bottom w:val="single" w:color="auto" w:sz="4" w:space="0"/>
              <w:right w:val="single" w:color="auto" w:sz="4" w:space="0"/>
            </w:tcBorders>
            <w:noWrap w:val="0"/>
            <w:vAlign w:val="top"/>
          </w:tcPr>
          <w:p w14:paraId="5E056269">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商务车（7座）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15A436BE">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5B6C3EDE">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902" w:type="pct"/>
            <w:vMerge w:val="continue"/>
            <w:tcBorders>
              <w:left w:val="single" w:color="auto" w:sz="4" w:space="0"/>
              <w:bottom w:val="single" w:color="auto" w:sz="4" w:space="0"/>
              <w:right w:val="single" w:color="auto" w:sz="4" w:space="0"/>
            </w:tcBorders>
            <w:noWrap w:val="0"/>
            <w:vAlign w:val="center"/>
          </w:tcPr>
          <w:p w14:paraId="1FF7A18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bookmarkEnd w:id="9"/>
    </w:tbl>
    <w:p w14:paraId="7B82117F">
      <w:pPr>
        <w:pStyle w:val="2"/>
        <w:ind w:left="559" w:leftChars="266" w:firstLine="0" w:firstLineChars="0"/>
        <w:rPr>
          <w:rFonts w:hint="eastAsia" w:ascii="黑体" w:hAnsi="黑体" w:eastAsia="黑体" w:cs="黑体"/>
          <w:sz w:val="28"/>
          <w:szCs w:val="28"/>
          <w:highlight w:val="yellow"/>
          <w:lang w:val="en-US" w:eastAsia="zh-CN"/>
        </w:rPr>
      </w:pPr>
    </w:p>
    <w:p w14:paraId="3A61024E">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三、服务要求</w:t>
      </w:r>
    </w:p>
    <w:p w14:paraId="1CB508F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1.报价人需确保所提供的交通服务在交付、运行、维护和保障等环节中，充分满足赛事交通服务需求，并根据采购人相关要求，自行筹措提供服务所需车辆、人员、设备、物资耗材、后勤保障等关键要素。</w:t>
      </w:r>
    </w:p>
    <w:p w14:paraId="3C6BC22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报价人所提供的服务车辆和人员须符合《城市公共汽车和电车客运管理规定》《道路运输管理条例》《旅客运输管理规定》等国家法律法规及地方标准的有关规定。当服务车辆和人员因故不能继续提供服务时，报价人须提供相同条件的替换。</w:t>
      </w:r>
    </w:p>
    <w:p w14:paraId="1BFC1AEC">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3.报价人所提供服务的驾驶员须具备国家相关法律法规所规定的驾驶资质和从业资格，并根据交通运行计划和赛事实际运行情况，合理安排人员岗位排班。</w:t>
      </w:r>
    </w:p>
    <w:p w14:paraId="502AF5C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rPr>
        <w:t>4.</w:t>
      </w:r>
      <w:r>
        <w:rPr>
          <w:rFonts w:hint="eastAsia" w:ascii="仿宋_GB2312" w:hAnsi="仿宋_GB2312" w:eastAsia="仿宋_GB2312" w:cs="仿宋_GB2312"/>
          <w:color w:val="000000"/>
          <w:kern w:val="2"/>
          <w:sz w:val="24"/>
          <w:szCs w:val="24"/>
          <w:highlight w:val="none"/>
          <w:lang w:val="en-US" w:eastAsia="zh-CN" w:bidi="ar"/>
        </w:rPr>
        <w:t>报价人需在采购人指定的交通场站、停车场及指定区域进行车辆的停驻、管理和运维。赛事服务车辆需按照</w:t>
      </w:r>
      <w:r>
        <w:rPr>
          <w:rFonts w:hint="eastAsia" w:ascii="仿宋_GB2312" w:hAnsi="仿宋_GB2312" w:eastAsia="仿宋_GB2312" w:cs="仿宋_GB2312"/>
          <w:color w:val="000000"/>
          <w:kern w:val="2"/>
          <w:sz w:val="24"/>
          <w:szCs w:val="24"/>
          <w:highlight w:val="none"/>
          <w:lang w:eastAsia="zh-CN" w:bidi="ar"/>
        </w:rPr>
        <w:t>相关</w:t>
      </w:r>
      <w:r>
        <w:rPr>
          <w:rFonts w:hint="eastAsia" w:ascii="仿宋_GB2312" w:hAnsi="仿宋_GB2312" w:eastAsia="仿宋_GB2312" w:cs="仿宋_GB2312"/>
          <w:color w:val="000000"/>
          <w:kern w:val="2"/>
          <w:sz w:val="24"/>
          <w:szCs w:val="24"/>
          <w:highlight w:val="none"/>
          <w:lang w:val="en-US" w:eastAsia="zh-CN" w:bidi="ar"/>
        </w:rPr>
        <w:t>规定的行驶范围、线路、上落客站运行，并按照采购人和主办城市公安交管部门要求，根据交通实际情况适时调整。</w:t>
      </w:r>
    </w:p>
    <w:p w14:paraId="46B480A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5.故障车辆维修过程中，报价人需提供同类型档次的替换车辆，确保交通运力充足（不含赞助商提供服务车辆的维修和保养）。</w:t>
      </w:r>
    </w:p>
    <w:p w14:paraId="6FF38755">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四、团队组建需求</w:t>
      </w:r>
    </w:p>
    <w:p w14:paraId="3BDA734D">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1.人员配备</w:t>
      </w:r>
    </w:p>
    <w:p w14:paraId="6EE710C2">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服务商须根据项目需求组建项目管理团队，设立项目总负责人1人</w:t>
      </w:r>
      <w:r>
        <w:rPr>
          <w:rFonts w:hint="eastAsia" w:ascii="仿宋_GB2312" w:hAnsi="仿宋_GB2312" w:eastAsia="仿宋_GB2312" w:cs="仿宋_GB2312"/>
          <w:color w:val="000000"/>
          <w:sz w:val="24"/>
          <w:szCs w:val="24"/>
          <w:highlight w:val="none"/>
          <w:lang w:val="en-US" w:eastAsia="zh-CN"/>
        </w:rPr>
        <w:t>及至少3名车辆协调人员，</w:t>
      </w:r>
      <w:r>
        <w:rPr>
          <w:rFonts w:hint="eastAsia" w:ascii="仿宋_GB2312" w:hAnsi="仿宋_GB2312" w:eastAsia="仿宋_GB2312" w:cs="仿宋_GB2312"/>
          <w:color w:val="000000"/>
          <w:sz w:val="24"/>
          <w:szCs w:val="24"/>
          <w:highlight w:val="none"/>
        </w:rPr>
        <w:t>负责项目执行、指挥协调、技术支持等工作</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协调人员需在机场确保接送人员没有遗漏，安全登车</w:t>
      </w:r>
      <w:r>
        <w:rPr>
          <w:rFonts w:hint="eastAsia" w:ascii="仿宋_GB2312" w:hAnsi="仿宋_GB2312" w:eastAsia="仿宋_GB2312" w:cs="仿宋_GB2312"/>
          <w:color w:val="000000"/>
          <w:sz w:val="24"/>
          <w:szCs w:val="24"/>
          <w:highlight w:val="none"/>
        </w:rPr>
        <w:t>。</w:t>
      </w:r>
    </w:p>
    <w:p w14:paraId="56C2DD97">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投入本项目负责人</w:t>
      </w:r>
      <w:r>
        <w:rPr>
          <w:rFonts w:hint="eastAsia" w:ascii="仿宋_GB2312" w:hAnsi="仿宋_GB2312" w:eastAsia="仿宋_GB2312" w:cs="仿宋_GB2312"/>
          <w:color w:val="000000"/>
          <w:sz w:val="24"/>
          <w:szCs w:val="24"/>
          <w:highlight w:val="none"/>
          <w:lang w:val="en-US" w:eastAsia="zh-CN"/>
        </w:rPr>
        <w:t>及车辆协调人员需从事</w:t>
      </w:r>
      <w:r>
        <w:rPr>
          <w:rFonts w:hint="eastAsia" w:ascii="仿宋_GB2312" w:hAnsi="仿宋_GB2312" w:eastAsia="仿宋_GB2312" w:cs="仿宋_GB2312"/>
          <w:color w:val="000000"/>
          <w:sz w:val="24"/>
          <w:szCs w:val="24"/>
          <w:highlight w:val="none"/>
        </w:rPr>
        <w:t>过国际级或国家级大型会议、活动、</w:t>
      </w:r>
      <w:r>
        <w:rPr>
          <w:rFonts w:hint="eastAsia" w:ascii="仿宋_GB2312" w:hAnsi="仿宋_GB2312" w:eastAsia="仿宋_GB2312" w:cs="仿宋_GB2312"/>
          <w:color w:val="000000"/>
          <w:sz w:val="24"/>
          <w:szCs w:val="24"/>
          <w:highlight w:val="none"/>
          <w:lang w:val="en-US" w:eastAsia="zh-CN"/>
        </w:rPr>
        <w:t>体育</w:t>
      </w:r>
      <w:r>
        <w:rPr>
          <w:rFonts w:hint="eastAsia" w:ascii="仿宋_GB2312" w:hAnsi="仿宋_GB2312" w:eastAsia="仿宋_GB2312" w:cs="仿宋_GB2312"/>
          <w:color w:val="000000"/>
          <w:sz w:val="24"/>
          <w:szCs w:val="24"/>
          <w:highlight w:val="none"/>
        </w:rPr>
        <w:t>赛事等的车辆租赁运输保障服务</w:t>
      </w:r>
      <w:r>
        <w:rPr>
          <w:rFonts w:hint="eastAsia" w:ascii="仿宋_GB2312" w:hAnsi="仿宋_GB2312" w:eastAsia="仿宋_GB2312" w:cs="仿宋_GB2312"/>
          <w:color w:val="000000"/>
          <w:sz w:val="24"/>
          <w:szCs w:val="24"/>
          <w:highlight w:val="none"/>
          <w:lang w:eastAsia="zh-CN"/>
        </w:rPr>
        <w:t>；工作人员应为在册正式员工，专职服务本项目。供应商须承诺拟投入工作人员不得有犯罪记录。</w:t>
      </w:r>
    </w:p>
    <w:p w14:paraId="37CAB723">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sz w:val="24"/>
          <w:szCs w:val="24"/>
          <w:highlight w:val="none"/>
          <w:lang w:val="en-US" w:eastAsia="zh-CN"/>
        </w:rPr>
        <w:t>人员管理</w:t>
      </w:r>
    </w:p>
    <w:p w14:paraId="5BEBCEE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人员管理：交通服务人员资格由所在单位进行审核，并报公安部门进行背景审查。管理采取封闭管理、分级负责、统一调配原则，确保交通服务人员明确自身职责、严守纪律，提高组织协调、应急处置和工作协同能力</w:t>
      </w:r>
    </w:p>
    <w:p w14:paraId="6FD9E30A">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sz w:val="24"/>
          <w:szCs w:val="24"/>
          <w:highlight w:val="none"/>
          <w:lang w:val="en-US" w:eastAsia="zh-CN"/>
        </w:rPr>
        <w:t>教育培训：交通运行团队负责对服务人员进行政治纪律、服务礼仪、服务规范及安全等教育。熟悉车辆状况、技术性能、行车注意事项等。适时组织服务人员模拟、抵离、转场、现场摆渡、专车服务等专车组织、服务流程、组织流线等演练。</w:t>
      </w:r>
    </w:p>
    <w:p w14:paraId="786DCC8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（3）驾驶员必须经验丰富，熟悉所有交通服务涉及路线；佩戴赛事核发证件并统一着装。</w:t>
      </w:r>
    </w:p>
    <w:p w14:paraId="330CDA7C">
      <w:pPr>
        <w:widowControl w:val="0"/>
        <w:numPr>
          <w:ilvl w:val="0"/>
          <w:numId w:val="0"/>
        </w:numPr>
        <w:adjustRightInd w:val="0"/>
        <w:snapToGrid w:val="0"/>
        <w:spacing w:line="400" w:lineRule="exact"/>
        <w:ind w:left="0" w:leftChars="0"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车辆配备情况</w:t>
      </w:r>
    </w:p>
    <w:p w14:paraId="3E9EAE49">
      <w:pPr>
        <w:widowControl/>
        <w:spacing w:line="400" w:lineRule="exact"/>
        <w:ind w:firstLine="480" w:firstLineChars="200"/>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车辆车贴车头纸服务，是指比选方按照赛事组委的要求，为所提供服务的车辆安装车贴和车头纸的服务，并用时维护和赛后去除</w:t>
      </w:r>
      <w:r>
        <w:rPr>
          <w:rFonts w:hint="eastAsia" w:ascii="仿宋_GB2312" w:hAnsi="仿宋_GB2312" w:eastAsia="仿宋_GB2312" w:cs="仿宋_GB2312"/>
          <w:color w:val="000000"/>
          <w:sz w:val="24"/>
          <w:szCs w:val="24"/>
          <w:highlight w:val="none"/>
          <w:lang w:eastAsia="zh-CN"/>
        </w:rPr>
        <w:t>，相应费用已包含在车辆报价中。</w:t>
      </w:r>
    </w:p>
    <w:p w14:paraId="36519B3C">
      <w:pPr>
        <w:widowControl/>
        <w:spacing w:line="400" w:lineRule="exac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服务车辆清洗，是指比选方在赛时用车期间对车辆进行内外清洗，确保车辆外观清洁，车窗透亮无污迹，车辆座椅干净整洁无异味；</w:t>
      </w:r>
    </w:p>
    <w:p w14:paraId="52DA7466">
      <w:pPr>
        <w:widowControl/>
        <w:spacing w:line="400" w:lineRule="exact"/>
        <w:ind w:firstLine="480" w:firstLineChars="200"/>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服务车辆救援，是指比选方在提供用车期间发生故障后，对故障车辆实时进行救援服务；</w:t>
      </w:r>
    </w:p>
    <w:p w14:paraId="31184AEC">
      <w:pPr>
        <w:pStyle w:val="2"/>
        <w:ind w:left="559" w:leftChars="266" w:firstLine="0" w:firstLineChars="0"/>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五、进度安排</w:t>
      </w:r>
    </w:p>
    <w:p w14:paraId="3608B0AF">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1.为妥善保障赛赛交通服务需求，具体车辆服务时间应以采购人指令为准。</w:t>
      </w:r>
    </w:p>
    <w:p w14:paraId="776BE061">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2.由于交通保障作业包含接送机、站，有夜间作业，供应商无条件配合采购人安排，保证准时准点，安全接送。</w:t>
      </w:r>
    </w:p>
    <w:p w14:paraId="2A3BD68D">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六、报价要求</w:t>
      </w:r>
    </w:p>
    <w:p w14:paraId="5249FB29">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本项目涉及的报价内容，均以每辆车每班次为单位进行单价报价，报价均为含税价格，费用包含司机劳务、车辆保险、日常养护、燃油费、乘车人相关保险、车贴广告、停车费、住宿、餐饮等。实际支付金额根据实际用车数量据实结算，供应商须出具行业正规发票。</w:t>
      </w:r>
    </w:p>
    <w:p w14:paraId="5BE5CC5B">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2.基准价为每班次服务8小时（含）及以内或行程100公里（含）以内的费用。</w:t>
      </w:r>
    </w:p>
    <w:p w14:paraId="6AA51339">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七、车辆租赁服务条件</w:t>
      </w:r>
    </w:p>
    <w:p w14:paraId="1354EA5D">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1.车辆应取得国家、北京市相关准运要求，且各种手续合法完整，各项证件均在有效期内。</w:t>
      </w:r>
    </w:p>
    <w:p w14:paraId="2B3CE0A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2.车辆应符合市内班车的安全、卫生，车辆性能好，设备齐全，安全可靠，舒适卫生。</w:t>
      </w:r>
    </w:p>
    <w:p w14:paraId="0E487B2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3.车内配备有效的车用灭火器、故障车警示标志牌和必要的维修工具。</w:t>
      </w:r>
    </w:p>
    <w:p w14:paraId="5E400783">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4.采购人有权对供应商提供车辆进行车况审查。有权查验供应商的运营手续（含保险、证照），并有权向供应商提出车辆更换要求。</w:t>
      </w:r>
    </w:p>
    <w:p w14:paraId="4CB8AC7D">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5.供应商需制定完善的应急预案，确保采购人用车需要。</w:t>
      </w:r>
    </w:p>
    <w:p w14:paraId="5F6C81B1">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6.供应商需对需求用车数量，按照采购人需求量的5％的比例，进行备份。</w:t>
      </w:r>
    </w:p>
    <w:p w14:paraId="129DA2A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7.供应商应按采购人要求进行车辆改装及LOGO粘贴。</w:t>
      </w:r>
    </w:p>
    <w:p w14:paraId="0E79DACB">
      <w:pPr>
        <w:pStyle w:val="2"/>
        <w:widowControl w:val="0"/>
        <w:numPr>
          <w:ilvl w:val="0"/>
          <w:numId w:val="0"/>
        </w:numPr>
        <w:ind w:left="559" w:leftChars="266" w:firstLine="0" w:firstLineChars="0"/>
        <w:contextualSpacing/>
        <w:jc w:val="both"/>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kern w:val="2"/>
          <w:sz w:val="28"/>
          <w:szCs w:val="28"/>
          <w:highlight w:val="none"/>
          <w:lang w:val="en-US" w:eastAsia="zh-CN" w:bidi="ar-SA"/>
        </w:rPr>
        <w:t>八、</w:t>
      </w:r>
      <w:r>
        <w:rPr>
          <w:rFonts w:hint="eastAsia" w:ascii="黑体" w:hAnsi="黑体" w:eastAsia="黑体" w:cs="黑体"/>
          <w:color w:val="000000"/>
          <w:sz w:val="28"/>
          <w:szCs w:val="28"/>
          <w:highlight w:val="none"/>
          <w:lang w:val="en-US" w:eastAsia="zh-CN"/>
        </w:rPr>
        <w:t>服务质量要求</w:t>
      </w:r>
    </w:p>
    <w:p w14:paraId="4389EB65">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（一）车辆卫生</w:t>
      </w:r>
    </w:p>
    <w:p w14:paraId="6A2D2609">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司机在每次出车前应认真打扫车内外卫生，保持车辆内部与后备箱的干净、整洁。特别是座套、脚垫等。司机不得在车内吸烟、用餐吃零食等，要保持车内空气的清新，车内无烟味、无异味。</w:t>
      </w:r>
    </w:p>
    <w:p w14:paraId="1E9D0431">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（二）出车前准备</w:t>
      </w:r>
    </w:p>
    <w:p w14:paraId="4C9216F2">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1.出车前应对车辆进行检查，为乘客提供良好的无故障的运行车辆。</w:t>
      </w:r>
    </w:p>
    <w:p w14:paraId="442DBD6A">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2.司机在出车前应检查车辆油箱是否有油；检查车辆轮胎是否良好。</w:t>
      </w:r>
    </w:p>
    <w:p w14:paraId="28FC0D7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3.出车前保持车上证件齐全，司机自己的证件齐全。</w:t>
      </w:r>
    </w:p>
    <w:p w14:paraId="30946B4B">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4.司机出车前应充分了解自已要去的目的地，确保认识目的地，知道自己要走的线路，如不清楚应及时通过各种方式查明准确路线。</w:t>
      </w:r>
    </w:p>
    <w:p w14:paraId="4CC5EA1F">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5.检查车上空调功能是否完好，以保证车内温度符合客人的要求。</w:t>
      </w:r>
    </w:p>
    <w:p w14:paraId="354DE50E">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（三）司机仪容仪表要求</w:t>
      </w:r>
    </w:p>
    <w:p w14:paraId="3C29D1B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1.司机在作业时应按照公司要求统一着装。</w:t>
      </w:r>
    </w:p>
    <w:p w14:paraId="45B5732E">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2.司机应保持个人卫生，保证身上不得有烟味、异味。</w:t>
      </w:r>
    </w:p>
    <w:p w14:paraId="5D157A11">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3.开车服务期间不允许食用有异味的食品，以保持口腔气味清新。</w:t>
      </w:r>
    </w:p>
    <w:p w14:paraId="467BBCA4">
      <w:pPr>
        <w:pStyle w:val="2"/>
        <w:widowControl w:val="0"/>
        <w:numPr>
          <w:ilvl w:val="0"/>
          <w:numId w:val="0"/>
        </w:numPr>
        <w:ind w:firstLine="480" w:firstLineChars="200"/>
        <w:contextualSpacing/>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4.司机仪容仪表要好，要有良好的精神面貌。</w:t>
      </w:r>
    </w:p>
    <w:p w14:paraId="4B41ABD2">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5.司机应掌握基本的维修、检查其驾驶车辆的技能。</w:t>
      </w:r>
    </w:p>
    <w:p w14:paraId="5124998F">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6.如车上有乘客遗落物件，司机应及时归还。</w:t>
      </w:r>
    </w:p>
    <w:p w14:paraId="51815E78">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（四）安全驾驶的要求</w:t>
      </w:r>
    </w:p>
    <w:p w14:paraId="737781AB">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1.司机应当自始至终保持礼貌并安全驾驶。</w:t>
      </w:r>
    </w:p>
    <w:p w14:paraId="11E7087C">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2.在驶向目的地的路途中全程使用安全地驾驶技术并且严格遵守交通守则。在驾驶过程中确认遵守一切相关法律规定。</w:t>
      </w:r>
    </w:p>
    <w:p w14:paraId="5DC4FFB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3.司机需要选择最合理的线路行车，以保证准确、快速的将客人送至目的地。</w:t>
      </w:r>
    </w:p>
    <w:p w14:paraId="6EE5DB74">
      <w:pPr>
        <w:pStyle w:val="2"/>
        <w:rPr>
          <w:rFonts w:hint="eastAsia" w:ascii="仿宋_GB2312" w:hAnsi="仿宋_GB2312" w:eastAsia="仿宋_GB2312" w:cs="仿宋_GB2312"/>
          <w:color w:val="000000"/>
          <w:sz w:val="24"/>
          <w:szCs w:val="24"/>
          <w:highlight w:val="none"/>
          <w:lang w:val="en-US" w:eastAsia="zh-CN"/>
        </w:rPr>
      </w:pPr>
    </w:p>
    <w:p w14:paraId="7419FDE2">
      <w:pPr>
        <w:pStyle w:val="2"/>
        <w:rPr>
          <w:rFonts w:hint="eastAsia" w:ascii="宋体" w:hAnsi="宋体" w:eastAsia="宋体" w:cs="宋体"/>
          <w:color w:val="000000"/>
          <w:sz w:val="28"/>
          <w:szCs w:val="28"/>
          <w:highlight w:val="none"/>
          <w:lang w:val="en-US" w:eastAsia="zh-CN"/>
        </w:rPr>
      </w:pPr>
    </w:p>
    <w:p w14:paraId="4299D52B">
      <w:pPr>
        <w:pStyle w:val="2"/>
        <w:rPr>
          <w:rFonts w:hint="eastAsia" w:ascii="宋体" w:hAnsi="宋体" w:eastAsia="宋体" w:cs="宋体"/>
          <w:color w:val="000000"/>
          <w:sz w:val="28"/>
          <w:szCs w:val="28"/>
          <w:highlight w:val="none"/>
          <w:lang w:val="en-US" w:eastAsia="zh-CN"/>
        </w:rPr>
      </w:pPr>
    </w:p>
    <w:p w14:paraId="48467C2F">
      <w:pPr>
        <w:pStyle w:val="2"/>
        <w:rPr>
          <w:rFonts w:hint="eastAsia" w:ascii="宋体" w:hAnsi="宋体" w:eastAsia="宋体" w:cs="宋体"/>
          <w:color w:val="000000"/>
          <w:sz w:val="28"/>
          <w:szCs w:val="28"/>
          <w:highlight w:val="none"/>
          <w:lang w:val="en-US" w:eastAsia="zh-CN"/>
        </w:rPr>
      </w:pPr>
    </w:p>
    <w:p w14:paraId="643B3D84">
      <w:pPr>
        <w:pStyle w:val="2"/>
        <w:rPr>
          <w:rFonts w:hint="eastAsia" w:ascii="宋体" w:hAnsi="宋体" w:eastAsia="宋体" w:cs="宋体"/>
          <w:color w:val="000000"/>
          <w:sz w:val="28"/>
          <w:szCs w:val="28"/>
          <w:highlight w:val="none"/>
          <w:lang w:val="en-US" w:eastAsia="zh-CN"/>
        </w:rPr>
      </w:pPr>
    </w:p>
    <w:p w14:paraId="599CD5E3">
      <w:pPr>
        <w:pStyle w:val="2"/>
        <w:rPr>
          <w:rFonts w:hint="eastAsia" w:ascii="宋体" w:hAnsi="宋体" w:eastAsia="宋体" w:cs="宋体"/>
          <w:color w:val="000000"/>
          <w:sz w:val="28"/>
          <w:szCs w:val="28"/>
          <w:highlight w:val="none"/>
          <w:lang w:val="en-US" w:eastAsia="zh-CN"/>
        </w:rPr>
      </w:pPr>
    </w:p>
    <w:p w14:paraId="0DCD03B1">
      <w:pPr>
        <w:pStyle w:val="2"/>
        <w:rPr>
          <w:rFonts w:hint="eastAsia" w:ascii="宋体" w:hAnsi="宋体" w:eastAsia="宋体" w:cs="宋体"/>
          <w:color w:val="000000"/>
          <w:sz w:val="28"/>
          <w:szCs w:val="28"/>
          <w:highlight w:val="none"/>
          <w:lang w:val="en-US" w:eastAsia="zh-CN"/>
        </w:rPr>
      </w:pPr>
    </w:p>
    <w:p w14:paraId="560C9FD6">
      <w:pPr>
        <w:pStyle w:val="2"/>
        <w:rPr>
          <w:rFonts w:hint="eastAsia" w:ascii="宋体" w:hAnsi="宋体" w:eastAsia="宋体" w:cs="宋体"/>
          <w:color w:val="000000"/>
          <w:sz w:val="28"/>
          <w:szCs w:val="28"/>
          <w:highlight w:val="none"/>
          <w:lang w:val="en-US" w:eastAsia="zh-CN"/>
        </w:rPr>
        <w:sectPr>
          <w:footerReference r:id="rId4" w:type="default"/>
          <w:pgSz w:w="11906" w:h="16838"/>
          <w:pgMar w:top="2098" w:right="1474" w:bottom="1984" w:left="1588" w:header="851" w:footer="992" w:gutter="0"/>
          <w:pgNumType w:fmt="numberInDash" w:start="1"/>
          <w:cols w:space="720" w:num="1"/>
          <w:docGrid w:type="lines" w:linePitch="312" w:charSpace="0"/>
        </w:sectPr>
      </w:pPr>
    </w:p>
    <w:p w14:paraId="6916CADD">
      <w:pPr>
        <w:pStyle w:val="3"/>
        <w:keepNext w:val="0"/>
        <w:keepLines w:val="0"/>
        <w:widowControl w:val="0"/>
        <w:numPr>
          <w:ilvl w:val="0"/>
          <w:numId w:val="0"/>
        </w:numPr>
        <w:snapToGrid w:val="0"/>
        <w:spacing w:before="0" w:beforeAutospacing="0" w:after="0" w:afterAutospacing="0" w:line="560" w:lineRule="exact"/>
        <w:ind w:firstLine="480" w:firstLineChars="150"/>
        <w:jc w:val="center"/>
        <w:rPr>
          <w:rFonts w:hint="eastAsia" w:ascii="黑体" w:hAnsi="黑体" w:eastAsia="黑体" w:cs="Times New Roman"/>
          <w:b w:val="0"/>
          <w:bCs w:val="0"/>
          <w:kern w:val="2"/>
          <w:sz w:val="32"/>
          <w:szCs w:val="32"/>
          <w:highlight w:val="none"/>
          <w:lang w:val="en-US"/>
        </w:rPr>
      </w:pPr>
      <w:r>
        <w:rPr>
          <w:rFonts w:hint="eastAsia" w:ascii="黑体" w:hAnsi="黑体" w:eastAsia="黑体" w:cs="Times New Roman"/>
          <w:b w:val="0"/>
          <w:bCs w:val="0"/>
          <w:kern w:val="2"/>
          <w:sz w:val="32"/>
          <w:szCs w:val="32"/>
          <w:highlight w:val="none"/>
          <w:lang w:val="en-US"/>
        </w:rPr>
        <w:t>第四部分  附件——比选文件格式</w:t>
      </w:r>
    </w:p>
    <w:p w14:paraId="27CE958C">
      <w:pPr>
        <w:tabs>
          <w:tab w:val="left" w:pos="5580"/>
        </w:tabs>
        <w:adjustRightInd w:val="0"/>
        <w:snapToGrid w:val="0"/>
        <w:spacing w:line="400" w:lineRule="exact"/>
        <w:rPr>
          <w:rFonts w:hint="eastAsia" w:ascii="宋体" w:hAnsi="宋体" w:eastAsia="宋体" w:cs="宋体"/>
          <w:color w:val="000000"/>
          <w:sz w:val="28"/>
          <w:szCs w:val="28"/>
          <w:highlight w:val="none"/>
        </w:rPr>
      </w:pPr>
    </w:p>
    <w:p w14:paraId="40B73D72">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附件1——比选响应函</w:t>
      </w:r>
    </w:p>
    <w:p w14:paraId="7735BB38">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附件2——资格（资质）证明文件</w:t>
      </w:r>
    </w:p>
    <w:p w14:paraId="0DF52265">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附件3——类似项目业绩</w:t>
      </w:r>
    </w:p>
    <w:p w14:paraId="022FCE94">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附件4——本项目的实施计划</w:t>
      </w:r>
    </w:p>
    <w:p w14:paraId="357A088A">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附件5——总体报价表</w:t>
      </w:r>
    </w:p>
    <w:p w14:paraId="097F00EF">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附件6——报价明细表</w:t>
      </w:r>
    </w:p>
    <w:p w14:paraId="782772A1">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附件7——其他资质补充材料</w:t>
      </w:r>
    </w:p>
    <w:p w14:paraId="4870B4B3">
      <w:pPr>
        <w:numPr>
          <w:ilvl w:val="0"/>
          <w:numId w:val="0"/>
        </w:numPr>
        <w:adjustRightInd w:val="0"/>
        <w:snapToGrid w:val="0"/>
        <w:spacing w:line="400" w:lineRule="exact"/>
        <w:jc w:val="both"/>
        <w:rPr>
          <w:rFonts w:hint="eastAsia" w:ascii="宋体" w:hAnsi="宋体" w:eastAsia="宋体" w:cs="宋体"/>
          <w:sz w:val="28"/>
          <w:szCs w:val="28"/>
          <w:highlight w:val="none"/>
          <w:lang w:val="en-US" w:eastAsia="zh-CN"/>
        </w:rPr>
      </w:pPr>
    </w:p>
    <w:p w14:paraId="6505EF24">
      <w:pPr>
        <w:numPr>
          <w:ilvl w:val="0"/>
          <w:numId w:val="0"/>
        </w:numPr>
        <w:adjustRightInd w:val="0"/>
        <w:snapToGrid w:val="0"/>
        <w:spacing w:line="400" w:lineRule="exact"/>
        <w:jc w:val="both"/>
        <w:rPr>
          <w:rFonts w:hint="eastAsia" w:ascii="宋体" w:hAnsi="宋体" w:eastAsia="宋体" w:cs="宋体"/>
          <w:sz w:val="28"/>
          <w:szCs w:val="28"/>
          <w:highlight w:val="none"/>
          <w:lang w:val="en-US" w:eastAsia="zh-CN"/>
        </w:rPr>
        <w:sectPr>
          <w:pgSz w:w="11906" w:h="16838"/>
          <w:pgMar w:top="2098" w:right="1474" w:bottom="1984" w:left="1588" w:header="851" w:footer="992" w:gutter="0"/>
          <w:pgNumType w:fmt="numberInDash"/>
          <w:cols w:space="720" w:num="1"/>
          <w:docGrid w:type="lines" w:linePitch="312" w:charSpace="0"/>
        </w:sectPr>
      </w:pPr>
    </w:p>
    <w:p w14:paraId="0008DA8B">
      <w:pPr>
        <w:pStyle w:val="3"/>
        <w:numPr>
          <w:ilvl w:val="0"/>
          <w:numId w:val="0"/>
        </w:numP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附件1——比选响应函</w:t>
      </w:r>
    </w:p>
    <w:p w14:paraId="3A3F98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比选响应函</w:t>
      </w:r>
    </w:p>
    <w:p w14:paraId="2513C5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sz w:val="28"/>
          <w:szCs w:val="28"/>
          <w:highlight w:val="none"/>
        </w:rPr>
      </w:pPr>
    </w:p>
    <w:p w14:paraId="02BB0F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2025世界泳联跳水世界杯总决赛（北京）组织委员会：</w:t>
      </w:r>
      <w:r>
        <w:rPr>
          <w:rFonts w:hint="eastAsia" w:ascii="仿宋_GB2312" w:hAnsi="仿宋_GB2312" w:eastAsia="仿宋_GB2312" w:cs="仿宋_GB2312"/>
          <w:color w:val="000000"/>
          <w:sz w:val="24"/>
          <w:szCs w:val="24"/>
          <w:highlight w:val="none"/>
        </w:rPr>
        <w:cr/>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（响应人单位全称）授权</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（授权代表姓名）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（职务、职称）为授权代表，</w:t>
      </w:r>
      <w:r>
        <w:rPr>
          <w:rFonts w:hint="eastAsia" w:ascii="仿宋_GB2312" w:hAnsi="仿宋_GB2312" w:eastAsia="仿宋_GB2312" w:cs="仿宋_GB2312"/>
          <w:color w:val="000000"/>
          <w:sz w:val="24"/>
          <w:szCs w:val="24"/>
          <w:highlight w:val="none"/>
          <w:u w:val="single"/>
        </w:rPr>
        <w:t>参加贵方组织的</w:t>
      </w:r>
      <w:r>
        <w:rPr>
          <w:rFonts w:hint="eastAsia" w:ascii="仿宋_GB2312" w:hAnsi="仿宋_GB2312" w:eastAsia="仿宋_GB2312" w:cs="仿宋_GB2312"/>
          <w:color w:val="000000"/>
          <w:sz w:val="24"/>
          <w:szCs w:val="24"/>
          <w:highlight w:val="none"/>
          <w:u w:val="single"/>
          <w:lang w:eastAsia="zh-CN"/>
        </w:rPr>
        <w:t>2025世界泳联跳水世界杯总决赛（北京）交通服务</w:t>
      </w:r>
      <w:r>
        <w:rPr>
          <w:rFonts w:hint="eastAsia" w:ascii="仿宋_GB2312" w:hAnsi="仿宋_GB2312" w:eastAsia="仿宋_GB2312" w:cs="仿宋_GB2312"/>
          <w:color w:val="000000"/>
          <w:sz w:val="24"/>
          <w:szCs w:val="24"/>
          <w:highlight w:val="none"/>
        </w:rPr>
        <w:t>（项目名称）采购的有关活动，全权处理比选中的一切事宜。为此：</w:t>
      </w:r>
    </w:p>
    <w:p w14:paraId="59DD60A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1、提供比选文件正本1份，副本</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份</w:t>
      </w:r>
      <w:r>
        <w:rPr>
          <w:rFonts w:hint="eastAsia" w:ascii="仿宋_GB2312" w:hAnsi="仿宋_GB2312" w:eastAsia="仿宋_GB2312" w:cs="仿宋_GB2312"/>
          <w:color w:val="000000"/>
          <w:sz w:val="24"/>
          <w:szCs w:val="24"/>
          <w:highlight w:val="none"/>
          <w:lang w:eastAsia="zh-CN"/>
        </w:rPr>
        <w:t>，电子版</w:t>
      </w:r>
      <w:r>
        <w:rPr>
          <w:rFonts w:hint="eastAsia" w:ascii="仿宋_GB2312" w:hAnsi="仿宋_GB2312" w:eastAsia="仿宋_GB2312" w:cs="仿宋_GB2312"/>
          <w:color w:val="000000"/>
          <w:sz w:val="24"/>
          <w:szCs w:val="24"/>
          <w:highlight w:val="none"/>
          <w:lang w:val="en-US" w:eastAsia="zh-CN"/>
        </w:rPr>
        <w:t>1份，文件双面打印并胶装成册</w:t>
      </w:r>
      <w:r>
        <w:rPr>
          <w:rFonts w:hint="eastAsia" w:ascii="仿宋_GB2312" w:hAnsi="仿宋_GB2312" w:eastAsia="仿宋_GB2312" w:cs="仿宋_GB2312"/>
          <w:color w:val="000000"/>
          <w:sz w:val="24"/>
          <w:szCs w:val="24"/>
          <w:highlight w:val="none"/>
        </w:rPr>
        <w:t>。</w:t>
      </w:r>
    </w:p>
    <w:p w14:paraId="6EF81B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2、报价为(大写)：</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元（人民币）。</w:t>
      </w:r>
    </w:p>
    <w:p w14:paraId="2112E5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3、保证遵守比选文件中的有关规定。</w:t>
      </w:r>
    </w:p>
    <w:p w14:paraId="3CDEEED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4、保证忠实地执行买卖双方所签的经济合同并承担合同规定的责任义务。</w:t>
      </w:r>
    </w:p>
    <w:p w14:paraId="252828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5、愿意向贵方提供任何与该项目有关的数据、情况和技术资料。</w:t>
      </w:r>
    </w:p>
    <w:p w14:paraId="4CBF83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6、本函自投标之日起</w:t>
      </w:r>
      <w:r>
        <w:rPr>
          <w:rFonts w:hint="eastAsia" w:ascii="仿宋_GB2312" w:hAnsi="仿宋_GB2312" w:eastAsia="仿宋_GB2312" w:cs="仿宋_GB2312"/>
          <w:color w:val="000000"/>
          <w:sz w:val="24"/>
          <w:szCs w:val="24"/>
          <w:highlight w:val="none"/>
          <w:u w:val="single"/>
        </w:rPr>
        <w:t xml:space="preserve"> 90 </w:t>
      </w:r>
      <w:r>
        <w:rPr>
          <w:rFonts w:hint="eastAsia" w:ascii="仿宋_GB2312" w:hAnsi="仿宋_GB2312" w:eastAsia="仿宋_GB2312" w:cs="仿宋_GB2312"/>
          <w:color w:val="000000"/>
          <w:sz w:val="24"/>
          <w:szCs w:val="24"/>
          <w:highlight w:val="none"/>
        </w:rPr>
        <w:t>天内有效。</w:t>
      </w:r>
    </w:p>
    <w:p w14:paraId="34D049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7、与本次投标有关的一切往来通讯请寄：</w:t>
      </w:r>
    </w:p>
    <w:p w14:paraId="4FA4622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地址：</w:t>
      </w:r>
    </w:p>
    <w:p w14:paraId="50B276B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邮编：    </w:t>
      </w:r>
    </w:p>
    <w:p w14:paraId="411822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电话：  </w:t>
      </w:r>
    </w:p>
    <w:p w14:paraId="745B0A1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传真： </w:t>
      </w:r>
    </w:p>
    <w:p w14:paraId="18CDA143">
      <w:pPr>
        <w:spacing w:line="360" w:lineRule="exact"/>
        <w:jc w:val="center"/>
        <w:rPr>
          <w:rFonts w:hint="eastAsia" w:ascii="仿宋_GB2312" w:hAnsi="仿宋_GB2312" w:eastAsia="仿宋_GB2312" w:cs="仿宋_GB2312"/>
          <w:color w:val="000000"/>
          <w:sz w:val="24"/>
          <w:szCs w:val="24"/>
          <w:highlight w:val="none"/>
        </w:rPr>
      </w:pPr>
    </w:p>
    <w:p w14:paraId="23AC24AD">
      <w:pPr>
        <w:spacing w:line="360" w:lineRule="exact"/>
        <w:rPr>
          <w:rFonts w:hint="eastAsia" w:ascii="仿宋_GB2312" w:hAnsi="仿宋_GB2312" w:eastAsia="仿宋_GB2312" w:cs="仿宋_GB2312"/>
          <w:color w:val="000000"/>
          <w:sz w:val="24"/>
          <w:szCs w:val="24"/>
          <w:highlight w:val="none"/>
        </w:rPr>
      </w:pPr>
    </w:p>
    <w:p w14:paraId="2A44B497">
      <w:pPr>
        <w:spacing w:line="3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响应人(单位公章)：</w:t>
      </w:r>
    </w:p>
    <w:p w14:paraId="47D2864B">
      <w:pPr>
        <w:spacing w:line="360" w:lineRule="exact"/>
        <w:jc w:val="center"/>
        <w:rPr>
          <w:rFonts w:hint="eastAsia" w:ascii="仿宋_GB2312" w:hAnsi="仿宋_GB2312" w:eastAsia="仿宋_GB2312" w:cs="仿宋_GB2312"/>
          <w:color w:val="000000"/>
          <w:sz w:val="24"/>
          <w:szCs w:val="24"/>
          <w:highlight w:val="none"/>
        </w:rPr>
      </w:pPr>
    </w:p>
    <w:p w14:paraId="514FC303">
      <w:pPr>
        <w:spacing w:line="3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授权代表(签字)：</w:t>
      </w:r>
    </w:p>
    <w:p w14:paraId="44723D97">
      <w:pPr>
        <w:tabs>
          <w:tab w:val="left" w:pos="5580"/>
        </w:tabs>
        <w:adjustRightInd w:val="0"/>
        <w:snapToGrid w:val="0"/>
        <w:spacing w:line="360" w:lineRule="auto"/>
        <w:rPr>
          <w:rFonts w:hint="eastAsia" w:ascii="仿宋_GB2312" w:hAnsi="仿宋_GB2312" w:eastAsia="仿宋_GB2312" w:cs="仿宋_GB2312"/>
          <w:color w:val="000000"/>
          <w:sz w:val="24"/>
          <w:szCs w:val="24"/>
          <w:highlight w:val="none"/>
          <w:lang w:val="en-US" w:eastAsia="zh-CN"/>
        </w:rPr>
      </w:pPr>
    </w:p>
    <w:p w14:paraId="03B1E1D5">
      <w:pPr>
        <w:tabs>
          <w:tab w:val="left" w:pos="5580"/>
        </w:tabs>
        <w:adjustRightInd w:val="0"/>
        <w:snapToGrid w:val="0"/>
        <w:spacing w:line="360" w:lineRule="auto"/>
        <w:ind w:left="1648" w:leftChars="785" w:firstLine="3460" w:firstLineChars="1442"/>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   年   月   日</w:t>
      </w:r>
    </w:p>
    <w:p w14:paraId="2F728B04">
      <w:pPr>
        <w:tabs>
          <w:tab w:val="left" w:pos="5580"/>
        </w:tabs>
        <w:adjustRightInd w:val="0"/>
        <w:snapToGrid w:val="0"/>
        <w:spacing w:line="360" w:lineRule="auto"/>
        <w:ind w:left="1800" w:hanging="540"/>
        <w:rPr>
          <w:rFonts w:hint="eastAsia" w:ascii="仿宋_GB2312" w:hAnsi="仿宋_GB2312" w:eastAsia="仿宋_GB2312" w:cs="仿宋_GB2312"/>
          <w:color w:val="000000"/>
          <w:sz w:val="28"/>
          <w:szCs w:val="28"/>
          <w:highlight w:val="none"/>
        </w:rPr>
      </w:pPr>
    </w:p>
    <w:p w14:paraId="08240F5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sectPr>
          <w:pgSz w:w="11906" w:h="16838"/>
          <w:pgMar w:top="1440" w:right="1077" w:bottom="1440" w:left="1077" w:header="851" w:footer="992" w:gutter="0"/>
          <w:pgNumType w:fmt="numberInDash"/>
          <w:cols w:space="720" w:num="1"/>
          <w:docGrid w:type="lines" w:linePitch="312" w:charSpace="0"/>
        </w:sectPr>
      </w:pPr>
    </w:p>
    <w:p w14:paraId="512A4F9F">
      <w:pPr>
        <w:pStyle w:val="3"/>
        <w:numPr>
          <w:ilvl w:val="0"/>
          <w:numId w:val="0"/>
        </w:num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附件2——资格证明文件</w:t>
      </w:r>
    </w:p>
    <w:p w14:paraId="66E28EE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附件2-1   供应商的营业执照副本的复印件并加盖公章。</w:t>
      </w:r>
    </w:p>
    <w:p w14:paraId="01C4AE1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附件2-2   供应商法定代表人身份证复印件加盖公章。</w:t>
      </w:r>
    </w:p>
    <w:p w14:paraId="3C12020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附件2-3   供应商法定代表人的授权委托书原件。</w:t>
      </w:r>
    </w:p>
    <w:p w14:paraId="3FD796B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附件2-4   被授权人身份证复印件加盖公章。</w:t>
      </w:r>
    </w:p>
    <w:p w14:paraId="79891CC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附件2-5   供应商公司简介、财务状况及经营状况（提供证明文件）。</w:t>
      </w:r>
    </w:p>
    <w:p w14:paraId="7E26EAB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附件2-6   供应商参加本次采购活动前三年内，在经营活动中没有重大违法记录的声明。</w:t>
      </w:r>
    </w:p>
    <w:p w14:paraId="1745C347">
      <w:pPr>
        <w:adjustRightInd w:val="0"/>
        <w:snapToGrid w:val="0"/>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 xml:space="preserve">附件2-7   </w:t>
      </w:r>
      <w:r>
        <w:rPr>
          <w:rFonts w:hint="eastAsia" w:ascii="仿宋_GB2312" w:hAnsi="仿宋_GB2312" w:eastAsia="仿宋_GB2312" w:cs="仿宋_GB2312"/>
          <w:sz w:val="24"/>
          <w:szCs w:val="24"/>
          <w:highlight w:val="none"/>
          <w:lang w:val="en-US" w:eastAsia="zh-CN"/>
        </w:rPr>
        <w:t>有效的ISO9001国际质量认证体系证书</w:t>
      </w:r>
    </w:p>
    <w:p w14:paraId="1FBC989B">
      <w:pPr>
        <w:adjustRightInd w:val="0"/>
        <w:snapToGrid w:val="0"/>
        <w:spacing w:line="400" w:lineRule="exact"/>
        <w:ind w:left="1679" w:leftChars="228" w:hanging="1200" w:hangingChars="5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w:t>
      </w:r>
      <w:r>
        <w:rPr>
          <w:rFonts w:hint="eastAsia" w:ascii="仿宋_GB2312" w:hAnsi="仿宋_GB2312" w:eastAsia="仿宋_GB2312" w:cs="仿宋_GB2312"/>
          <w:color w:val="000000"/>
          <w:sz w:val="24"/>
          <w:szCs w:val="24"/>
          <w:highlight w:val="none"/>
          <w:lang w:val="en-US" w:eastAsia="zh-CN"/>
        </w:rPr>
        <w:t>8</w:t>
      </w:r>
      <w:r>
        <w:rPr>
          <w:rFonts w:hint="eastAsia" w:ascii="仿宋_GB2312" w:hAnsi="仿宋_GB2312" w:eastAsia="仿宋_GB2312" w:cs="仿宋_GB2312"/>
          <w:color w:val="000000"/>
          <w:sz w:val="24"/>
          <w:szCs w:val="24"/>
          <w:highlight w:val="none"/>
        </w:rPr>
        <w:t xml:space="preserve">   依法缴纳税收和社会保障资金的良好记录</w:t>
      </w:r>
    </w:p>
    <w:p w14:paraId="439598F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 xml:space="preserve">   响应人认为有必要提交的其他资格证明文件</w:t>
      </w:r>
    </w:p>
    <w:p w14:paraId="5D3338F1">
      <w:pPr>
        <w:tabs>
          <w:tab w:val="left" w:pos="5580"/>
        </w:tabs>
        <w:adjustRightInd w:val="0"/>
        <w:snapToGrid w:val="0"/>
        <w:spacing w:line="360" w:lineRule="auto"/>
        <w:ind w:left="1800" w:hanging="540"/>
        <w:rPr>
          <w:rFonts w:hint="eastAsia" w:ascii="仿宋_GB2312" w:hAnsi="仿宋_GB2312" w:eastAsia="仿宋_GB2312" w:cs="仿宋_GB2312"/>
          <w:color w:val="000000"/>
          <w:sz w:val="24"/>
          <w:szCs w:val="24"/>
          <w:highlight w:val="none"/>
        </w:rPr>
      </w:pPr>
    </w:p>
    <w:p w14:paraId="2D2E86FC">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5AB9160F">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3C2A022C">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2AFF1281">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6F34F51B">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6A3FA19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21E4EA6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543C831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32228D9F">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sectPr>
          <w:pgSz w:w="11906" w:h="16838"/>
          <w:pgMar w:top="1440" w:right="1077" w:bottom="1440" w:left="1077" w:header="851" w:footer="992" w:gutter="0"/>
          <w:pgNumType w:fmt="numberInDash"/>
          <w:cols w:space="720" w:num="1"/>
          <w:docGrid w:type="lines" w:linePitch="312" w:charSpace="0"/>
        </w:sectPr>
      </w:pPr>
    </w:p>
    <w:p w14:paraId="30E9697E">
      <w:pPr>
        <w:pStyle w:val="3"/>
        <w:numPr>
          <w:ilvl w:val="0"/>
          <w:numId w:val="0"/>
        </w:numP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附件3——</w:t>
      </w:r>
      <w:r>
        <w:rPr>
          <w:rFonts w:hint="eastAsia" w:ascii="宋体" w:hAnsi="宋体" w:eastAsia="宋体" w:cs="宋体"/>
          <w:color w:val="000000"/>
          <w:sz w:val="28"/>
          <w:szCs w:val="28"/>
          <w:highlight w:val="none"/>
          <w:lang w:val="en-US"/>
        </w:rPr>
        <w:t>类似项目业绩</w:t>
      </w:r>
    </w:p>
    <w:p w14:paraId="602F7CFB">
      <w:pPr>
        <w:spacing w:line="400" w:lineRule="exact"/>
        <w:ind w:firstLine="480" w:firstLineChars="200"/>
        <w:jc w:val="both"/>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CN"/>
        </w:rPr>
        <w:t>本部分由响应人自行设计</w:t>
      </w:r>
      <w:r>
        <w:rPr>
          <w:rFonts w:hint="eastAsia" w:ascii="仿宋_GB2312" w:hAnsi="仿宋_GB2312" w:eastAsia="仿宋_GB2312" w:cs="仿宋_GB2312"/>
          <w:sz w:val="24"/>
          <w:szCs w:val="24"/>
          <w:highlight w:val="none"/>
        </w:rPr>
        <w:t>）</w:t>
      </w:r>
    </w:p>
    <w:p w14:paraId="7A74BB68">
      <w:pPr>
        <w:numPr>
          <w:ilvl w:val="0"/>
          <w:numId w:val="1"/>
        </w:numPr>
        <w:spacing w:line="400" w:lineRule="exact"/>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类似项目业绩：近五年内具有与本项目类似的大型国际体育赛事或国际级相关外事活动</w:t>
      </w:r>
      <w:r>
        <w:rPr>
          <w:rFonts w:hint="eastAsia" w:ascii="仿宋_GB2312" w:hAnsi="仿宋_GB2312" w:eastAsia="仿宋_GB2312" w:cs="仿宋_GB2312"/>
          <w:color w:val="000000"/>
          <w:sz w:val="24"/>
          <w:szCs w:val="24"/>
          <w:highlight w:val="none"/>
          <w:lang w:eastAsia="zh-CN"/>
        </w:rPr>
        <w:t>的</w:t>
      </w:r>
      <w:r>
        <w:rPr>
          <w:rFonts w:hint="eastAsia" w:ascii="仿宋_GB2312" w:hAnsi="仿宋_GB2312" w:eastAsia="仿宋_GB2312" w:cs="仿宋_GB2312"/>
          <w:color w:val="000000"/>
          <w:sz w:val="24"/>
          <w:szCs w:val="24"/>
          <w:highlight w:val="none"/>
        </w:rPr>
        <w:t>服务经验</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如有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须提供相关证明文件，如合同、中标通知书、用户评价等复印件并加盖公章。</w:t>
      </w:r>
    </w:p>
    <w:p w14:paraId="34451509">
      <w:pPr>
        <w:tabs>
          <w:tab w:val="left" w:pos="5580"/>
        </w:tabs>
        <w:adjustRightInd w:val="0"/>
        <w:snapToGrid w:val="0"/>
        <w:spacing w:line="360" w:lineRule="auto"/>
        <w:rPr>
          <w:rFonts w:hint="eastAsia" w:ascii="宋体" w:hAnsi="宋体" w:eastAsia="宋体" w:cs="宋体"/>
          <w:color w:val="000000"/>
          <w:sz w:val="28"/>
          <w:szCs w:val="28"/>
          <w:highlight w:val="none"/>
        </w:rPr>
      </w:pPr>
    </w:p>
    <w:p w14:paraId="4F5B29C7">
      <w:pPr>
        <w:tabs>
          <w:tab w:val="left" w:pos="5580"/>
        </w:tabs>
        <w:adjustRightInd w:val="0"/>
        <w:snapToGrid w:val="0"/>
        <w:spacing w:line="360" w:lineRule="auto"/>
        <w:rPr>
          <w:rFonts w:hint="eastAsia" w:ascii="宋体" w:hAnsi="宋体" w:eastAsia="宋体" w:cs="宋体"/>
          <w:color w:val="000000"/>
          <w:sz w:val="28"/>
          <w:szCs w:val="28"/>
          <w:highlight w:val="none"/>
        </w:rPr>
      </w:pPr>
    </w:p>
    <w:p w14:paraId="151687DF">
      <w:pPr>
        <w:tabs>
          <w:tab w:val="left" w:pos="5580"/>
        </w:tabs>
        <w:spacing w:before="120" w:line="360" w:lineRule="auto"/>
        <w:rPr>
          <w:rFonts w:hint="eastAsia" w:ascii="宋体" w:hAnsi="宋体" w:eastAsia="宋体" w:cs="宋体"/>
          <w:color w:val="000000"/>
          <w:sz w:val="28"/>
          <w:szCs w:val="28"/>
          <w:highlight w:val="none"/>
        </w:rPr>
      </w:pPr>
    </w:p>
    <w:p w14:paraId="257ADA4C">
      <w:pPr>
        <w:tabs>
          <w:tab w:val="left" w:pos="5580"/>
        </w:tabs>
        <w:spacing w:before="120" w:line="360" w:lineRule="auto"/>
        <w:ind w:left="1258"/>
        <w:rPr>
          <w:rFonts w:hint="eastAsia" w:ascii="宋体" w:hAnsi="宋体" w:eastAsia="宋体" w:cs="宋体"/>
          <w:color w:val="000000"/>
          <w:sz w:val="28"/>
          <w:szCs w:val="28"/>
          <w:highlight w:val="none"/>
        </w:rPr>
      </w:pPr>
    </w:p>
    <w:p w14:paraId="11CC3DAE">
      <w:pPr>
        <w:tabs>
          <w:tab w:val="left" w:pos="5580"/>
        </w:tabs>
        <w:spacing w:before="120" w:line="360" w:lineRule="auto"/>
        <w:ind w:left="1258"/>
        <w:rPr>
          <w:rFonts w:hint="eastAsia" w:ascii="宋体" w:hAnsi="宋体" w:eastAsia="宋体" w:cs="宋体"/>
          <w:color w:val="000000"/>
          <w:sz w:val="28"/>
          <w:szCs w:val="28"/>
          <w:highlight w:val="none"/>
        </w:rPr>
      </w:pPr>
    </w:p>
    <w:p w14:paraId="4226DA06">
      <w:pPr>
        <w:tabs>
          <w:tab w:val="left" w:pos="5580"/>
        </w:tabs>
        <w:spacing w:before="120" w:line="360" w:lineRule="auto"/>
        <w:ind w:left="1258"/>
        <w:rPr>
          <w:rFonts w:hint="eastAsia" w:ascii="宋体" w:hAnsi="宋体" w:eastAsia="宋体" w:cs="宋体"/>
          <w:color w:val="000000"/>
          <w:sz w:val="28"/>
          <w:szCs w:val="28"/>
          <w:highlight w:val="none"/>
        </w:rPr>
      </w:pPr>
    </w:p>
    <w:p w14:paraId="62FCCB23">
      <w:pPr>
        <w:tabs>
          <w:tab w:val="left" w:pos="5580"/>
        </w:tabs>
        <w:spacing w:before="120" w:line="360" w:lineRule="auto"/>
        <w:ind w:left="1258"/>
        <w:rPr>
          <w:rFonts w:hint="eastAsia" w:ascii="宋体" w:hAnsi="宋体" w:eastAsia="宋体" w:cs="宋体"/>
          <w:color w:val="000000"/>
          <w:sz w:val="28"/>
          <w:szCs w:val="28"/>
          <w:highlight w:val="none"/>
        </w:rPr>
      </w:pPr>
    </w:p>
    <w:p w14:paraId="5EAB81FB">
      <w:pPr>
        <w:tabs>
          <w:tab w:val="left" w:pos="5580"/>
        </w:tabs>
        <w:spacing w:before="120" w:line="360" w:lineRule="auto"/>
        <w:ind w:left="1258"/>
        <w:rPr>
          <w:rFonts w:hint="eastAsia" w:ascii="宋体" w:hAnsi="宋体" w:eastAsia="宋体" w:cs="宋体"/>
          <w:color w:val="000000"/>
          <w:sz w:val="28"/>
          <w:szCs w:val="28"/>
          <w:highlight w:val="none"/>
        </w:rPr>
      </w:pPr>
    </w:p>
    <w:p w14:paraId="69031A49">
      <w:pPr>
        <w:tabs>
          <w:tab w:val="left" w:pos="5580"/>
        </w:tabs>
        <w:spacing w:before="120" w:line="360" w:lineRule="auto"/>
        <w:ind w:left="1258"/>
        <w:rPr>
          <w:rFonts w:hint="eastAsia" w:ascii="宋体" w:hAnsi="宋体" w:eastAsia="宋体" w:cs="宋体"/>
          <w:color w:val="000000"/>
          <w:sz w:val="28"/>
          <w:szCs w:val="28"/>
          <w:highlight w:val="none"/>
        </w:rPr>
      </w:pPr>
    </w:p>
    <w:p w14:paraId="135DEBA4">
      <w:pPr>
        <w:tabs>
          <w:tab w:val="left" w:pos="5580"/>
        </w:tabs>
        <w:spacing w:before="120" w:line="360" w:lineRule="auto"/>
        <w:ind w:left="1258"/>
        <w:rPr>
          <w:rFonts w:hint="eastAsia" w:ascii="宋体" w:hAnsi="宋体" w:eastAsia="宋体" w:cs="宋体"/>
          <w:color w:val="000000"/>
          <w:sz w:val="28"/>
          <w:szCs w:val="28"/>
          <w:highlight w:val="none"/>
        </w:rPr>
        <w:sectPr>
          <w:pgSz w:w="11906" w:h="16838"/>
          <w:pgMar w:top="1701" w:right="1474" w:bottom="1418" w:left="1474" w:header="851" w:footer="992" w:gutter="0"/>
          <w:pgNumType w:fmt="numberInDash"/>
          <w:cols w:space="720" w:num="1"/>
          <w:docGrid w:type="lines" w:linePitch="312" w:charSpace="0"/>
        </w:sectPr>
      </w:pPr>
    </w:p>
    <w:p w14:paraId="02A639CE">
      <w:pPr>
        <w:pStyle w:val="3"/>
        <w:numPr>
          <w:ilvl w:val="0"/>
          <w:numId w:val="0"/>
        </w:numPr>
        <w:spacing w:line="400" w:lineRule="exact"/>
        <w:rPr>
          <w:rFonts w:hint="eastAsia" w:ascii="宋体" w:hAnsi="宋体" w:eastAsia="宋体" w:cs="宋体"/>
          <w:b/>
          <w:bCs/>
          <w:color w:val="000000"/>
          <w:sz w:val="28"/>
          <w:szCs w:val="28"/>
          <w:highlight w:val="none"/>
          <w:lang w:val="en-US"/>
        </w:rPr>
      </w:pPr>
      <w:r>
        <w:rPr>
          <w:rFonts w:hint="eastAsia" w:ascii="宋体" w:hAnsi="宋体" w:eastAsia="宋体" w:cs="宋体"/>
          <w:b/>
          <w:bCs/>
          <w:color w:val="000000"/>
          <w:sz w:val="28"/>
          <w:szCs w:val="28"/>
          <w:highlight w:val="none"/>
          <w:lang w:val="en-US"/>
        </w:rPr>
        <w:t>附件</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lang w:val="en-US"/>
        </w:rPr>
        <w:t>——本项目的实施计划</w:t>
      </w:r>
    </w:p>
    <w:p w14:paraId="770538CC">
      <w:pPr>
        <w:spacing w:line="400" w:lineRule="exact"/>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（本部分由响应人自行设计）</w:t>
      </w:r>
    </w:p>
    <w:p w14:paraId="318B5219">
      <w:pPr>
        <w:spacing w:line="400" w:lineRule="exact"/>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b/>
          <w:sz w:val="24"/>
          <w:szCs w:val="24"/>
          <w:highlight w:val="none"/>
          <w:lang w:val="zh-CN"/>
        </w:rPr>
        <w:t>包括（但不仅限于）以下内容：</w:t>
      </w:r>
    </w:p>
    <w:p w14:paraId="5AF9DEDD">
      <w:pPr>
        <w:spacing w:line="4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按照 “采购需求”</w:t>
      </w:r>
      <w:r>
        <w:rPr>
          <w:rFonts w:hint="eastAsia" w:ascii="仿宋_GB2312" w:hAnsi="仿宋_GB2312" w:eastAsia="仿宋_GB2312" w:cs="仿宋_GB2312"/>
          <w:sz w:val="24"/>
          <w:szCs w:val="24"/>
          <w:highlight w:val="none"/>
          <w:lang w:val="zh-CN"/>
        </w:rPr>
        <w:t>中的要求提出项目服务</w:t>
      </w:r>
      <w:r>
        <w:rPr>
          <w:rFonts w:hint="eastAsia" w:ascii="仿宋_GB2312" w:hAnsi="仿宋_GB2312" w:eastAsia="仿宋_GB2312" w:cs="仿宋_GB2312"/>
          <w:sz w:val="24"/>
          <w:szCs w:val="24"/>
          <w:highlight w:val="none"/>
        </w:rPr>
        <w:t>及保障措施</w:t>
      </w:r>
      <w:r>
        <w:rPr>
          <w:rFonts w:hint="eastAsia" w:ascii="仿宋_GB2312" w:hAnsi="仿宋_GB2312" w:eastAsia="仿宋_GB2312" w:cs="仿宋_GB2312"/>
          <w:sz w:val="24"/>
          <w:szCs w:val="24"/>
          <w:highlight w:val="none"/>
          <w:lang w:val="zh-CN"/>
        </w:rPr>
        <w:t>方案，主要包括：</w:t>
      </w:r>
    </w:p>
    <w:p w14:paraId="5E0880C4">
      <w:pPr>
        <w:pStyle w:val="5"/>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1.专业团队组建</w:t>
      </w:r>
      <w:r>
        <w:rPr>
          <w:rFonts w:hint="eastAsia" w:ascii="仿宋_GB2312" w:hAnsi="仿宋_GB2312" w:eastAsia="仿宋_GB2312" w:cs="仿宋_GB2312"/>
          <w:color w:val="000000"/>
          <w:sz w:val="24"/>
          <w:szCs w:val="24"/>
          <w:highlight w:val="none"/>
          <w:lang w:val="en-US" w:eastAsia="zh-CN"/>
        </w:rPr>
        <w:t>方案</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配备人员的资历、服务经验等，须提供无犯罪记录承诺函、服务合同、获奖证书、赛事证件等相关证明材料</w:t>
      </w:r>
    </w:p>
    <w:p w14:paraId="7E82275F">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2.项目进度方案</w:t>
      </w:r>
    </w:p>
    <w:p w14:paraId="53D033FA">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3.人员组织管理方案</w:t>
      </w:r>
    </w:p>
    <w:p w14:paraId="3A03AADF">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4.车辆及人员数量阐述</w:t>
      </w:r>
    </w:p>
    <w:p w14:paraId="1C7D8E1D">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5.车辆租赁条件方案</w:t>
      </w:r>
    </w:p>
    <w:p w14:paraId="4F290A58">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6.应急方案</w:t>
      </w:r>
    </w:p>
    <w:p w14:paraId="71D7C860">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7.响应速度方案</w:t>
      </w:r>
    </w:p>
    <w:p w14:paraId="3EA85880">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8.服务质量方案</w:t>
      </w:r>
    </w:p>
    <w:p w14:paraId="2411774D">
      <w:pPr>
        <w:pStyle w:val="5"/>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所有相关材料均需加盖公章。</w:t>
      </w:r>
    </w:p>
    <w:p w14:paraId="7DE88495">
      <w:pPr>
        <w:rPr>
          <w:rFonts w:hint="eastAsia" w:ascii="宋体" w:hAnsi="宋体" w:eastAsia="宋体" w:cs="宋体"/>
          <w:sz w:val="28"/>
          <w:szCs w:val="28"/>
          <w:highlight w:val="none"/>
        </w:rPr>
      </w:pPr>
    </w:p>
    <w:p w14:paraId="2CB3713E">
      <w:pPr>
        <w:spacing w:line="360" w:lineRule="auto"/>
        <w:rPr>
          <w:rFonts w:hint="eastAsia" w:ascii="宋体" w:hAnsi="宋体" w:eastAsia="宋体" w:cs="宋体"/>
          <w:color w:val="000000"/>
          <w:sz w:val="28"/>
          <w:szCs w:val="28"/>
          <w:highlight w:val="none"/>
        </w:rPr>
        <w:sectPr>
          <w:pgSz w:w="11906" w:h="16838"/>
          <w:pgMar w:top="1701" w:right="1474" w:bottom="1418" w:left="1474" w:header="851" w:footer="992" w:gutter="0"/>
          <w:pgNumType w:fmt="numberInDash"/>
          <w:cols w:space="720" w:num="1"/>
          <w:docGrid w:type="lines" w:linePitch="312" w:charSpace="0"/>
        </w:sectPr>
      </w:pPr>
      <w:bookmarkStart w:id="10" w:name="_Toc5649"/>
    </w:p>
    <w:p w14:paraId="2C69A644">
      <w:pPr>
        <w:pStyle w:val="3"/>
        <w:numPr>
          <w:ilvl w:val="0"/>
          <w:numId w:val="0"/>
        </w:numP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附件5——总体报价表</w:t>
      </w:r>
    </w:p>
    <w:p w14:paraId="25CBF2F4">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color w:val="000000"/>
          <w:sz w:val="24"/>
          <w:szCs w:val="24"/>
          <w:highlight w:val="none"/>
        </w:rPr>
        <w:t>总体报价表</w:t>
      </w:r>
    </w:p>
    <w:p w14:paraId="5D9BD7F0">
      <w:pPr>
        <w:adjustRightInd w:val="0"/>
        <w:snapToGrid w:val="0"/>
        <w:spacing w:line="360" w:lineRule="auto"/>
        <w:ind w:firstLine="632"/>
        <w:rPr>
          <w:rFonts w:hint="eastAsia" w:ascii="仿宋_GB2312" w:hAnsi="仿宋_GB2312" w:eastAsia="仿宋_GB2312" w:cs="仿宋_GB2312"/>
          <w:b/>
          <w:color w:val="000000"/>
          <w:sz w:val="24"/>
          <w:szCs w:val="24"/>
          <w:highlight w:val="none"/>
        </w:rPr>
      </w:pPr>
    </w:p>
    <w:p w14:paraId="6528DCAC">
      <w:pPr>
        <w:adjustRightInd w:val="0"/>
        <w:snapToGrid w:val="0"/>
        <w:spacing w:line="360" w:lineRule="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项目名称：</w:t>
      </w:r>
      <w:r>
        <w:rPr>
          <w:rFonts w:hint="eastAsia" w:ascii="仿宋_GB2312" w:hAnsi="仿宋_GB2312" w:eastAsia="仿宋_GB2312" w:cs="仿宋_GB2312"/>
          <w:b/>
          <w:bCs/>
          <w:color w:val="000000"/>
          <w:sz w:val="24"/>
          <w:szCs w:val="24"/>
          <w:highlight w:val="none"/>
          <w:lang w:eastAsia="zh-CN"/>
        </w:rPr>
        <w:t>2025世界泳联跳水世界杯总决赛（北京）交通服务</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686"/>
      </w:tblGrid>
      <w:tr w14:paraId="338B7088">
        <w:trPr>
          <w:trHeight w:val="965" w:hRule="atLeast"/>
        </w:trPr>
        <w:tc>
          <w:tcPr>
            <w:tcW w:w="4536" w:type="dxa"/>
            <w:noWrap/>
            <w:vAlign w:val="center"/>
          </w:tcPr>
          <w:p w14:paraId="5ECC2AB6">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单位名称</w:t>
            </w:r>
          </w:p>
        </w:tc>
        <w:tc>
          <w:tcPr>
            <w:tcW w:w="3686" w:type="dxa"/>
            <w:noWrap/>
            <w:vAlign w:val="center"/>
          </w:tcPr>
          <w:p w14:paraId="23EF2D07">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报价</w:t>
            </w:r>
          </w:p>
          <w:p w14:paraId="17F24A32">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（元）</w:t>
            </w:r>
          </w:p>
        </w:tc>
      </w:tr>
      <w:tr w14:paraId="2D4DBB88">
        <w:trPr>
          <w:cantSplit/>
          <w:trHeight w:val="822" w:hRule="atLeast"/>
        </w:trPr>
        <w:tc>
          <w:tcPr>
            <w:tcW w:w="4536" w:type="dxa"/>
            <w:noWrap/>
            <w:vAlign w:val="center"/>
          </w:tcPr>
          <w:p w14:paraId="2685DCD1">
            <w:pPr>
              <w:jc w:val="center"/>
              <w:rPr>
                <w:rFonts w:hint="eastAsia" w:ascii="仿宋_GB2312" w:hAnsi="仿宋_GB2312" w:eastAsia="仿宋_GB2312" w:cs="仿宋_GB2312"/>
                <w:color w:val="000000"/>
                <w:sz w:val="24"/>
                <w:szCs w:val="24"/>
                <w:highlight w:val="none"/>
              </w:rPr>
            </w:pPr>
          </w:p>
        </w:tc>
        <w:tc>
          <w:tcPr>
            <w:tcW w:w="3686" w:type="dxa"/>
            <w:noWrap/>
            <w:vAlign w:val="center"/>
          </w:tcPr>
          <w:p w14:paraId="2CC09CBC">
            <w:pPr>
              <w:jc w:val="center"/>
              <w:rPr>
                <w:rFonts w:hint="eastAsia" w:ascii="仿宋_GB2312" w:hAnsi="仿宋_GB2312" w:eastAsia="仿宋_GB2312" w:cs="仿宋_GB2312"/>
                <w:b/>
                <w:color w:val="000000"/>
                <w:sz w:val="24"/>
                <w:szCs w:val="24"/>
                <w:highlight w:val="none"/>
              </w:rPr>
            </w:pPr>
          </w:p>
        </w:tc>
      </w:tr>
    </w:tbl>
    <w:p w14:paraId="22423623">
      <w:pPr>
        <w:rPr>
          <w:rFonts w:hint="eastAsia" w:ascii="仿宋_GB2312" w:hAnsi="仿宋_GB2312" w:eastAsia="仿宋_GB2312" w:cs="仿宋_GB2312"/>
          <w:color w:val="000000"/>
          <w:sz w:val="24"/>
          <w:szCs w:val="24"/>
          <w:highlight w:val="none"/>
        </w:rPr>
      </w:pPr>
    </w:p>
    <w:p w14:paraId="63694FF6">
      <w:pPr>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人民币大写金额：</w:t>
      </w:r>
    </w:p>
    <w:p w14:paraId="7B096FC3">
      <w:pPr>
        <w:spacing w:line="360" w:lineRule="auto"/>
        <w:rPr>
          <w:rFonts w:hint="eastAsia" w:ascii="仿宋_GB2312" w:hAnsi="仿宋_GB2312" w:eastAsia="仿宋_GB2312" w:cs="仿宋_GB2312"/>
          <w:color w:val="000000"/>
          <w:sz w:val="24"/>
          <w:szCs w:val="24"/>
          <w:highlight w:val="none"/>
        </w:rPr>
      </w:pPr>
    </w:p>
    <w:p w14:paraId="50EA5E52">
      <w:pPr>
        <w:spacing w:line="360" w:lineRule="auto"/>
        <w:rPr>
          <w:rFonts w:hint="eastAsia" w:ascii="仿宋_GB2312" w:hAnsi="仿宋_GB2312" w:eastAsia="仿宋_GB2312" w:cs="仿宋_GB2312"/>
          <w:color w:val="000000"/>
          <w:sz w:val="24"/>
          <w:szCs w:val="24"/>
          <w:highlight w:val="none"/>
        </w:rPr>
      </w:pPr>
    </w:p>
    <w:p w14:paraId="745974EB">
      <w:pPr>
        <w:spacing w:line="360" w:lineRule="auto"/>
        <w:rPr>
          <w:rFonts w:hint="eastAsia" w:ascii="仿宋_GB2312" w:hAnsi="仿宋_GB2312" w:eastAsia="仿宋_GB2312" w:cs="仿宋_GB2312"/>
          <w:color w:val="000000"/>
          <w:sz w:val="24"/>
          <w:szCs w:val="24"/>
          <w:highlight w:val="none"/>
        </w:rPr>
      </w:pPr>
    </w:p>
    <w:p w14:paraId="34042977">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1267BD32">
      <w:pPr>
        <w:ind w:firstLine="2640" w:firstLineChars="1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响应人（单位盖章）：</w:t>
      </w:r>
    </w:p>
    <w:p w14:paraId="4C16431C">
      <w:pPr>
        <w:rPr>
          <w:rFonts w:hint="eastAsia" w:ascii="仿宋_GB2312" w:hAnsi="仿宋_GB2312" w:eastAsia="仿宋_GB2312" w:cs="仿宋_GB2312"/>
          <w:color w:val="000000"/>
          <w:sz w:val="24"/>
          <w:szCs w:val="24"/>
          <w:highlight w:val="none"/>
        </w:rPr>
      </w:pPr>
    </w:p>
    <w:p w14:paraId="77B451EA">
      <w:pPr>
        <w:ind w:firstLine="336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授权代表（签字）：</w:t>
      </w:r>
    </w:p>
    <w:p w14:paraId="6997E54A">
      <w:pPr>
        <w:ind w:firstLine="3360"/>
        <w:rPr>
          <w:rFonts w:hint="eastAsia" w:ascii="仿宋_GB2312" w:hAnsi="仿宋_GB2312" w:eastAsia="仿宋_GB2312" w:cs="仿宋_GB2312"/>
          <w:color w:val="000000"/>
          <w:sz w:val="24"/>
          <w:szCs w:val="24"/>
          <w:highlight w:val="none"/>
        </w:rPr>
      </w:pPr>
    </w:p>
    <w:p w14:paraId="63AD42B2">
      <w:pPr>
        <w:ind w:firstLine="336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   年   月   日</w:t>
      </w:r>
    </w:p>
    <w:bookmarkEnd w:id="10"/>
    <w:p w14:paraId="41A58670">
      <w:pPr>
        <w:pStyle w:val="3"/>
        <w:numPr>
          <w:ilvl w:val="0"/>
          <w:numId w:val="0"/>
        </w:numPr>
        <w:rPr>
          <w:rFonts w:hint="eastAsia" w:ascii="仿宋_GB2312" w:hAnsi="仿宋_GB2312" w:eastAsia="仿宋_GB2312" w:cs="仿宋_GB2312"/>
          <w:color w:val="000000"/>
          <w:sz w:val="24"/>
          <w:szCs w:val="24"/>
          <w:highlight w:val="none"/>
        </w:rPr>
        <w:sectPr>
          <w:pgSz w:w="11906" w:h="16838"/>
          <w:pgMar w:top="1701" w:right="1474" w:bottom="1418" w:left="1474" w:header="851" w:footer="992" w:gutter="0"/>
          <w:pgNumType w:fmt="numberInDash"/>
          <w:cols w:space="720" w:num="1"/>
          <w:docGrid w:type="lines" w:linePitch="312" w:charSpace="0"/>
        </w:sectPr>
      </w:pPr>
      <w:bookmarkStart w:id="11" w:name="_Toc7265"/>
      <w:bookmarkStart w:id="12" w:name="_Toc400810936"/>
    </w:p>
    <w:p w14:paraId="76E79B26">
      <w:pPr>
        <w:rPr>
          <w:rFonts w:hint="eastAsia"/>
          <w:highlight w:val="none"/>
        </w:rPr>
      </w:pPr>
    </w:p>
    <w:p w14:paraId="274E4F76">
      <w:pPr>
        <w:pStyle w:val="3"/>
        <w:numPr>
          <w:ilvl w:val="0"/>
          <w:numId w:val="0"/>
        </w:num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w:t>
      </w:r>
      <w:r>
        <w:rPr>
          <w:rFonts w:hint="eastAsia" w:ascii="宋体" w:hAnsi="宋体" w:eastAsia="宋体" w:cs="宋体"/>
          <w:color w:val="000000"/>
          <w:sz w:val="28"/>
          <w:szCs w:val="28"/>
          <w:highlight w:val="none"/>
          <w:lang w:val="en-US" w:eastAsia="zh-CN"/>
        </w:rPr>
        <w:t>6</w:t>
      </w:r>
      <w:r>
        <w:rPr>
          <w:rFonts w:hint="eastAsia" w:ascii="宋体" w:hAnsi="宋体" w:eastAsia="宋体" w:cs="宋体"/>
          <w:color w:val="000000"/>
          <w:sz w:val="28"/>
          <w:szCs w:val="28"/>
          <w:highlight w:val="none"/>
        </w:rPr>
        <w:t>——报价明细表</w:t>
      </w:r>
      <w:bookmarkEnd w:id="11"/>
      <w:bookmarkEnd w:id="12"/>
    </w:p>
    <w:p w14:paraId="0ACB8AC7">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报价明细表</w:t>
      </w:r>
    </w:p>
    <w:p w14:paraId="638469D7">
      <w:pPr>
        <w:adjustRightInd w:val="0"/>
        <w:snapToGrid w:val="0"/>
        <w:spacing w:line="360" w:lineRule="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color w:val="000000"/>
          <w:spacing w:val="12"/>
          <w:sz w:val="24"/>
          <w:szCs w:val="24"/>
          <w:highlight w:val="none"/>
        </w:rPr>
        <w:t>项目名称:2025世界泳联跳水世界杯总决赛（北京）</w:t>
      </w:r>
      <w:r>
        <w:rPr>
          <w:rFonts w:hint="eastAsia" w:ascii="仿宋_GB2312" w:hAnsi="仿宋_GB2312" w:eastAsia="仿宋_GB2312" w:cs="仿宋_GB2312"/>
          <w:b w:val="0"/>
          <w:bCs w:val="0"/>
          <w:color w:val="000000"/>
          <w:sz w:val="24"/>
          <w:szCs w:val="24"/>
          <w:highlight w:val="none"/>
          <w:lang w:eastAsia="zh-CN"/>
        </w:rPr>
        <w:t>交通服务</w:t>
      </w:r>
    </w:p>
    <w:p w14:paraId="4F961220">
      <w:pPr>
        <w:snapToGrid w:val="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报价单位：人民币元</w:t>
      </w:r>
    </w:p>
    <w:p w14:paraId="338C4657">
      <w:pPr>
        <w:snapToGrid w:val="0"/>
        <w:ind w:firstLine="528" w:firstLineChars="200"/>
        <w:jc w:val="center"/>
        <w:rPr>
          <w:rFonts w:hint="eastAsia" w:ascii="仿宋_GB2312" w:hAnsi="仿宋_GB2312" w:eastAsia="仿宋_GB2312" w:cs="仿宋_GB2312"/>
          <w:color w:val="000000"/>
          <w:spacing w:val="12"/>
          <w:sz w:val="24"/>
          <w:szCs w:val="24"/>
          <w:highlight w:val="yellow"/>
        </w:rPr>
      </w:pPr>
    </w:p>
    <w:tbl>
      <w:tblPr>
        <w:tblStyle w:val="7"/>
        <w:tblW w:w="5749" w:type="pct"/>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94"/>
        <w:gridCol w:w="1612"/>
        <w:gridCol w:w="1239"/>
        <w:gridCol w:w="989"/>
        <w:gridCol w:w="1116"/>
        <w:gridCol w:w="868"/>
        <w:gridCol w:w="1873"/>
      </w:tblGrid>
      <w:tr w14:paraId="5E075207">
        <w:tc>
          <w:tcPr>
            <w:tcW w:w="493" w:type="pct"/>
            <w:tcBorders>
              <w:top w:val="single" w:color="auto" w:sz="4" w:space="0"/>
              <w:left w:val="single" w:color="auto" w:sz="4" w:space="0"/>
              <w:bottom w:val="single" w:color="auto" w:sz="4" w:space="0"/>
              <w:right w:val="single" w:color="auto" w:sz="4" w:space="0"/>
            </w:tcBorders>
            <w:noWrap w:val="0"/>
            <w:vAlign w:val="center"/>
          </w:tcPr>
          <w:p w14:paraId="78213EA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bookmarkStart w:id="13" w:name="OLE_LINK2" w:colFirst="0" w:colLast="5"/>
            <w:r>
              <w:rPr>
                <w:rFonts w:hint="eastAsia" w:ascii="仿宋_GB2312" w:hAnsi="仿宋_GB2312" w:eastAsia="仿宋_GB2312" w:cs="仿宋_GB2312"/>
                <w:b/>
                <w:bCs/>
                <w:kern w:val="2"/>
                <w:sz w:val="24"/>
                <w:szCs w:val="24"/>
                <w:highlight w:val="none"/>
                <w:lang w:val="en-US" w:eastAsia="zh-CN" w:bidi="ar"/>
              </w:rPr>
              <w:t>序号</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6C95773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1169D8C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67F61C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323C59E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4C423E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035338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BB1BB5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单价</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250F749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合计</w:t>
            </w:r>
          </w:p>
          <w:p w14:paraId="2AF53A3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金额</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7C77275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备注</w:t>
            </w:r>
          </w:p>
        </w:tc>
      </w:tr>
      <w:tr w14:paraId="3EEB8A28">
        <w:trPr>
          <w:trHeight w:val="530" w:hRule="atLeast"/>
        </w:trPr>
        <w:tc>
          <w:tcPr>
            <w:tcW w:w="493" w:type="pct"/>
            <w:vMerge w:val="restart"/>
            <w:tcBorders>
              <w:top w:val="single" w:color="auto" w:sz="4" w:space="0"/>
              <w:left w:val="single" w:color="auto" w:sz="4" w:space="0"/>
              <w:right w:val="single" w:color="auto" w:sz="4" w:space="0"/>
            </w:tcBorders>
            <w:noWrap w:val="0"/>
            <w:vAlign w:val="center"/>
          </w:tcPr>
          <w:p w14:paraId="76AEFCE9">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1</w:t>
            </w:r>
          </w:p>
        </w:tc>
        <w:tc>
          <w:tcPr>
            <w:tcW w:w="812" w:type="pct"/>
            <w:vMerge w:val="restart"/>
            <w:tcBorders>
              <w:top w:val="single" w:color="auto" w:sz="4" w:space="0"/>
              <w:left w:val="single" w:color="auto" w:sz="4" w:space="0"/>
              <w:right w:val="single" w:color="auto" w:sz="4" w:space="0"/>
            </w:tcBorders>
            <w:noWrap w:val="0"/>
            <w:vAlign w:val="center"/>
          </w:tcPr>
          <w:p w14:paraId="7F0D13F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接送机</w:t>
            </w:r>
          </w:p>
        </w:tc>
        <w:tc>
          <w:tcPr>
            <w:tcW w:w="773" w:type="pct"/>
            <w:tcBorders>
              <w:top w:val="single" w:color="auto" w:sz="4" w:space="0"/>
              <w:left w:val="single" w:color="auto" w:sz="4" w:space="0"/>
              <w:right w:val="single" w:color="auto" w:sz="4" w:space="0"/>
            </w:tcBorders>
            <w:noWrap w:val="0"/>
            <w:vAlign w:val="center"/>
          </w:tcPr>
          <w:p w14:paraId="080F694C">
            <w:pPr>
              <w:keepNext w:val="0"/>
              <w:keepLines w:val="0"/>
              <w:widowControl w:val="0"/>
              <w:suppressLineNumbers w:val="0"/>
              <w:spacing w:before="0" w:beforeAutospacing="0" w:after="0" w:afterAutospacing="0"/>
              <w:ind w:left="0" w:right="0"/>
              <w:jc w:val="center"/>
              <w:rPr>
                <w:rFonts w:hint="eastAsia"/>
                <w:highlight w:val="none"/>
                <w:lang w:val="en-US" w:eastAsia="zh-CN"/>
              </w:rPr>
            </w:pPr>
            <w:r>
              <w:rPr>
                <w:rFonts w:hint="eastAsia" w:ascii="仿宋_GB2312" w:hAnsi="仿宋_GB2312" w:eastAsia="仿宋_GB2312" w:cs="仿宋_GB2312"/>
                <w:kern w:val="2"/>
                <w:sz w:val="24"/>
                <w:szCs w:val="24"/>
                <w:highlight w:val="none"/>
                <w:lang w:val="en-US" w:eastAsia="zh-CN" w:bidi="ar"/>
              </w:rPr>
              <w:t>大巴（50座）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05DAB7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top w:val="single" w:color="auto" w:sz="4" w:space="0"/>
              <w:left w:val="single" w:color="auto" w:sz="4" w:space="0"/>
              <w:right w:val="single" w:color="auto" w:sz="4" w:space="0"/>
            </w:tcBorders>
            <w:noWrap w:val="0"/>
            <w:vAlign w:val="center"/>
          </w:tcPr>
          <w:p w14:paraId="3F52CF87">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535" w:type="pct"/>
            <w:tcBorders>
              <w:top w:val="single" w:color="auto" w:sz="4" w:space="0"/>
              <w:left w:val="single" w:color="auto" w:sz="4" w:space="0"/>
              <w:bottom w:val="single" w:color="auto" w:sz="4" w:space="0"/>
              <w:right w:val="single" w:color="auto" w:sz="4" w:space="0"/>
            </w:tcBorders>
            <w:noWrap w:val="0"/>
            <w:vAlign w:val="top"/>
          </w:tcPr>
          <w:p w14:paraId="4BA39EC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right w:val="single" w:color="auto" w:sz="4" w:space="0"/>
            </w:tcBorders>
            <w:noWrap w:val="0"/>
            <w:vAlign w:val="top"/>
          </w:tcPr>
          <w:p w14:paraId="56B8491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restart"/>
            <w:tcBorders>
              <w:top w:val="single" w:color="auto" w:sz="4" w:space="0"/>
              <w:left w:val="single" w:color="auto" w:sz="4" w:space="0"/>
              <w:right w:val="single" w:color="auto" w:sz="4" w:space="0"/>
            </w:tcBorders>
            <w:noWrap w:val="0"/>
            <w:vAlign w:val="center"/>
          </w:tcPr>
          <w:p w14:paraId="3E2A8A87">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含司机。</w:t>
            </w:r>
          </w:p>
          <w:p w14:paraId="79BE9640">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报价时请综合考虑首都机场和大兴机场接送机情况，后续均以此报价执行服务。</w:t>
            </w:r>
          </w:p>
        </w:tc>
      </w:tr>
      <w:tr w14:paraId="02C687C9">
        <w:trPr>
          <w:trHeight w:val="448" w:hRule="atLeast"/>
        </w:trPr>
        <w:tc>
          <w:tcPr>
            <w:tcW w:w="493" w:type="pct"/>
            <w:vMerge w:val="continue"/>
            <w:tcBorders>
              <w:left w:val="single" w:color="auto" w:sz="4" w:space="0"/>
              <w:right w:val="single" w:color="auto" w:sz="4" w:space="0"/>
            </w:tcBorders>
            <w:noWrap w:val="0"/>
            <w:vAlign w:val="center"/>
          </w:tcPr>
          <w:p w14:paraId="1A01151C">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right w:val="single" w:color="auto" w:sz="4" w:space="0"/>
            </w:tcBorders>
            <w:noWrap w:val="0"/>
            <w:vAlign w:val="center"/>
          </w:tcPr>
          <w:p w14:paraId="5CF2A477">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right w:val="single" w:color="auto" w:sz="4" w:space="0"/>
            </w:tcBorders>
            <w:noWrap w:val="0"/>
            <w:vAlign w:val="center"/>
          </w:tcPr>
          <w:p w14:paraId="4107565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443DC5E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noWrap w:val="0"/>
            <w:vAlign w:val="center"/>
          </w:tcPr>
          <w:p w14:paraId="12D0C3A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w:t>
            </w:r>
          </w:p>
        </w:tc>
        <w:tc>
          <w:tcPr>
            <w:tcW w:w="535" w:type="pct"/>
            <w:tcBorders>
              <w:top w:val="single" w:color="auto" w:sz="4" w:space="0"/>
              <w:left w:val="single" w:color="auto" w:sz="4" w:space="0"/>
              <w:bottom w:val="single" w:color="auto" w:sz="4" w:space="0"/>
              <w:right w:val="single" w:color="auto" w:sz="4" w:space="0"/>
            </w:tcBorders>
            <w:noWrap w:val="0"/>
            <w:vAlign w:val="top"/>
          </w:tcPr>
          <w:p w14:paraId="0834A35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35DC752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2EA492A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61565AEF">
        <w:trPr>
          <w:trHeight w:val="456" w:hRule="atLeast"/>
        </w:trPr>
        <w:tc>
          <w:tcPr>
            <w:tcW w:w="493" w:type="pct"/>
            <w:vMerge w:val="continue"/>
            <w:tcBorders>
              <w:left w:val="single" w:color="auto" w:sz="4" w:space="0"/>
              <w:right w:val="single" w:color="auto" w:sz="4" w:space="0"/>
            </w:tcBorders>
            <w:noWrap w:val="0"/>
            <w:vAlign w:val="center"/>
          </w:tcPr>
          <w:p w14:paraId="3F2D91B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right w:val="single" w:color="auto" w:sz="4" w:space="0"/>
            </w:tcBorders>
            <w:noWrap w:val="0"/>
            <w:vAlign w:val="center"/>
          </w:tcPr>
          <w:p w14:paraId="3525BE3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right w:val="single" w:color="auto" w:sz="4" w:space="0"/>
            </w:tcBorders>
            <w:shd w:val="clear" w:color="auto" w:fill="auto"/>
            <w:noWrap w:val="0"/>
            <w:vAlign w:val="center"/>
          </w:tcPr>
          <w:p w14:paraId="6744C4FB">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5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39A58">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shd w:val="clear" w:color="auto" w:fill="auto"/>
            <w:noWrap w:val="0"/>
            <w:vAlign w:val="center"/>
          </w:tcPr>
          <w:p w14:paraId="266CF3A1">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w:t>
            </w:r>
          </w:p>
        </w:tc>
        <w:tc>
          <w:tcPr>
            <w:tcW w:w="535" w:type="pct"/>
            <w:tcBorders>
              <w:top w:val="single" w:color="auto" w:sz="4" w:space="0"/>
              <w:left w:val="single" w:color="auto" w:sz="4" w:space="0"/>
              <w:bottom w:val="single" w:color="auto" w:sz="4" w:space="0"/>
              <w:right w:val="single" w:color="auto" w:sz="4" w:space="0"/>
            </w:tcBorders>
            <w:noWrap w:val="0"/>
            <w:vAlign w:val="top"/>
          </w:tcPr>
          <w:p w14:paraId="2931E31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40B6196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698160B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12D5EF51">
        <w:trPr>
          <w:trHeight w:val="452" w:hRule="atLeast"/>
        </w:trPr>
        <w:tc>
          <w:tcPr>
            <w:tcW w:w="493" w:type="pct"/>
            <w:vMerge w:val="continue"/>
            <w:tcBorders>
              <w:left w:val="single" w:color="auto" w:sz="4" w:space="0"/>
              <w:bottom w:val="single" w:color="auto" w:sz="4" w:space="0"/>
              <w:right w:val="single" w:color="auto" w:sz="4" w:space="0"/>
            </w:tcBorders>
            <w:noWrap w:val="0"/>
            <w:vAlign w:val="center"/>
          </w:tcPr>
          <w:p w14:paraId="5DDB0F37">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bottom w:val="single" w:color="auto" w:sz="4" w:space="0"/>
              <w:right w:val="single" w:color="auto" w:sz="4" w:space="0"/>
            </w:tcBorders>
            <w:noWrap w:val="0"/>
            <w:vAlign w:val="center"/>
          </w:tcPr>
          <w:p w14:paraId="55D46F0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D58C6A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商务车（7座）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37464BE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noWrap w:val="0"/>
            <w:vAlign w:val="center"/>
          </w:tcPr>
          <w:p w14:paraId="3199670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w:t>
            </w:r>
          </w:p>
        </w:tc>
        <w:tc>
          <w:tcPr>
            <w:tcW w:w="535" w:type="pct"/>
            <w:tcBorders>
              <w:top w:val="single" w:color="auto" w:sz="4" w:space="0"/>
              <w:left w:val="single" w:color="auto" w:sz="4" w:space="0"/>
              <w:bottom w:val="single" w:color="auto" w:sz="4" w:space="0"/>
              <w:right w:val="single" w:color="auto" w:sz="4" w:space="0"/>
            </w:tcBorders>
            <w:noWrap w:val="0"/>
            <w:vAlign w:val="top"/>
          </w:tcPr>
          <w:p w14:paraId="351AF11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3B00737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287E59B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21DDD9BD">
        <w:tc>
          <w:tcPr>
            <w:tcW w:w="493" w:type="pct"/>
            <w:vMerge w:val="restart"/>
            <w:tcBorders>
              <w:top w:val="single" w:color="auto" w:sz="4" w:space="0"/>
              <w:left w:val="single" w:color="auto" w:sz="4" w:space="0"/>
              <w:bottom w:val="single" w:color="auto" w:sz="4" w:space="0"/>
              <w:right w:val="single" w:color="auto" w:sz="4" w:space="0"/>
            </w:tcBorders>
            <w:noWrap w:val="0"/>
            <w:vAlign w:val="center"/>
          </w:tcPr>
          <w:p w14:paraId="2496EF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2</w:t>
            </w:r>
          </w:p>
        </w:tc>
        <w:tc>
          <w:tcPr>
            <w:tcW w:w="812" w:type="pct"/>
            <w:vMerge w:val="restart"/>
            <w:tcBorders>
              <w:top w:val="single" w:color="auto" w:sz="4" w:space="0"/>
              <w:left w:val="single" w:color="auto" w:sz="4" w:space="0"/>
              <w:bottom w:val="single" w:color="auto" w:sz="4" w:space="0"/>
              <w:right w:val="single" w:color="auto" w:sz="4" w:space="0"/>
            </w:tcBorders>
            <w:noWrap w:val="0"/>
            <w:vAlign w:val="center"/>
          </w:tcPr>
          <w:p w14:paraId="76258E5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市内用车</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6AF975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392F04D4">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5B65C41">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48</w:t>
            </w:r>
          </w:p>
        </w:tc>
        <w:tc>
          <w:tcPr>
            <w:tcW w:w="535" w:type="pct"/>
            <w:tcBorders>
              <w:top w:val="single" w:color="auto" w:sz="4" w:space="0"/>
              <w:left w:val="single" w:color="auto" w:sz="4" w:space="0"/>
              <w:bottom w:val="single" w:color="auto" w:sz="4" w:space="0"/>
              <w:right w:val="single" w:color="auto" w:sz="4" w:space="0"/>
            </w:tcBorders>
            <w:noWrap w:val="0"/>
            <w:vAlign w:val="top"/>
          </w:tcPr>
          <w:p w14:paraId="25157F1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08CFFE2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restart"/>
            <w:tcBorders>
              <w:left w:val="single" w:color="auto" w:sz="4" w:space="0"/>
              <w:right w:val="single" w:color="auto" w:sz="4" w:space="0"/>
            </w:tcBorders>
            <w:noWrap w:val="0"/>
            <w:vAlign w:val="center"/>
          </w:tcPr>
          <w:p w14:paraId="5934C9B2">
            <w:pPr>
              <w:keepNext w:val="0"/>
              <w:keepLines w:val="0"/>
              <w:widowControl w:val="0"/>
              <w:suppressLineNumbers w:val="0"/>
              <w:spacing w:before="0" w:beforeAutospacing="0" w:after="0" w:afterAutospacing="0"/>
              <w:ind w:left="0" w:right="0"/>
              <w:jc w:val="left"/>
              <w:rPr>
                <w:rFonts w:hint="eastAsia"/>
                <w:highlight w:val="none"/>
                <w:lang w:val="en-US" w:eastAsia="zh-CN"/>
              </w:rPr>
            </w:pPr>
            <w:r>
              <w:rPr>
                <w:rFonts w:hint="eastAsia" w:ascii="仿宋_GB2312" w:hAnsi="仿宋_GB2312" w:eastAsia="仿宋_GB2312" w:cs="仿宋_GB2312"/>
                <w:sz w:val="24"/>
                <w:szCs w:val="24"/>
                <w:highlight w:val="none"/>
                <w:lang w:val="en-US" w:eastAsia="zh-CN"/>
              </w:rPr>
              <w:t>含司机</w:t>
            </w:r>
          </w:p>
        </w:tc>
      </w:tr>
      <w:tr w14:paraId="510F9461">
        <w:trPr>
          <w:trHeight w:val="327" w:hRule="atLeast"/>
        </w:trPr>
        <w:tc>
          <w:tcPr>
            <w:tcW w:w="493" w:type="pct"/>
            <w:vMerge w:val="continue"/>
            <w:tcBorders>
              <w:left w:val="single" w:color="auto" w:sz="4" w:space="0"/>
              <w:right w:val="single" w:color="auto" w:sz="4" w:space="0"/>
            </w:tcBorders>
            <w:noWrap w:val="0"/>
            <w:vAlign w:val="center"/>
          </w:tcPr>
          <w:p w14:paraId="18F9009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812" w:type="pct"/>
            <w:vMerge w:val="continue"/>
            <w:tcBorders>
              <w:left w:val="single" w:color="auto" w:sz="4" w:space="0"/>
              <w:right w:val="single" w:color="auto" w:sz="4" w:space="0"/>
            </w:tcBorders>
            <w:noWrap w:val="0"/>
            <w:vAlign w:val="center"/>
          </w:tcPr>
          <w:p w14:paraId="5A2FED8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77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9D7A24A">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中巴（38座）</w:t>
            </w:r>
          </w:p>
        </w:tc>
        <w:tc>
          <w:tcPr>
            <w:tcW w:w="5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141E527">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084349">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w:t>
            </w:r>
          </w:p>
        </w:tc>
        <w:tc>
          <w:tcPr>
            <w:tcW w:w="535" w:type="pct"/>
            <w:tcBorders>
              <w:top w:val="single" w:color="auto" w:sz="4" w:space="0"/>
              <w:left w:val="single" w:color="auto" w:sz="4" w:space="0"/>
              <w:bottom w:val="single" w:color="auto" w:sz="4" w:space="0"/>
              <w:right w:val="single" w:color="auto" w:sz="4" w:space="0"/>
            </w:tcBorders>
            <w:noWrap w:val="0"/>
            <w:vAlign w:val="top"/>
          </w:tcPr>
          <w:p w14:paraId="677A70BE">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1D9893F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top"/>
          </w:tcPr>
          <w:p w14:paraId="3AF693A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tr w14:paraId="69B02D09">
        <w:trPr>
          <w:trHeight w:val="327" w:hRule="atLeast"/>
        </w:trPr>
        <w:tc>
          <w:tcPr>
            <w:tcW w:w="493" w:type="pct"/>
            <w:vMerge w:val="continue"/>
            <w:tcBorders>
              <w:left w:val="single" w:color="auto" w:sz="4" w:space="0"/>
              <w:right w:val="single" w:color="auto" w:sz="4" w:space="0"/>
            </w:tcBorders>
            <w:noWrap w:val="0"/>
            <w:vAlign w:val="center"/>
          </w:tcPr>
          <w:p w14:paraId="771D203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812" w:type="pct"/>
            <w:vMerge w:val="continue"/>
            <w:tcBorders>
              <w:left w:val="single" w:color="auto" w:sz="4" w:space="0"/>
              <w:right w:val="single" w:color="auto" w:sz="4" w:space="0"/>
            </w:tcBorders>
            <w:noWrap w:val="0"/>
            <w:vAlign w:val="center"/>
          </w:tcPr>
          <w:p w14:paraId="7D9293A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41AB8FE7">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1D439C25">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FBB4933">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28</w:t>
            </w:r>
          </w:p>
        </w:tc>
        <w:tc>
          <w:tcPr>
            <w:tcW w:w="535" w:type="pct"/>
            <w:tcBorders>
              <w:top w:val="single" w:color="auto" w:sz="4" w:space="0"/>
              <w:left w:val="single" w:color="auto" w:sz="4" w:space="0"/>
              <w:bottom w:val="single" w:color="auto" w:sz="4" w:space="0"/>
              <w:right w:val="single" w:color="auto" w:sz="4" w:space="0"/>
            </w:tcBorders>
            <w:noWrap w:val="0"/>
            <w:vAlign w:val="top"/>
          </w:tcPr>
          <w:p w14:paraId="3F10372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65A8C18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top"/>
          </w:tcPr>
          <w:p w14:paraId="5E66309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tr w14:paraId="06319FE2">
        <w:tc>
          <w:tcPr>
            <w:tcW w:w="493" w:type="pct"/>
            <w:vMerge w:val="continue"/>
            <w:tcBorders>
              <w:top w:val="single" w:color="auto" w:sz="4" w:space="0"/>
              <w:left w:val="single" w:color="auto" w:sz="4" w:space="0"/>
              <w:bottom w:val="single" w:color="auto" w:sz="4" w:space="0"/>
              <w:right w:val="single" w:color="auto" w:sz="4" w:space="0"/>
            </w:tcBorders>
            <w:noWrap w:val="0"/>
            <w:vAlign w:val="center"/>
          </w:tcPr>
          <w:p w14:paraId="6D96C55B">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top w:val="single" w:color="auto" w:sz="4" w:space="0"/>
              <w:left w:val="single" w:color="auto" w:sz="4" w:space="0"/>
              <w:bottom w:val="single" w:color="auto" w:sz="4" w:space="0"/>
              <w:right w:val="single" w:color="auto" w:sz="4" w:space="0"/>
            </w:tcBorders>
            <w:noWrap w:val="0"/>
            <w:vAlign w:val="center"/>
          </w:tcPr>
          <w:p w14:paraId="5CB11DA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332B4CD">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商务车（7座）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60CE7A4F">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151DC61">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535" w:type="pct"/>
            <w:tcBorders>
              <w:top w:val="single" w:color="auto" w:sz="4" w:space="0"/>
              <w:left w:val="single" w:color="auto" w:sz="4" w:space="0"/>
              <w:bottom w:val="single" w:color="auto" w:sz="4" w:space="0"/>
              <w:right w:val="single" w:color="auto" w:sz="4" w:space="0"/>
            </w:tcBorders>
            <w:noWrap w:val="0"/>
            <w:vAlign w:val="top"/>
          </w:tcPr>
          <w:p w14:paraId="5122B24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355EC45F">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bottom w:val="single" w:color="auto" w:sz="4" w:space="0"/>
              <w:right w:val="single" w:color="auto" w:sz="4" w:space="0"/>
            </w:tcBorders>
            <w:noWrap w:val="0"/>
            <w:vAlign w:val="top"/>
          </w:tcPr>
          <w:p w14:paraId="2BC7B2F2">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bookmarkEnd w:id="13"/>
    </w:tbl>
    <w:p w14:paraId="30AC023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p w14:paraId="4A715923">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响应人法定代表人或授权代表（签字或盖章）：</w:t>
      </w:r>
    </w:p>
    <w:p w14:paraId="7A7980B3">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 xml:space="preserve">响应人： </w:t>
      </w:r>
      <w:r>
        <w:rPr>
          <w:rFonts w:hint="eastAsia" w:ascii="仿宋_GB2312" w:hAnsi="仿宋_GB2312" w:eastAsia="仿宋_GB2312" w:cs="仿宋_GB2312"/>
          <w:color w:val="000000"/>
          <w:sz w:val="24"/>
          <w:szCs w:val="24"/>
          <w:highlight w:val="none"/>
          <w:u w:val="single"/>
        </w:rPr>
        <w:t>（单位公章）</w:t>
      </w:r>
    </w:p>
    <w:p w14:paraId="1D601B3B">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   期：   年   月   日</w:t>
      </w:r>
    </w:p>
    <w:p w14:paraId="2A4B78B3">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注：如果不提供详细分项报价将视为没有实质性响应比选文件。</w:t>
      </w:r>
      <w:bookmarkStart w:id="14" w:name="_Toc392267822"/>
      <w:bookmarkEnd w:id="14"/>
      <w:bookmarkStart w:id="15" w:name="_Toc205016936"/>
      <w:bookmarkEnd w:id="15"/>
      <w:bookmarkStart w:id="16" w:name="_Toc219704112"/>
      <w:bookmarkEnd w:id="16"/>
      <w:bookmarkStart w:id="17" w:name="_Toc217895226"/>
      <w:bookmarkEnd w:id="17"/>
    </w:p>
    <w:p w14:paraId="0ADF61B6">
      <w:pPr>
        <w:pStyle w:val="2"/>
        <w:rPr>
          <w:rFonts w:hint="eastAsia"/>
        </w:rPr>
      </w:pPr>
    </w:p>
    <w:p w14:paraId="13F92178">
      <w:pPr>
        <w:pStyle w:val="3"/>
        <w:numPr>
          <w:ilvl w:val="0"/>
          <w:numId w:val="0"/>
        </w:numPr>
        <w:rPr>
          <w:rFonts w:hint="eastAsia" w:ascii="宋体" w:hAnsi="宋体" w:eastAsia="宋体" w:cs="宋体"/>
          <w:color w:val="000000"/>
          <w:sz w:val="28"/>
          <w:szCs w:val="28"/>
          <w:highlight w:val="none"/>
          <w:lang w:val="en-US"/>
        </w:rPr>
      </w:pPr>
      <w:r>
        <w:rPr>
          <w:rFonts w:hint="eastAsia" w:ascii="宋体" w:hAnsi="宋体" w:eastAsia="宋体" w:cs="宋体"/>
          <w:sz w:val="28"/>
          <w:szCs w:val="28"/>
          <w:highlight w:val="none"/>
          <w:lang w:val="en-US" w:eastAsia="zh-CN"/>
        </w:rPr>
        <w:br w:type="page"/>
      </w:r>
      <w:r>
        <w:rPr>
          <w:rFonts w:hint="eastAsia" w:ascii="宋体" w:hAnsi="宋体" w:eastAsia="宋体" w:cs="宋体"/>
          <w:color w:val="000000"/>
          <w:sz w:val="28"/>
          <w:szCs w:val="28"/>
          <w:highlight w:val="none"/>
        </w:rPr>
        <w:t>附件</w:t>
      </w:r>
      <w:r>
        <w:rPr>
          <w:rFonts w:hint="eastAsia" w:ascii="宋体" w:hAnsi="宋体" w:eastAsia="宋体" w:cs="宋体"/>
          <w:color w:val="000000"/>
          <w:sz w:val="28"/>
          <w:szCs w:val="28"/>
          <w:highlight w:val="none"/>
          <w:lang w:val="en-US"/>
        </w:rPr>
        <w:t>7</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Hans"/>
        </w:rPr>
        <w:t>其他资质补充材料</w:t>
      </w:r>
    </w:p>
    <w:p w14:paraId="2C33302A">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CN"/>
        </w:rPr>
        <w:t>本部分由响应人自行设计，如有则作为评分项</w:t>
      </w:r>
      <w:r>
        <w:rPr>
          <w:rFonts w:hint="eastAsia" w:ascii="仿宋_GB2312" w:hAnsi="仿宋_GB2312" w:eastAsia="仿宋_GB2312" w:cs="仿宋_GB2312"/>
          <w:sz w:val="24"/>
          <w:szCs w:val="24"/>
          <w:highlight w:val="none"/>
        </w:rPr>
        <w:t>）</w:t>
      </w:r>
    </w:p>
    <w:p w14:paraId="326D1359">
      <w:pPr>
        <w:pStyle w:val="2"/>
        <w:rPr>
          <w:rFonts w:hint="eastAsia" w:ascii="仿宋_GB2312" w:hAnsi="仿宋_GB2312" w:eastAsia="仿宋_GB2312" w:cs="仿宋_GB2312"/>
          <w:sz w:val="24"/>
          <w:szCs w:val="24"/>
          <w:highlight w:val="none"/>
        </w:rPr>
      </w:pPr>
    </w:p>
    <w:p w14:paraId="7B65179D">
      <w:pPr>
        <w:pStyle w:val="2"/>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可提供资质证书等，投标文件应胶装制作完整。</w:t>
      </w:r>
    </w:p>
    <w:p w14:paraId="4D271674">
      <w:pPr>
        <w:pStyle w:val="2"/>
        <w:rPr>
          <w:sz w:val="24"/>
          <w:highlight w:val="none"/>
        </w:rPr>
      </w:pPr>
    </w:p>
    <w:p w14:paraId="71C839CA">
      <w:pPr>
        <w:pStyle w:val="2"/>
        <w:rPr>
          <w:sz w:val="24"/>
          <w:highlight w:val="none"/>
        </w:rPr>
      </w:pPr>
    </w:p>
    <w:p w14:paraId="0B086249">
      <w:pPr>
        <w:pStyle w:val="2"/>
        <w:rPr>
          <w:sz w:val="24"/>
          <w:highlight w:val="none"/>
        </w:rPr>
      </w:pPr>
    </w:p>
    <w:p w14:paraId="1351F328">
      <w:pPr>
        <w:pStyle w:val="2"/>
        <w:rPr>
          <w:sz w:val="24"/>
          <w:highlight w:val="none"/>
        </w:rPr>
      </w:pPr>
    </w:p>
    <w:p w14:paraId="6A619B3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2E67C4-F498-4698-91BD-E8CC5F99A2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10A1635-FFA8-417E-8970-1E6643F5D64E}"/>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4D45B250-837F-45D1-BD57-6F70EDB7F0FD}"/>
  </w:font>
  <w:font w:name="仿宋_GB2312">
    <w:panose1 w:val="02010609030101010101"/>
    <w:charset w:val="86"/>
    <w:family w:val="auto"/>
    <w:pitch w:val="default"/>
    <w:sig w:usb0="00000001" w:usb1="080E0000" w:usb2="00000000" w:usb3="00000000" w:csb0="00040000" w:csb1="00000000"/>
    <w:embedRegular r:id="rId4" w:fontKey="{9790C21C-5B2F-402F-A62D-66C997DF5BAD}"/>
  </w:font>
  <w:font w:name="方正楷体_GB2312">
    <w:panose1 w:val="02000000000000000000"/>
    <w:charset w:val="86"/>
    <w:family w:val="auto"/>
    <w:pitch w:val="default"/>
    <w:sig w:usb0="A00002BF" w:usb1="184F6CFA" w:usb2="00000012" w:usb3="00000000" w:csb0="00040001" w:csb1="00000000"/>
    <w:embedRegular r:id="rId5" w:fontKey="{F2FFAECC-2B89-4821-8441-275E63D544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E7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C6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72E5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B72E5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CF7B6"/>
    <w:multiLevelType w:val="singleLevel"/>
    <w:tmpl w:val="637CF7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A3EF3"/>
    <w:rsid w:val="008B2123"/>
    <w:rsid w:val="04A87B02"/>
    <w:rsid w:val="068A4E6D"/>
    <w:rsid w:val="092A3EF3"/>
    <w:rsid w:val="0FAF07F8"/>
    <w:rsid w:val="132F2391"/>
    <w:rsid w:val="168D538B"/>
    <w:rsid w:val="17962667"/>
    <w:rsid w:val="1A4A0A64"/>
    <w:rsid w:val="1FCB16AC"/>
    <w:rsid w:val="236D0B66"/>
    <w:rsid w:val="26255226"/>
    <w:rsid w:val="2E5E3F8A"/>
    <w:rsid w:val="3127383C"/>
    <w:rsid w:val="3A1F2C1F"/>
    <w:rsid w:val="3EF74B85"/>
    <w:rsid w:val="41FF7370"/>
    <w:rsid w:val="479950DE"/>
    <w:rsid w:val="48662A12"/>
    <w:rsid w:val="48715C43"/>
    <w:rsid w:val="4C8C4E6F"/>
    <w:rsid w:val="51843676"/>
    <w:rsid w:val="518C17FA"/>
    <w:rsid w:val="5B084D88"/>
    <w:rsid w:val="5E2D1E40"/>
    <w:rsid w:val="5E816DA1"/>
    <w:rsid w:val="60644EF7"/>
    <w:rsid w:val="66183490"/>
    <w:rsid w:val="67A87126"/>
    <w:rsid w:val="69AC14FD"/>
    <w:rsid w:val="6F993A2D"/>
    <w:rsid w:val="713F665A"/>
    <w:rsid w:val="7A273E95"/>
    <w:rsid w:val="7B0D6374"/>
    <w:rsid w:val="7D7F3B6C"/>
    <w:rsid w:val="7F00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eastAsia="方正仿宋简体"/>
      <w:sz w:val="3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table" w:styleId="7">
    <w:name w:val="Table Grid"/>
    <w:basedOn w:val="6"/>
    <w:qFormat/>
    <w:uiPriority w:val="59"/>
    <w:pPr>
      <w:keepNext w:val="0"/>
      <w:keepLines w:val="0"/>
      <w:widowControl/>
      <w:suppressLineNumbers w:val="0"/>
      <w:spacing w:before="0" w:beforeAutospacing="0" w:after="0" w:afterAutospacing="0"/>
      <w:ind w:left="0" w:right="0"/>
    </w:pPr>
    <w:rPr>
      <w:rFonts w:hint="eastAsia" w:ascii="等线" w:hAnsi="等线" w:eastAsia="等线" w:cs="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7632</Words>
  <Characters>7953</Characters>
  <Lines>0</Lines>
  <Paragraphs>0</Paragraphs>
  <TotalTime>4</TotalTime>
  <ScaleCrop>false</ScaleCrop>
  <LinksUpToDate>false</LinksUpToDate>
  <CharactersWithSpaces>8212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2025-01-26T12:35:00Z</dcterms:created>
  <dc:creator>admin</dc:creator>
  <cp:lastModifiedBy>匿名用户</cp:lastModifiedBy>
  <cp:lastPrinted>2025-04-06T08:40:00Z</cp:lastPrinted>
  <dcterms:modified xsi:type="dcterms:W3CDTF">2025-04-07T06:39:38Z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F39B003DC5C74BB280CF667D67996ABD_13</vt:lpwstr>
  </property>
  <property fmtid="{D5CDD505-2E9C-101B-9397-08002B2CF9AE}" pid="4" name="KSOTemplateDocerSaveRecord">
    <vt:lpwstr>eyJoZGlkIjoiNzk0ODE3ZDJjYTFlNWYxZWJiNGJjZmVkN2ViZjk5YzgiLCJ1c2VySWQiOiI3NjM2NDA2NTQifQ==</vt:lpwstr>
  </property>
</Properties>
</file>