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B8037">
      <w:pPr>
        <w:rPr>
          <w:highlight w:val="none"/>
        </w:rPr>
      </w:pPr>
    </w:p>
    <w:p w14:paraId="491DA505">
      <w:pPr>
        <w:jc w:val="center"/>
        <w:rPr>
          <w:rFonts w:ascii="宋体" w:hAnsi="宋体"/>
          <w:b/>
          <w:color w:val="000000"/>
          <w:sz w:val="72"/>
          <w:highlight w:val="none"/>
        </w:rPr>
      </w:pPr>
    </w:p>
    <w:p w14:paraId="4C8A9DD9">
      <w:pPr>
        <w:jc w:val="center"/>
        <w:rPr>
          <w:rFonts w:ascii="方正小标宋简体" w:hAnsi="宋体" w:eastAsia="方正小标宋简体"/>
          <w:color w:val="000000"/>
          <w:sz w:val="48"/>
          <w:szCs w:val="48"/>
          <w:highlight w:val="none"/>
        </w:rPr>
      </w:pPr>
      <w:r>
        <w:rPr>
          <w:rFonts w:hint="eastAsia" w:ascii="方正小标宋简体" w:hAnsi="宋体" w:eastAsia="方正小标宋简体"/>
          <w:color w:val="000000"/>
          <w:sz w:val="48"/>
          <w:szCs w:val="48"/>
          <w:highlight w:val="none"/>
          <w:lang w:val="en-US" w:eastAsia="zh-CN"/>
        </w:rPr>
        <w:t>2025世界泳联跳水世界杯总决赛（北京）</w:t>
      </w:r>
      <w:r>
        <w:rPr>
          <w:rFonts w:hint="default" w:ascii="方正小标宋简体" w:hAnsi="宋体" w:eastAsia="方正小标宋简体"/>
          <w:color w:val="000000"/>
          <w:sz w:val="48"/>
          <w:szCs w:val="48"/>
          <w:highlight w:val="none"/>
          <w:lang w:eastAsia="zh-CN"/>
        </w:rPr>
        <w:t>交通</w:t>
      </w:r>
      <w:r>
        <w:rPr>
          <w:rFonts w:hint="eastAsia" w:ascii="方正小标宋简体" w:hAnsi="宋体" w:eastAsia="方正小标宋简体"/>
          <w:color w:val="000000"/>
          <w:sz w:val="48"/>
          <w:szCs w:val="48"/>
          <w:highlight w:val="none"/>
          <w:lang w:val="en-US" w:eastAsia="zh-CN"/>
        </w:rPr>
        <w:t>服务比选文件</w:t>
      </w:r>
    </w:p>
    <w:p w14:paraId="15BB8740">
      <w:pPr>
        <w:jc w:val="center"/>
        <w:rPr>
          <w:rFonts w:ascii="宋体" w:hAnsi="宋体"/>
          <w:b/>
          <w:color w:val="000000"/>
          <w:sz w:val="72"/>
          <w:highlight w:val="none"/>
        </w:rPr>
      </w:pPr>
      <w:bookmarkStart w:id="18" w:name="_GoBack"/>
      <w:bookmarkEnd w:id="18"/>
    </w:p>
    <w:p w14:paraId="7508CC8A">
      <w:pPr>
        <w:rPr>
          <w:rFonts w:ascii="宋体" w:hAnsi="宋体"/>
          <w:b/>
          <w:color w:val="000000"/>
          <w:spacing w:val="-10"/>
          <w:sz w:val="30"/>
          <w:szCs w:val="30"/>
          <w:highlight w:val="none"/>
        </w:rPr>
      </w:pPr>
    </w:p>
    <w:p w14:paraId="13E439AE">
      <w:pPr>
        <w:rPr>
          <w:rFonts w:ascii="宋体" w:hAnsi="宋体"/>
          <w:b/>
          <w:color w:val="000000"/>
          <w:spacing w:val="-10"/>
          <w:sz w:val="30"/>
          <w:szCs w:val="30"/>
          <w:highlight w:val="none"/>
        </w:rPr>
      </w:pPr>
    </w:p>
    <w:p w14:paraId="1BBBF049">
      <w:pPr>
        <w:rPr>
          <w:rFonts w:ascii="宋体" w:hAnsi="宋体"/>
          <w:b/>
          <w:color w:val="000000"/>
          <w:spacing w:val="-10"/>
          <w:sz w:val="30"/>
          <w:szCs w:val="30"/>
          <w:highlight w:val="none"/>
        </w:rPr>
      </w:pPr>
    </w:p>
    <w:p w14:paraId="4FE3E4F5">
      <w:pPr>
        <w:jc w:val="center"/>
        <w:rPr>
          <w:rFonts w:hint="eastAsia" w:ascii="宋体" w:hAnsi="宋体" w:eastAsia="宋体"/>
          <w:b/>
          <w:color w:val="000000"/>
          <w:spacing w:val="-10"/>
          <w:sz w:val="28"/>
          <w:szCs w:val="28"/>
          <w:highlight w:val="none"/>
          <w:lang w:eastAsia="zh-CN"/>
        </w:rPr>
      </w:pPr>
      <w:r>
        <w:rPr>
          <w:rFonts w:hint="eastAsia" w:ascii="宋体" w:hAnsi="宋体"/>
          <w:b/>
          <w:color w:val="000000"/>
          <w:spacing w:val="-10"/>
          <w:sz w:val="28"/>
          <w:szCs w:val="28"/>
          <w:highlight w:val="none"/>
        </w:rPr>
        <w:t>项目名称：2025世界泳联跳水世界杯总决赛（北京）</w:t>
      </w:r>
    </w:p>
    <w:p w14:paraId="60965189">
      <w:pPr>
        <w:jc w:val="center"/>
        <w:rPr>
          <w:rFonts w:hint="default" w:ascii="宋体" w:hAnsi="宋体"/>
          <w:b/>
          <w:color w:val="000000"/>
          <w:spacing w:val="-6"/>
          <w:sz w:val="28"/>
          <w:szCs w:val="28"/>
          <w:highlight w:val="none"/>
        </w:rPr>
      </w:pPr>
      <w:r>
        <w:rPr>
          <w:rFonts w:hint="default" w:ascii="宋体" w:hAnsi="宋体"/>
          <w:b/>
          <w:color w:val="000000"/>
          <w:spacing w:val="-10"/>
          <w:sz w:val="28"/>
          <w:szCs w:val="28"/>
          <w:highlight w:val="none"/>
        </w:rPr>
        <w:t>交通</w:t>
      </w:r>
      <w:r>
        <w:rPr>
          <w:rFonts w:hint="eastAsia" w:ascii="宋体" w:hAnsi="宋体"/>
          <w:b/>
          <w:color w:val="000000"/>
          <w:spacing w:val="-10"/>
          <w:sz w:val="28"/>
          <w:szCs w:val="28"/>
          <w:highlight w:val="none"/>
        </w:rPr>
        <w:t>服务</w:t>
      </w:r>
      <w:r>
        <w:rPr>
          <w:rFonts w:hint="eastAsia" w:ascii="宋体" w:hAnsi="宋体"/>
          <w:b/>
          <w:color w:val="000000"/>
          <w:spacing w:val="-10"/>
          <w:sz w:val="28"/>
          <w:szCs w:val="28"/>
          <w:highlight w:val="none"/>
          <w:lang w:val="en-US" w:eastAsia="zh-CN"/>
        </w:rPr>
        <w:t>比</w:t>
      </w:r>
      <w:r>
        <w:rPr>
          <w:rFonts w:hint="default" w:ascii="宋体" w:hAnsi="宋体"/>
          <w:b/>
          <w:color w:val="000000"/>
          <w:spacing w:val="-10"/>
          <w:sz w:val="28"/>
          <w:szCs w:val="28"/>
          <w:highlight w:val="none"/>
        </w:rPr>
        <w:t>选文件</w:t>
      </w:r>
    </w:p>
    <w:p w14:paraId="6E9778A2">
      <w:pPr>
        <w:ind w:firstLine="673" w:firstLineChars="250"/>
        <w:rPr>
          <w:rFonts w:ascii="宋体" w:hAnsi="宋体"/>
          <w:b/>
          <w:color w:val="000000"/>
          <w:spacing w:val="-6"/>
          <w:sz w:val="28"/>
          <w:szCs w:val="28"/>
          <w:highlight w:val="none"/>
        </w:rPr>
      </w:pPr>
    </w:p>
    <w:p w14:paraId="07BA80EE">
      <w:pPr>
        <w:ind w:firstLine="673" w:firstLineChars="250"/>
        <w:rPr>
          <w:rFonts w:ascii="宋体" w:hAnsi="宋体"/>
          <w:b/>
          <w:color w:val="000000"/>
          <w:spacing w:val="-6"/>
          <w:sz w:val="28"/>
          <w:szCs w:val="28"/>
          <w:highlight w:val="none"/>
        </w:rPr>
      </w:pPr>
    </w:p>
    <w:p w14:paraId="109D25B2">
      <w:pPr>
        <w:ind w:firstLine="673" w:firstLineChars="250"/>
        <w:rPr>
          <w:rFonts w:ascii="宋体" w:hAnsi="宋体"/>
          <w:b/>
          <w:color w:val="000000"/>
          <w:spacing w:val="-6"/>
          <w:sz w:val="28"/>
          <w:szCs w:val="28"/>
          <w:highlight w:val="none"/>
        </w:rPr>
      </w:pPr>
    </w:p>
    <w:p w14:paraId="4F189342">
      <w:pPr>
        <w:jc w:val="center"/>
        <w:rPr>
          <w:rFonts w:ascii="宋体" w:hAnsi="宋体"/>
          <w:b/>
          <w:color w:val="000000"/>
          <w:sz w:val="28"/>
          <w:szCs w:val="28"/>
          <w:highlight w:val="none"/>
        </w:rPr>
      </w:pPr>
      <w:r>
        <w:rPr>
          <w:rFonts w:hint="eastAsia" w:ascii="宋体" w:hAnsi="宋体"/>
          <w:b/>
          <w:color w:val="000000"/>
          <w:sz w:val="28"/>
          <w:szCs w:val="28"/>
          <w:highlight w:val="none"/>
        </w:rPr>
        <w:t>2025世界泳联跳水世界杯总决赛（北京）组织委员会</w:t>
      </w:r>
    </w:p>
    <w:p w14:paraId="03A770F6">
      <w:pPr>
        <w:jc w:val="center"/>
        <w:rPr>
          <w:rFonts w:hint="eastAsia" w:ascii="宋体" w:hAnsi="宋体"/>
          <w:b/>
          <w:color w:val="000000"/>
          <w:sz w:val="28"/>
          <w:szCs w:val="28"/>
          <w:highlight w:val="none"/>
        </w:rPr>
        <w:sectPr>
          <w:footerReference r:id="rId3" w:type="default"/>
          <w:pgSz w:w="11906" w:h="16838"/>
          <w:pgMar w:top="2098" w:right="1474" w:bottom="1984" w:left="1588" w:header="851" w:footer="992" w:gutter="0"/>
          <w:pgNumType w:fmt="numberInDash" w:start="1"/>
          <w:cols w:space="720" w:num="1"/>
          <w:docGrid w:type="lines" w:linePitch="312" w:charSpace="0"/>
        </w:sectPr>
      </w:pPr>
      <w:r>
        <w:rPr>
          <w:rFonts w:ascii="宋体" w:hAnsi="宋体"/>
          <w:b/>
          <w:color w:val="000000"/>
          <w:sz w:val="28"/>
          <w:szCs w:val="28"/>
          <w:highlight w:val="none"/>
        </w:rPr>
        <w:t>202</w:t>
      </w:r>
      <w:r>
        <w:rPr>
          <w:rFonts w:hint="eastAsia" w:ascii="宋体" w:hAnsi="宋体"/>
          <w:b/>
          <w:color w:val="000000"/>
          <w:sz w:val="28"/>
          <w:szCs w:val="28"/>
          <w:highlight w:val="none"/>
          <w:lang w:val="en-US" w:eastAsia="zh-CN"/>
        </w:rPr>
        <w:t>5</w:t>
      </w:r>
      <w:r>
        <w:rPr>
          <w:rFonts w:hint="eastAsia" w:ascii="宋体" w:hAnsi="宋体"/>
          <w:b/>
          <w:color w:val="000000"/>
          <w:sz w:val="28"/>
          <w:szCs w:val="28"/>
          <w:highlight w:val="none"/>
        </w:rPr>
        <w:t>年</w:t>
      </w:r>
      <w:r>
        <w:rPr>
          <w:rFonts w:hint="eastAsia" w:ascii="宋体" w:hAnsi="宋体"/>
          <w:b/>
          <w:color w:val="000000"/>
          <w:sz w:val="28"/>
          <w:szCs w:val="28"/>
          <w:highlight w:val="none"/>
          <w:lang w:val="en-US" w:eastAsia="zh-CN"/>
        </w:rPr>
        <w:t>4</w:t>
      </w:r>
      <w:r>
        <w:rPr>
          <w:rFonts w:hint="eastAsia" w:ascii="宋体" w:hAnsi="宋体"/>
          <w:b/>
          <w:color w:val="000000"/>
          <w:sz w:val="28"/>
          <w:szCs w:val="28"/>
          <w:highlight w:val="none"/>
        </w:rPr>
        <w:t>月</w:t>
      </w:r>
    </w:p>
    <w:p w14:paraId="1A8CA12A">
      <w:pPr>
        <w:pStyle w:val="3"/>
        <w:keepNext w:val="0"/>
        <w:keepLines w:val="0"/>
        <w:pageBreakBefore w:val="0"/>
        <w:numPr>
          <w:ilvl w:val="0"/>
          <w:numId w:val="0"/>
        </w:numPr>
        <w:kinsoku/>
        <w:wordWrap/>
        <w:overflowPunct/>
        <w:topLinePunct w:val="0"/>
        <w:autoSpaceDE/>
        <w:autoSpaceDN/>
        <w:bidi w:val="0"/>
        <w:adjustRightInd/>
        <w:snapToGrid w:val="0"/>
        <w:spacing w:before="80" w:beforeAutospacing="0" w:after="0" w:afterAutospacing="0" w:line="400" w:lineRule="exact"/>
        <w:ind w:firstLine="2880" w:firstLineChars="900"/>
        <w:jc w:val="both"/>
        <w:textAlignment w:val="auto"/>
        <w:rPr>
          <w:highlight w:val="none"/>
        </w:rPr>
      </w:pPr>
      <w:bookmarkStart w:id="0" w:name="_Toc31472"/>
      <w:r>
        <w:rPr>
          <w:rFonts w:hint="eastAsia" w:ascii="黑体" w:hAnsi="黑体" w:eastAsia="黑体"/>
          <w:b w:val="0"/>
          <w:bCs w:val="0"/>
          <w:kern w:val="2"/>
          <w:sz w:val="32"/>
          <w:szCs w:val="32"/>
          <w:highlight w:val="none"/>
          <w:lang w:val="en-US"/>
        </w:rPr>
        <w:t>第一部分  比选邀请书</w:t>
      </w:r>
      <w:bookmarkEnd w:id="0"/>
    </w:p>
    <w:p w14:paraId="362231E3">
      <w:pPr>
        <w:keepNext w:val="0"/>
        <w:keepLines w:val="0"/>
        <w:pageBreakBefore w:val="0"/>
        <w:kinsoku/>
        <w:wordWrap/>
        <w:overflowPunct/>
        <w:topLinePunct w:val="0"/>
        <w:autoSpaceDE/>
        <w:autoSpaceDN/>
        <w:bidi w:val="0"/>
        <w:adjustRightInd/>
        <w:spacing w:before="80" w:beforeAutospacing="0" w:afterAutospacing="0" w:line="400" w:lineRule="exact"/>
        <w:ind w:left="0" w:leftChars="0" w:firstLine="0" w:firstLineChars="0"/>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根据</w:t>
      </w:r>
      <w:r>
        <w:rPr>
          <w:rFonts w:hint="eastAsia" w:ascii="仿宋_GB2312" w:hAnsi="仿宋_GB2312" w:eastAsia="仿宋_GB2312" w:cs="仿宋_GB2312"/>
          <w:color w:val="000000"/>
          <w:sz w:val="24"/>
          <w:szCs w:val="24"/>
          <w:highlight w:val="none"/>
          <w:lang w:eastAsia="zh-CN"/>
        </w:rPr>
        <w:t>2025世界泳联跳水世界杯总决赛（北京）</w:t>
      </w:r>
      <w:r>
        <w:rPr>
          <w:rFonts w:hint="eastAsia" w:ascii="仿宋_GB2312" w:hAnsi="仿宋_GB2312" w:eastAsia="仿宋_GB2312" w:cs="仿宋_GB2312"/>
          <w:color w:val="000000"/>
          <w:sz w:val="24"/>
          <w:szCs w:val="24"/>
          <w:highlight w:val="none"/>
          <w:lang w:val="en-US" w:eastAsia="zh-CN"/>
        </w:rPr>
        <w:t>赛事</w:t>
      </w:r>
      <w:r>
        <w:rPr>
          <w:rFonts w:hint="eastAsia" w:ascii="仿宋_GB2312" w:hAnsi="仿宋_GB2312" w:eastAsia="仿宋_GB2312" w:cs="仿宋_GB2312"/>
          <w:color w:val="000000"/>
          <w:sz w:val="24"/>
          <w:szCs w:val="24"/>
          <w:highlight w:val="none"/>
        </w:rPr>
        <w:t>工作计划安排，对</w:t>
      </w:r>
      <w:r>
        <w:rPr>
          <w:rFonts w:hint="eastAsia" w:ascii="仿宋_GB2312" w:hAnsi="仿宋_GB2312" w:eastAsia="仿宋_GB2312" w:cs="仿宋_GB2312"/>
          <w:color w:val="000000"/>
          <w:sz w:val="24"/>
          <w:szCs w:val="24"/>
          <w:highlight w:val="none"/>
          <w:lang w:val="en-US" w:eastAsia="zh-CN"/>
        </w:rPr>
        <w:t>交通服务</w:t>
      </w:r>
      <w:r>
        <w:rPr>
          <w:rFonts w:hint="eastAsia" w:ascii="仿宋_GB2312" w:hAnsi="仿宋_GB2312" w:eastAsia="仿宋_GB2312" w:cs="仿宋_GB2312"/>
          <w:color w:val="000000"/>
          <w:sz w:val="24"/>
          <w:szCs w:val="24"/>
          <w:highlight w:val="none"/>
        </w:rPr>
        <w:t>进行比选采购。</w:t>
      </w:r>
    </w:p>
    <w:p w14:paraId="3FE93CA3">
      <w:pPr>
        <w:adjustRightInd w:val="0"/>
        <w:snapToGrid w:val="0"/>
        <w:spacing w:line="400" w:lineRule="exact"/>
        <w:ind w:left="0" w:leftChars="0" w:firstLine="480" w:firstLineChars="200"/>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rPr>
        <w:t>一、项目名称：</w:t>
      </w:r>
      <w:r>
        <w:rPr>
          <w:rFonts w:hint="eastAsia" w:ascii="仿宋_GB2312" w:hAnsi="仿宋_GB2312" w:eastAsia="仿宋_GB2312" w:cs="仿宋_GB2312"/>
          <w:color w:val="000000"/>
          <w:sz w:val="24"/>
          <w:szCs w:val="24"/>
          <w:highlight w:val="none"/>
          <w:lang w:eastAsia="zh-CN"/>
        </w:rPr>
        <w:t>2025世界泳联跳水世界杯总决赛（北京）交通服务</w:t>
      </w:r>
    </w:p>
    <w:p w14:paraId="051E7FAF">
      <w:pPr>
        <w:adjustRightInd w:val="0"/>
        <w:snapToGrid w:val="0"/>
        <w:spacing w:line="400" w:lineRule="exact"/>
        <w:ind w:left="0" w:leftChars="0"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二、项目内容：为参加</w:t>
      </w:r>
      <w:r>
        <w:rPr>
          <w:rFonts w:hint="eastAsia" w:ascii="仿宋_GB2312" w:hAnsi="仿宋_GB2312" w:eastAsia="仿宋_GB2312" w:cs="仿宋_GB2312"/>
          <w:color w:val="000000"/>
          <w:sz w:val="24"/>
          <w:szCs w:val="24"/>
          <w:highlight w:val="none"/>
          <w:lang w:eastAsia="zh-CN"/>
        </w:rPr>
        <w:t>2025世界泳联跳水世界杯总决赛（北京）</w:t>
      </w:r>
      <w:r>
        <w:rPr>
          <w:rFonts w:hint="eastAsia" w:ascii="仿宋_GB2312" w:hAnsi="仿宋_GB2312" w:eastAsia="仿宋_GB2312" w:cs="仿宋_GB2312"/>
          <w:color w:val="000000"/>
          <w:sz w:val="24"/>
          <w:szCs w:val="24"/>
          <w:highlight w:val="none"/>
        </w:rPr>
        <w:t>的</w:t>
      </w:r>
      <w:r>
        <w:rPr>
          <w:rFonts w:hint="eastAsia" w:ascii="仿宋_GB2312" w:hAnsi="仿宋_GB2312" w:eastAsia="仿宋_GB2312" w:cs="仿宋_GB2312"/>
          <w:color w:val="000000"/>
          <w:sz w:val="24"/>
          <w:szCs w:val="24"/>
          <w:highlight w:val="none"/>
          <w:lang w:val="en-US" w:eastAsia="zh-CN"/>
        </w:rPr>
        <w:t>世界泳</w:t>
      </w:r>
      <w:r>
        <w:rPr>
          <w:rFonts w:hint="eastAsia" w:ascii="仿宋_GB2312" w:hAnsi="仿宋_GB2312" w:eastAsia="仿宋_GB2312" w:cs="仿宋_GB2312"/>
          <w:color w:val="000000"/>
          <w:sz w:val="24"/>
          <w:szCs w:val="24"/>
          <w:highlight w:val="none"/>
        </w:rPr>
        <w:t>联官员、运动员、随队人员、媒体等赛事相关人员制定专属</w:t>
      </w:r>
      <w:r>
        <w:rPr>
          <w:rFonts w:hint="eastAsia" w:ascii="仿宋_GB2312" w:hAnsi="仿宋_GB2312" w:eastAsia="仿宋_GB2312" w:cs="仿宋_GB2312"/>
          <w:color w:val="000000"/>
          <w:sz w:val="24"/>
          <w:szCs w:val="24"/>
          <w:highlight w:val="none"/>
          <w:lang w:eastAsia="zh-CN"/>
        </w:rPr>
        <w:t>交通服务</w:t>
      </w:r>
      <w:r>
        <w:rPr>
          <w:rFonts w:hint="eastAsia" w:ascii="仿宋_GB2312" w:hAnsi="仿宋_GB2312" w:eastAsia="仿宋_GB2312" w:cs="仿宋_GB2312"/>
          <w:color w:val="000000"/>
          <w:sz w:val="24"/>
          <w:szCs w:val="24"/>
          <w:highlight w:val="none"/>
        </w:rPr>
        <w:t>方案，为赛事提供接送机、班车、专车等车辆保障服务，</w:t>
      </w:r>
      <w:r>
        <w:rPr>
          <w:rFonts w:hint="eastAsia" w:ascii="仿宋_GB2312" w:hAnsi="仿宋_GB2312" w:eastAsia="仿宋_GB2312" w:cs="仿宋_GB2312"/>
          <w:color w:val="000000"/>
          <w:sz w:val="24"/>
          <w:szCs w:val="24"/>
          <w:highlight w:val="none"/>
          <w:lang w:val="en-US" w:eastAsia="zh-CN"/>
        </w:rPr>
        <w:t>预计接待人数400人</w:t>
      </w:r>
      <w:r>
        <w:rPr>
          <w:rFonts w:hint="eastAsia" w:ascii="仿宋_GB2312" w:hAnsi="仿宋_GB2312" w:eastAsia="仿宋_GB2312" w:cs="仿宋_GB2312"/>
          <w:color w:val="000000"/>
          <w:sz w:val="24"/>
          <w:szCs w:val="24"/>
          <w:highlight w:val="none"/>
        </w:rPr>
        <w:t>。</w:t>
      </w:r>
    </w:p>
    <w:p w14:paraId="10251A67">
      <w:pPr>
        <w:adjustRightInd w:val="0"/>
        <w:snapToGrid w:val="0"/>
        <w:spacing w:line="400" w:lineRule="exact"/>
        <w:ind w:left="0" w:leftChars="0"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三、采购方式：公开比选</w:t>
      </w:r>
    </w:p>
    <w:p w14:paraId="13A4C297">
      <w:pPr>
        <w:adjustRightInd w:val="0"/>
        <w:snapToGrid w:val="0"/>
        <w:spacing w:line="400" w:lineRule="exact"/>
        <w:ind w:left="0" w:leftChars="0"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四、预算金额</w:t>
      </w:r>
      <w:r>
        <w:rPr>
          <w:rFonts w:hint="eastAsia" w:ascii="仿宋_GB2312" w:hAnsi="仿宋_GB2312" w:eastAsia="仿宋_GB2312" w:cs="仿宋_GB2312"/>
          <w:color w:val="000000"/>
          <w:sz w:val="24"/>
          <w:szCs w:val="24"/>
          <w:highlight w:val="none"/>
          <w:lang w:eastAsia="zh-CN"/>
        </w:rPr>
        <w:t>：</w:t>
      </w:r>
      <w:r>
        <w:rPr>
          <w:rFonts w:hint="eastAsia" w:ascii="仿宋_GB2312" w:hAnsi="仿宋_GB2312" w:eastAsia="仿宋_GB2312" w:cs="仿宋_GB2312"/>
          <w:color w:val="000000"/>
          <w:sz w:val="24"/>
          <w:szCs w:val="24"/>
          <w:highlight w:val="none"/>
        </w:rPr>
        <w:t>项目预算约</w:t>
      </w:r>
      <w:r>
        <w:rPr>
          <w:rFonts w:hint="eastAsia" w:ascii="仿宋_GB2312" w:hAnsi="仿宋_GB2312" w:eastAsia="仿宋_GB2312" w:cs="仿宋_GB2312"/>
          <w:color w:val="000000"/>
          <w:sz w:val="24"/>
          <w:szCs w:val="24"/>
          <w:highlight w:val="none"/>
          <w:lang w:val="en-US" w:eastAsia="zh-CN"/>
        </w:rPr>
        <w:t>196500</w:t>
      </w:r>
      <w:r>
        <w:rPr>
          <w:rFonts w:hint="eastAsia" w:ascii="仿宋_GB2312" w:hAnsi="仿宋_GB2312" w:eastAsia="仿宋_GB2312" w:cs="仿宋_GB2312"/>
          <w:color w:val="000000"/>
          <w:sz w:val="24"/>
          <w:szCs w:val="24"/>
          <w:highlight w:val="none"/>
        </w:rPr>
        <w:t>元，实际金额以财政评审为准</w:t>
      </w:r>
    </w:p>
    <w:p w14:paraId="00ADB39C">
      <w:pPr>
        <w:adjustRightInd w:val="0"/>
        <w:snapToGrid w:val="0"/>
        <w:spacing w:line="400" w:lineRule="exact"/>
        <w:ind w:left="0" w:leftChars="0" w:firstLine="480" w:firstLineChars="200"/>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rPr>
        <w:t>五、项目实施地点：</w:t>
      </w:r>
      <w:r>
        <w:rPr>
          <w:rFonts w:hint="eastAsia" w:ascii="仿宋_GB2312" w:hAnsi="仿宋_GB2312" w:eastAsia="仿宋_GB2312" w:cs="仿宋_GB2312"/>
          <w:color w:val="000000"/>
          <w:sz w:val="24"/>
          <w:szCs w:val="24"/>
          <w:highlight w:val="none"/>
          <w:lang w:val="en-US" w:eastAsia="zh-CN"/>
        </w:rPr>
        <w:t>2025世界泳联跳水世界杯总决赛（北京）</w:t>
      </w:r>
    </w:p>
    <w:p w14:paraId="03572C89">
      <w:pPr>
        <w:adjustRightInd w:val="0"/>
        <w:snapToGrid w:val="0"/>
        <w:spacing w:line="400" w:lineRule="exact"/>
        <w:ind w:left="0" w:leftChars="0" w:firstLine="480" w:firstLineChars="200"/>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赛事地点：国家游泳中心</w:t>
      </w:r>
    </w:p>
    <w:p w14:paraId="152EA716">
      <w:pPr>
        <w:adjustRightInd w:val="0"/>
        <w:snapToGrid w:val="0"/>
        <w:spacing w:line="400" w:lineRule="exact"/>
        <w:ind w:left="0" w:leftChars="0" w:firstLine="480" w:firstLineChars="200"/>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赛事时间：2025年5月2-4日</w:t>
      </w:r>
    </w:p>
    <w:p w14:paraId="470F092F">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六、比选地点：北京市体育竞赛管理和国际交流中心会议室</w:t>
      </w:r>
    </w:p>
    <w:p w14:paraId="7E1BE7FB">
      <w:pPr>
        <w:adjustRightInd w:val="0"/>
        <w:snapToGrid w:val="0"/>
        <w:spacing w:line="400" w:lineRule="exact"/>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七、比选时间：202</w:t>
      </w:r>
      <w:r>
        <w:rPr>
          <w:rFonts w:hint="eastAsia" w:ascii="仿宋_GB2312" w:hAnsi="仿宋_GB2312" w:eastAsia="仿宋_GB2312" w:cs="仿宋_GB2312"/>
          <w:color w:val="000000"/>
          <w:sz w:val="24"/>
          <w:highlight w:val="none"/>
          <w:lang w:val="en-US" w:eastAsia="zh-CN"/>
        </w:rPr>
        <w:t>5</w:t>
      </w:r>
      <w:r>
        <w:rPr>
          <w:rFonts w:hint="eastAsia" w:ascii="仿宋_GB2312" w:hAnsi="仿宋_GB2312" w:eastAsia="仿宋_GB2312" w:cs="仿宋_GB2312"/>
          <w:color w:val="000000"/>
          <w:sz w:val="24"/>
          <w:highlight w:val="none"/>
        </w:rPr>
        <w:t>年</w:t>
      </w:r>
      <w:r>
        <w:rPr>
          <w:rFonts w:hint="eastAsia" w:ascii="仿宋_GB2312" w:hAnsi="仿宋_GB2312" w:eastAsia="仿宋_GB2312" w:cs="仿宋_GB2312"/>
          <w:color w:val="000000"/>
          <w:sz w:val="24"/>
          <w:highlight w:val="none"/>
          <w:lang w:val="en-US" w:eastAsia="zh-CN"/>
        </w:rPr>
        <w:t>4</w:t>
      </w:r>
      <w:r>
        <w:rPr>
          <w:rFonts w:hint="eastAsia" w:ascii="仿宋_GB2312" w:hAnsi="仿宋_GB2312" w:eastAsia="仿宋_GB2312" w:cs="仿宋_GB2312"/>
          <w:color w:val="000000"/>
          <w:sz w:val="24"/>
          <w:highlight w:val="none"/>
        </w:rPr>
        <w:t>月</w:t>
      </w:r>
      <w:r>
        <w:rPr>
          <w:rFonts w:hint="eastAsia" w:ascii="仿宋_GB2312" w:hAnsi="仿宋_GB2312" w:eastAsia="仿宋_GB2312" w:cs="仿宋_GB2312"/>
          <w:color w:val="000000"/>
          <w:sz w:val="24"/>
          <w:highlight w:val="none"/>
          <w:lang w:val="en-US" w:eastAsia="zh-CN"/>
        </w:rPr>
        <w:t>11</w:t>
      </w:r>
      <w:r>
        <w:rPr>
          <w:rFonts w:hint="eastAsia" w:ascii="仿宋_GB2312" w:hAnsi="仿宋_GB2312" w:eastAsia="仿宋_GB2312" w:cs="仿宋_GB2312"/>
          <w:color w:val="000000"/>
          <w:sz w:val="24"/>
          <w:highlight w:val="none"/>
        </w:rPr>
        <w:t>日</w:t>
      </w:r>
    </w:p>
    <w:p w14:paraId="104051B3">
      <w:pPr>
        <w:adjustRightInd w:val="0"/>
        <w:snapToGrid w:val="0"/>
        <w:spacing w:line="400" w:lineRule="exact"/>
        <w:ind w:firstLine="480" w:firstLineChars="200"/>
        <w:jc w:val="left"/>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八、接受比选文件时间：</w:t>
      </w:r>
      <w:r>
        <w:rPr>
          <w:rFonts w:hint="eastAsia" w:ascii="仿宋_GB2312" w:hAnsi="仿宋_GB2312" w:eastAsia="仿宋_GB2312" w:cs="仿宋_GB2312"/>
          <w:color w:val="000000"/>
          <w:sz w:val="24"/>
          <w:highlight w:val="none"/>
          <w:lang w:val="en-US" w:eastAsia="zh-CN"/>
        </w:rPr>
        <w:t>4</w:t>
      </w:r>
      <w:r>
        <w:rPr>
          <w:rFonts w:hint="eastAsia" w:ascii="仿宋_GB2312" w:hAnsi="仿宋_GB2312" w:eastAsia="仿宋_GB2312" w:cs="仿宋_GB2312"/>
          <w:color w:val="000000"/>
          <w:sz w:val="24"/>
          <w:highlight w:val="none"/>
        </w:rPr>
        <w:t>月</w:t>
      </w:r>
      <w:r>
        <w:rPr>
          <w:rFonts w:hint="eastAsia" w:ascii="仿宋_GB2312" w:hAnsi="仿宋_GB2312" w:eastAsia="仿宋_GB2312" w:cs="仿宋_GB2312"/>
          <w:color w:val="000000"/>
          <w:sz w:val="24"/>
          <w:highlight w:val="none"/>
          <w:lang w:val="en-US" w:eastAsia="zh-CN"/>
        </w:rPr>
        <w:t>7</w:t>
      </w:r>
      <w:r>
        <w:rPr>
          <w:rFonts w:hint="eastAsia" w:ascii="仿宋_GB2312" w:hAnsi="仿宋_GB2312" w:eastAsia="仿宋_GB2312" w:cs="仿宋_GB2312"/>
          <w:color w:val="000000"/>
          <w:sz w:val="24"/>
          <w:highlight w:val="none"/>
        </w:rPr>
        <w:t>日-</w:t>
      </w:r>
      <w:r>
        <w:rPr>
          <w:rFonts w:hint="eastAsia" w:ascii="仿宋_GB2312" w:hAnsi="仿宋_GB2312" w:eastAsia="仿宋_GB2312" w:cs="仿宋_GB2312"/>
          <w:color w:val="000000"/>
          <w:sz w:val="24"/>
          <w:highlight w:val="none"/>
          <w:lang w:val="en-US" w:eastAsia="zh-CN"/>
        </w:rPr>
        <w:t>4</w:t>
      </w:r>
      <w:r>
        <w:rPr>
          <w:rFonts w:hint="eastAsia" w:ascii="仿宋_GB2312" w:hAnsi="仿宋_GB2312" w:eastAsia="仿宋_GB2312" w:cs="仿宋_GB2312"/>
          <w:color w:val="000000"/>
          <w:sz w:val="24"/>
          <w:highlight w:val="none"/>
        </w:rPr>
        <w:t>月</w:t>
      </w:r>
      <w:r>
        <w:rPr>
          <w:rFonts w:hint="eastAsia" w:ascii="仿宋_GB2312" w:hAnsi="仿宋_GB2312" w:eastAsia="仿宋_GB2312" w:cs="仿宋_GB2312"/>
          <w:color w:val="000000"/>
          <w:sz w:val="24"/>
          <w:highlight w:val="none"/>
          <w:lang w:val="en-US" w:eastAsia="zh-CN"/>
        </w:rPr>
        <w:t>11</w:t>
      </w:r>
      <w:r>
        <w:rPr>
          <w:rFonts w:hint="eastAsia" w:ascii="仿宋_GB2312" w:hAnsi="仿宋_GB2312" w:eastAsia="仿宋_GB2312" w:cs="仿宋_GB2312"/>
          <w:color w:val="000000"/>
          <w:sz w:val="24"/>
          <w:highlight w:val="none"/>
        </w:rPr>
        <w:t>日</w:t>
      </w:r>
    </w:p>
    <w:p w14:paraId="65D49057">
      <w:pPr>
        <w:adjustRightInd w:val="0"/>
        <w:snapToGrid w:val="0"/>
        <w:spacing w:line="400" w:lineRule="exact"/>
        <w:ind w:left="0" w:leftChars="0"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九、提交比选文件地点：北京市西城区先农坛体育场</w:t>
      </w:r>
      <w:r>
        <w:rPr>
          <w:rFonts w:hint="eastAsia" w:ascii="仿宋_GB2312" w:hAnsi="仿宋_GB2312" w:eastAsia="仿宋_GB2312" w:cs="仿宋_GB2312"/>
          <w:color w:val="000000"/>
          <w:sz w:val="24"/>
          <w:szCs w:val="24"/>
          <w:highlight w:val="none"/>
          <w:lang w:eastAsia="zh-CN"/>
        </w:rPr>
        <w:t>2号楼</w:t>
      </w:r>
      <w:r>
        <w:rPr>
          <w:rFonts w:hint="eastAsia" w:ascii="仿宋_GB2312" w:hAnsi="仿宋_GB2312" w:eastAsia="仿宋_GB2312" w:cs="仿宋_GB2312"/>
          <w:color w:val="000000"/>
          <w:sz w:val="24"/>
          <w:szCs w:val="24"/>
          <w:highlight w:val="none"/>
          <w:lang w:val="en-US" w:eastAsia="zh-CN"/>
        </w:rPr>
        <w:t>412</w:t>
      </w:r>
    </w:p>
    <w:p w14:paraId="642F62F3">
      <w:pPr>
        <w:adjustRightInd w:val="0"/>
        <w:snapToGrid w:val="0"/>
        <w:spacing w:line="400" w:lineRule="exact"/>
        <w:ind w:left="0" w:leftChars="0" w:firstLine="480" w:firstLineChars="200"/>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十、联系人：</w:t>
      </w:r>
      <w:r>
        <w:rPr>
          <w:rFonts w:hint="eastAsia" w:ascii="仿宋_GB2312" w:hAnsi="仿宋_GB2312" w:eastAsia="仿宋_GB2312" w:cs="仿宋_GB2312"/>
          <w:color w:val="000000"/>
          <w:sz w:val="24"/>
          <w:szCs w:val="24"/>
          <w:highlight w:val="none"/>
          <w:lang w:val="en-US" w:eastAsia="zh-CN"/>
        </w:rPr>
        <w:t>马可</w:t>
      </w:r>
      <w:r>
        <w:rPr>
          <w:rFonts w:hint="eastAsia" w:ascii="仿宋_GB2312" w:hAnsi="仿宋_GB2312" w:eastAsia="仿宋_GB2312" w:cs="仿宋_GB2312"/>
          <w:color w:val="000000"/>
          <w:sz w:val="24"/>
          <w:szCs w:val="24"/>
          <w:highlight w:val="none"/>
        </w:rPr>
        <w:t>；联系电话：</w:t>
      </w:r>
      <w:r>
        <w:rPr>
          <w:rFonts w:hint="eastAsia" w:ascii="仿宋_GB2312" w:hAnsi="仿宋_GB2312" w:eastAsia="仿宋_GB2312" w:cs="仿宋_GB2312"/>
          <w:color w:val="000000"/>
          <w:sz w:val="24"/>
          <w:szCs w:val="24"/>
          <w:highlight w:val="none"/>
          <w:lang w:val="en-US" w:eastAsia="zh-CN"/>
        </w:rPr>
        <w:t>13581813159</w:t>
      </w:r>
    </w:p>
    <w:p w14:paraId="70DD82D6">
      <w:pPr>
        <w:adjustRightInd w:val="0"/>
        <w:snapToGrid w:val="0"/>
        <w:spacing w:line="520" w:lineRule="exact"/>
        <w:ind w:firstLine="480" w:firstLineChars="200"/>
        <w:rPr>
          <w:rFonts w:hint="eastAsia" w:asciiTheme="minorEastAsia" w:hAnsiTheme="minorEastAsia" w:eastAsiaTheme="minorEastAsia" w:cstheme="minorEastAsia"/>
          <w:color w:val="000000"/>
          <w:sz w:val="24"/>
          <w:szCs w:val="24"/>
          <w:highlight w:val="none"/>
        </w:rPr>
      </w:pPr>
    </w:p>
    <w:p w14:paraId="0F524CEF">
      <w:pPr>
        <w:adjustRightInd w:val="0"/>
        <w:snapToGrid w:val="0"/>
        <w:spacing w:line="600" w:lineRule="exact"/>
        <w:ind w:firstLine="2168" w:firstLineChars="900"/>
        <w:jc w:val="both"/>
        <w:rPr>
          <w:rFonts w:hint="eastAsia" w:asciiTheme="minorEastAsia" w:hAnsiTheme="minorEastAsia" w:eastAsiaTheme="minorEastAsia" w:cstheme="minorEastAsia"/>
          <w:b/>
          <w:bCs/>
          <w:sz w:val="24"/>
          <w:szCs w:val="24"/>
          <w:highlight w:val="none"/>
        </w:rPr>
      </w:pPr>
    </w:p>
    <w:p w14:paraId="4A775641">
      <w:pPr>
        <w:adjustRightInd w:val="0"/>
        <w:snapToGrid w:val="0"/>
        <w:spacing w:line="520" w:lineRule="exact"/>
        <w:ind w:firstLine="2891" w:firstLineChars="900"/>
        <w:jc w:val="both"/>
        <w:rPr>
          <w:rFonts w:hint="eastAsia" w:ascii="宋体" w:hAnsi="宋体" w:eastAsia="宋体" w:cs="宋体"/>
          <w:b/>
          <w:bCs/>
          <w:sz w:val="32"/>
          <w:szCs w:val="32"/>
          <w:highlight w:val="none"/>
        </w:rPr>
      </w:pPr>
    </w:p>
    <w:p w14:paraId="1EF51ABD">
      <w:pPr>
        <w:adjustRightInd w:val="0"/>
        <w:snapToGrid w:val="0"/>
        <w:spacing w:line="520" w:lineRule="exact"/>
        <w:ind w:firstLine="2891" w:firstLineChars="900"/>
        <w:jc w:val="both"/>
        <w:rPr>
          <w:rFonts w:hint="eastAsia" w:ascii="宋体" w:hAnsi="宋体" w:eastAsia="宋体" w:cs="宋体"/>
          <w:b/>
          <w:bCs/>
          <w:sz w:val="32"/>
          <w:szCs w:val="32"/>
          <w:highlight w:val="none"/>
        </w:rPr>
      </w:pPr>
    </w:p>
    <w:p w14:paraId="5CC34A34">
      <w:pPr>
        <w:adjustRightInd w:val="0"/>
        <w:snapToGrid w:val="0"/>
        <w:spacing w:line="520" w:lineRule="exact"/>
        <w:ind w:firstLine="2891" w:firstLineChars="900"/>
        <w:jc w:val="both"/>
        <w:rPr>
          <w:rFonts w:hint="eastAsia" w:ascii="宋体" w:hAnsi="宋体" w:eastAsia="宋体" w:cs="宋体"/>
          <w:b/>
          <w:bCs/>
          <w:sz w:val="32"/>
          <w:szCs w:val="32"/>
          <w:highlight w:val="none"/>
        </w:rPr>
      </w:pPr>
    </w:p>
    <w:p w14:paraId="140C2D05">
      <w:pPr>
        <w:adjustRightInd w:val="0"/>
        <w:snapToGrid w:val="0"/>
        <w:spacing w:line="520" w:lineRule="exact"/>
        <w:ind w:firstLine="2891" w:firstLineChars="900"/>
        <w:jc w:val="both"/>
        <w:rPr>
          <w:rFonts w:hint="eastAsia" w:ascii="宋体" w:hAnsi="宋体" w:eastAsia="宋体" w:cs="宋体"/>
          <w:b/>
          <w:bCs/>
          <w:sz w:val="32"/>
          <w:szCs w:val="32"/>
          <w:highlight w:val="none"/>
        </w:rPr>
      </w:pPr>
    </w:p>
    <w:p w14:paraId="532E0C8B">
      <w:pP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br w:type="page"/>
      </w:r>
    </w:p>
    <w:p w14:paraId="7BDB3518">
      <w:pPr>
        <w:pStyle w:val="3"/>
        <w:keepNext w:val="0"/>
        <w:keepLines w:val="0"/>
        <w:pageBreakBefore w:val="0"/>
        <w:numPr>
          <w:ilvl w:val="0"/>
          <w:numId w:val="0"/>
        </w:numPr>
        <w:kinsoku/>
        <w:wordWrap/>
        <w:overflowPunct/>
        <w:topLinePunct w:val="0"/>
        <w:autoSpaceDE/>
        <w:autoSpaceDN/>
        <w:bidi w:val="0"/>
        <w:adjustRightInd/>
        <w:snapToGrid w:val="0"/>
        <w:spacing w:before="80" w:beforeAutospacing="0" w:after="0" w:afterAutospacing="0" w:line="400" w:lineRule="exact"/>
        <w:ind w:firstLine="2880" w:firstLineChars="900"/>
        <w:jc w:val="both"/>
        <w:textAlignment w:val="auto"/>
        <w:rPr>
          <w:rFonts w:hint="eastAsia" w:ascii="黑体" w:hAnsi="黑体" w:eastAsia="黑体"/>
          <w:b w:val="0"/>
          <w:bCs w:val="0"/>
          <w:kern w:val="2"/>
          <w:sz w:val="32"/>
          <w:szCs w:val="32"/>
          <w:highlight w:val="none"/>
          <w:lang w:val="en-US"/>
        </w:rPr>
      </w:pPr>
      <w:r>
        <w:rPr>
          <w:rFonts w:hint="eastAsia" w:ascii="黑体" w:hAnsi="黑体" w:eastAsia="黑体" w:cs="黑体"/>
          <w:b w:val="0"/>
          <w:bCs w:val="0"/>
          <w:sz w:val="32"/>
          <w:szCs w:val="32"/>
          <w:highlight w:val="none"/>
          <w:lang w:val="en-US" w:eastAsia="zh-CN"/>
        </w:rPr>
        <w:t xml:space="preserve">第二部分  </w:t>
      </w:r>
      <w:r>
        <w:rPr>
          <w:rFonts w:hint="eastAsia" w:ascii="黑体" w:hAnsi="黑体" w:eastAsia="黑体" w:cs="黑体"/>
          <w:b w:val="0"/>
          <w:bCs w:val="0"/>
          <w:kern w:val="2"/>
          <w:sz w:val="32"/>
          <w:szCs w:val="32"/>
          <w:highlight w:val="none"/>
          <w:lang w:val="en-US"/>
        </w:rPr>
        <w:t>比</w:t>
      </w:r>
      <w:r>
        <w:rPr>
          <w:rFonts w:hint="eastAsia" w:ascii="黑体" w:hAnsi="黑体" w:eastAsia="黑体"/>
          <w:b w:val="0"/>
          <w:bCs w:val="0"/>
          <w:kern w:val="2"/>
          <w:sz w:val="32"/>
          <w:szCs w:val="32"/>
          <w:highlight w:val="none"/>
          <w:lang w:val="en-US"/>
        </w:rPr>
        <w:t>选须知</w:t>
      </w:r>
    </w:p>
    <w:p w14:paraId="71C7971B">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一、项目简介</w:t>
      </w:r>
    </w:p>
    <w:p w14:paraId="4FB7AA9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1.采购人：2025世界泳联跳水世界杯总决赛（北京）组织委员会</w:t>
      </w:r>
    </w:p>
    <w:p w14:paraId="42F5BE8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val="en-US" w:eastAsia="zh-CN"/>
        </w:rPr>
        <w:t>2</w:t>
      </w:r>
      <w:r>
        <w:rPr>
          <w:rFonts w:hint="eastAsia" w:ascii="仿宋_GB2312" w:hAnsi="仿宋_GB2312" w:eastAsia="仿宋_GB2312" w:cs="仿宋_GB2312"/>
          <w:color w:val="000000"/>
          <w:sz w:val="24"/>
          <w:szCs w:val="24"/>
          <w:highlight w:val="none"/>
        </w:rPr>
        <w:t>.项目名称：2025世界泳联跳水世界杯总决赛（北京）</w:t>
      </w:r>
      <w:r>
        <w:rPr>
          <w:rFonts w:hint="eastAsia" w:ascii="仿宋_GB2312" w:hAnsi="仿宋_GB2312" w:eastAsia="仿宋_GB2312" w:cs="仿宋_GB2312"/>
          <w:color w:val="000000"/>
          <w:sz w:val="24"/>
          <w:szCs w:val="24"/>
          <w:highlight w:val="none"/>
          <w:lang w:eastAsia="zh-CN"/>
        </w:rPr>
        <w:t>交通服务</w:t>
      </w:r>
    </w:p>
    <w:p w14:paraId="75C564A0">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3</w:t>
      </w:r>
      <w:r>
        <w:rPr>
          <w:rFonts w:hint="eastAsia" w:ascii="仿宋_GB2312" w:hAnsi="仿宋_GB2312" w:eastAsia="仿宋_GB2312" w:cs="仿宋_GB2312"/>
          <w:color w:val="000000"/>
          <w:sz w:val="24"/>
          <w:szCs w:val="24"/>
          <w:highlight w:val="none"/>
        </w:rPr>
        <w:t>.项目内容：为参加2025世界泳联跳水世界杯总决赛（北京）的</w:t>
      </w:r>
      <w:r>
        <w:rPr>
          <w:rFonts w:hint="eastAsia" w:ascii="仿宋_GB2312" w:hAnsi="仿宋_GB2312" w:eastAsia="仿宋_GB2312" w:cs="仿宋_GB2312"/>
          <w:color w:val="000000"/>
          <w:sz w:val="24"/>
          <w:szCs w:val="24"/>
          <w:highlight w:val="none"/>
          <w:lang w:val="en-US" w:eastAsia="zh-CN"/>
        </w:rPr>
        <w:t>世界泳</w:t>
      </w:r>
      <w:r>
        <w:rPr>
          <w:rFonts w:hint="eastAsia" w:ascii="仿宋_GB2312" w:hAnsi="仿宋_GB2312" w:eastAsia="仿宋_GB2312" w:cs="仿宋_GB2312"/>
          <w:color w:val="000000"/>
          <w:sz w:val="24"/>
          <w:szCs w:val="24"/>
          <w:highlight w:val="none"/>
        </w:rPr>
        <w:t>联官员、运动员、随队人员、媒体等赛事相关人员制定专属</w:t>
      </w:r>
      <w:r>
        <w:rPr>
          <w:rFonts w:hint="eastAsia" w:ascii="仿宋_GB2312" w:hAnsi="仿宋_GB2312" w:eastAsia="仿宋_GB2312" w:cs="仿宋_GB2312"/>
          <w:color w:val="000000"/>
          <w:sz w:val="24"/>
          <w:szCs w:val="24"/>
          <w:highlight w:val="none"/>
          <w:lang w:eastAsia="zh-CN"/>
        </w:rPr>
        <w:t>交通服务</w:t>
      </w:r>
      <w:r>
        <w:rPr>
          <w:rFonts w:hint="eastAsia" w:ascii="仿宋_GB2312" w:hAnsi="仿宋_GB2312" w:eastAsia="仿宋_GB2312" w:cs="仿宋_GB2312"/>
          <w:color w:val="000000"/>
          <w:sz w:val="24"/>
          <w:szCs w:val="24"/>
          <w:highlight w:val="none"/>
        </w:rPr>
        <w:t>方案，为赛事提供接送机、班车、专车等车辆保障服务，</w:t>
      </w:r>
      <w:r>
        <w:rPr>
          <w:rFonts w:hint="eastAsia" w:ascii="仿宋_GB2312" w:hAnsi="仿宋_GB2312" w:eastAsia="仿宋_GB2312" w:cs="仿宋_GB2312"/>
          <w:color w:val="000000"/>
          <w:sz w:val="24"/>
          <w:szCs w:val="24"/>
          <w:highlight w:val="none"/>
          <w:lang w:val="en-US" w:eastAsia="zh-CN"/>
        </w:rPr>
        <w:t>预计接待人数400人</w:t>
      </w:r>
      <w:r>
        <w:rPr>
          <w:rFonts w:hint="eastAsia" w:ascii="仿宋_GB2312" w:hAnsi="仿宋_GB2312" w:eastAsia="仿宋_GB2312" w:cs="仿宋_GB2312"/>
          <w:color w:val="000000"/>
          <w:sz w:val="24"/>
          <w:szCs w:val="24"/>
          <w:highlight w:val="none"/>
        </w:rPr>
        <w:t>。</w:t>
      </w:r>
    </w:p>
    <w:p w14:paraId="1D6C895F">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4</w:t>
      </w:r>
      <w:r>
        <w:rPr>
          <w:rFonts w:hint="eastAsia" w:ascii="仿宋_GB2312" w:hAnsi="仿宋_GB2312" w:eastAsia="仿宋_GB2312" w:cs="仿宋_GB2312"/>
          <w:color w:val="000000"/>
          <w:sz w:val="24"/>
          <w:szCs w:val="24"/>
          <w:highlight w:val="none"/>
        </w:rPr>
        <w:t>.采购方式：公开比选</w:t>
      </w:r>
    </w:p>
    <w:p w14:paraId="14639A87">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5.</w:t>
      </w:r>
      <w:r>
        <w:rPr>
          <w:rFonts w:hint="eastAsia" w:ascii="仿宋_GB2312" w:hAnsi="仿宋_GB2312" w:eastAsia="仿宋_GB2312" w:cs="仿宋_GB2312"/>
          <w:color w:val="000000"/>
          <w:sz w:val="24"/>
          <w:szCs w:val="24"/>
          <w:highlight w:val="none"/>
        </w:rPr>
        <w:t>预算金额:项目预算约</w:t>
      </w:r>
      <w:r>
        <w:rPr>
          <w:rFonts w:hint="eastAsia" w:ascii="仿宋_GB2312" w:hAnsi="仿宋_GB2312" w:eastAsia="仿宋_GB2312" w:cs="仿宋_GB2312"/>
          <w:color w:val="000000"/>
          <w:sz w:val="24"/>
          <w:szCs w:val="24"/>
          <w:highlight w:val="none"/>
          <w:lang w:val="en-US" w:eastAsia="zh-CN"/>
        </w:rPr>
        <w:t>196500</w:t>
      </w:r>
      <w:r>
        <w:rPr>
          <w:rFonts w:hint="eastAsia" w:ascii="仿宋_GB2312" w:hAnsi="仿宋_GB2312" w:eastAsia="仿宋_GB2312" w:cs="仿宋_GB2312"/>
          <w:color w:val="000000"/>
          <w:sz w:val="24"/>
          <w:szCs w:val="24"/>
          <w:highlight w:val="none"/>
        </w:rPr>
        <w:t>元，实际金额以财政评审</w:t>
      </w:r>
      <w:r>
        <w:rPr>
          <w:rFonts w:hint="eastAsia" w:ascii="仿宋_GB2312" w:hAnsi="仿宋_GB2312" w:eastAsia="仿宋_GB2312" w:cs="仿宋_GB2312"/>
          <w:color w:val="000000"/>
          <w:sz w:val="24"/>
          <w:szCs w:val="24"/>
          <w:highlight w:val="none"/>
          <w:lang w:val="en-US" w:eastAsia="zh-CN"/>
        </w:rPr>
        <w:t>结果</w:t>
      </w:r>
      <w:r>
        <w:rPr>
          <w:rFonts w:hint="eastAsia" w:ascii="仿宋_GB2312" w:hAnsi="仿宋_GB2312" w:eastAsia="仿宋_GB2312" w:cs="仿宋_GB2312"/>
          <w:color w:val="000000"/>
          <w:sz w:val="24"/>
          <w:szCs w:val="24"/>
          <w:highlight w:val="none"/>
        </w:rPr>
        <w:t>为准</w:t>
      </w:r>
    </w:p>
    <w:p w14:paraId="4820BF92">
      <w:pPr>
        <w:adjustRightInd w:val="0"/>
        <w:snapToGrid w:val="0"/>
        <w:spacing w:line="400" w:lineRule="exact"/>
        <w:ind w:left="0" w:leftChars="0" w:firstLine="480" w:firstLineChars="200"/>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val="en-US" w:eastAsia="zh-CN"/>
        </w:rPr>
        <w:t>6.</w:t>
      </w:r>
      <w:r>
        <w:rPr>
          <w:rFonts w:hint="eastAsia" w:ascii="仿宋_GB2312" w:hAnsi="仿宋_GB2312" w:eastAsia="仿宋_GB2312" w:cs="仿宋_GB2312"/>
          <w:color w:val="000000"/>
          <w:sz w:val="24"/>
          <w:szCs w:val="24"/>
          <w:highlight w:val="none"/>
        </w:rPr>
        <w:t>项目实施地点：2025世界泳联跳水世界杯总决赛（北京）</w:t>
      </w:r>
      <w:r>
        <w:rPr>
          <w:rFonts w:hint="eastAsia" w:ascii="仿宋_GB2312" w:hAnsi="仿宋_GB2312" w:eastAsia="仿宋_GB2312" w:cs="仿宋_GB2312"/>
          <w:color w:val="000000"/>
          <w:sz w:val="24"/>
          <w:szCs w:val="24"/>
          <w:highlight w:val="none"/>
          <w:lang w:val="en-US" w:eastAsia="zh-CN"/>
        </w:rPr>
        <w:t>,国家游泳中心</w:t>
      </w:r>
    </w:p>
    <w:p w14:paraId="07A8342C">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赛事时间：2025年5月2-4日</w:t>
      </w:r>
    </w:p>
    <w:p w14:paraId="12DB90C1">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二、供应商资格条件</w:t>
      </w:r>
    </w:p>
    <w:p w14:paraId="324ABC1A">
      <w:pPr>
        <w:adjustRightInd w:val="0"/>
        <w:snapToGrid w:val="0"/>
        <w:spacing w:line="400" w:lineRule="exact"/>
        <w:ind w:firstLine="480" w:firstLineChars="200"/>
        <w:rPr>
          <w:rFonts w:hint="eastAsia" w:ascii="仿宋_GB2312" w:hAnsi="仿宋_GB2312" w:eastAsia="仿宋_GB2312" w:cs="仿宋_GB2312"/>
          <w:sz w:val="24"/>
          <w:szCs w:val="24"/>
          <w:highlight w:val="none"/>
          <w:lang w:val="zh-TW" w:eastAsia="zh-CN"/>
        </w:rPr>
      </w:pPr>
      <w:r>
        <w:rPr>
          <w:rFonts w:hint="eastAsia" w:ascii="仿宋_GB2312" w:hAnsi="仿宋_GB2312" w:eastAsia="仿宋_GB2312" w:cs="仿宋_GB2312"/>
          <w:color w:val="000000"/>
          <w:sz w:val="24"/>
          <w:szCs w:val="24"/>
          <w:highlight w:val="none"/>
          <w:lang w:val="en-US" w:eastAsia="zh-CN"/>
        </w:rPr>
        <w:t>1</w:t>
      </w:r>
      <w:r>
        <w:rPr>
          <w:rFonts w:hint="eastAsia" w:ascii="仿宋_GB2312" w:hAnsi="仿宋_GB2312" w:eastAsia="仿宋_GB2312" w:cs="仿宋_GB2312"/>
          <w:color w:val="000000"/>
          <w:sz w:val="24"/>
          <w:szCs w:val="24"/>
          <w:highlight w:val="none"/>
        </w:rPr>
        <w:t>.</w:t>
      </w:r>
      <w:r>
        <w:rPr>
          <w:rFonts w:hint="eastAsia" w:ascii="仿宋_GB2312" w:hAnsi="仿宋_GB2312" w:eastAsia="仿宋_GB2312" w:cs="仿宋_GB2312"/>
          <w:sz w:val="24"/>
          <w:szCs w:val="24"/>
          <w:highlight w:val="none"/>
          <w:lang w:val="zh-TW"/>
        </w:rPr>
        <w:t>在中华人民共和国境内注册、响应招标、参加投标竞争的法人、其他组织或者自然人</w:t>
      </w:r>
      <w:r>
        <w:rPr>
          <w:rFonts w:hint="eastAsia" w:ascii="仿宋_GB2312" w:hAnsi="仿宋_GB2312" w:eastAsia="仿宋_GB2312" w:cs="仿宋_GB2312"/>
          <w:sz w:val="24"/>
          <w:szCs w:val="24"/>
          <w:highlight w:val="none"/>
          <w:lang w:val="zh-TW" w:eastAsia="zh-CN"/>
        </w:rPr>
        <w:t>，</w:t>
      </w:r>
      <w:r>
        <w:rPr>
          <w:rFonts w:hint="eastAsia" w:ascii="仿宋_GB2312" w:hAnsi="仿宋_GB2312" w:eastAsia="仿宋_GB2312" w:cs="仿宋_GB2312"/>
          <w:color w:val="000000"/>
          <w:sz w:val="24"/>
          <w:szCs w:val="24"/>
          <w:highlight w:val="none"/>
        </w:rPr>
        <w:t>公司</w:t>
      </w:r>
      <w:r>
        <w:rPr>
          <w:rFonts w:hint="eastAsia" w:ascii="仿宋_GB2312" w:hAnsi="仿宋_GB2312" w:eastAsia="仿宋_GB2312" w:cs="仿宋_GB2312"/>
          <w:color w:val="000000"/>
          <w:sz w:val="24"/>
          <w:szCs w:val="24"/>
          <w:highlight w:val="none"/>
          <w:lang w:val="en-US" w:eastAsia="zh-CN"/>
        </w:rPr>
        <w:t>注册</w:t>
      </w:r>
      <w:r>
        <w:rPr>
          <w:rFonts w:hint="eastAsia" w:ascii="仿宋_GB2312" w:hAnsi="仿宋_GB2312" w:eastAsia="仿宋_GB2312" w:cs="仿宋_GB2312"/>
          <w:color w:val="000000"/>
          <w:sz w:val="24"/>
          <w:szCs w:val="24"/>
          <w:highlight w:val="none"/>
        </w:rPr>
        <w:t>地在北京</w:t>
      </w:r>
      <w:r>
        <w:rPr>
          <w:rFonts w:hint="eastAsia" w:ascii="仿宋_GB2312" w:hAnsi="仿宋_GB2312" w:eastAsia="仿宋_GB2312" w:cs="仿宋_GB2312"/>
          <w:color w:val="000000"/>
          <w:sz w:val="24"/>
          <w:szCs w:val="24"/>
          <w:highlight w:val="none"/>
          <w:lang w:eastAsia="zh-CN"/>
        </w:rPr>
        <w:t>；</w:t>
      </w:r>
    </w:p>
    <w:p w14:paraId="7A64AC6E">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lang w:val="en-US" w:eastAsia="zh-CN"/>
        </w:rPr>
        <w:t>2.投标人应</w:t>
      </w:r>
      <w:r>
        <w:rPr>
          <w:rFonts w:hint="eastAsia" w:ascii="仿宋_GB2312" w:hAnsi="仿宋_GB2312" w:eastAsia="仿宋_GB2312" w:cs="仿宋_GB2312"/>
          <w:color w:val="000000"/>
          <w:sz w:val="24"/>
          <w:szCs w:val="24"/>
          <w:highlight w:val="none"/>
        </w:rPr>
        <w:t>须具备《中华人民共和国政府采购法》第二十二条规定的条件。</w:t>
      </w:r>
    </w:p>
    <w:p w14:paraId="21FA383B">
      <w:pPr>
        <w:adjustRightInd w:val="0"/>
        <w:snapToGrid w:val="0"/>
        <w:spacing w:line="400" w:lineRule="exact"/>
        <w:ind w:left="0" w:leftChars="0" w:firstLine="480" w:firstLineChars="200"/>
        <w:jc w:val="left"/>
        <w:rPr>
          <w:rFonts w:hint="eastAsia" w:ascii="仿宋_GB2312" w:hAnsi="仿宋_GB2312" w:eastAsia="仿宋_GB2312" w:cs="仿宋_GB2312"/>
          <w:b w:val="0"/>
          <w:bCs/>
          <w:color w:val="000000"/>
          <w:sz w:val="24"/>
          <w:szCs w:val="24"/>
          <w:highlight w:val="none"/>
          <w:lang w:eastAsia="zh-CN"/>
        </w:rPr>
      </w:pPr>
      <w:r>
        <w:rPr>
          <w:rFonts w:hint="eastAsia" w:ascii="仿宋_GB2312" w:hAnsi="仿宋_GB2312" w:eastAsia="仿宋_GB2312" w:cs="仿宋_GB2312"/>
          <w:color w:val="000000"/>
          <w:sz w:val="24"/>
          <w:szCs w:val="24"/>
          <w:highlight w:val="none"/>
          <w:lang w:val="en-US" w:eastAsia="zh-CN"/>
        </w:rPr>
        <w:t>3</w:t>
      </w:r>
      <w:r>
        <w:rPr>
          <w:rFonts w:hint="eastAsia" w:ascii="仿宋_GB2312" w:hAnsi="仿宋_GB2312" w:eastAsia="仿宋_GB2312" w:cs="仿宋_GB2312"/>
          <w:color w:val="000000"/>
          <w:sz w:val="24"/>
          <w:szCs w:val="24"/>
          <w:highlight w:val="none"/>
        </w:rPr>
        <w:t>.</w:t>
      </w:r>
      <w:r>
        <w:rPr>
          <w:rFonts w:hint="eastAsia" w:ascii="仿宋_GB2312" w:hAnsi="仿宋_GB2312" w:eastAsia="仿宋_GB2312" w:cs="仿宋_GB2312"/>
          <w:sz w:val="24"/>
          <w:szCs w:val="24"/>
          <w:highlight w:val="none"/>
        </w:rPr>
        <w:t>根据本项目特点，服务商应具备的特殊资格条件：</w:t>
      </w:r>
      <w:r>
        <w:rPr>
          <w:rFonts w:hint="eastAsia" w:ascii="仿宋_GB2312" w:hAnsi="仿宋_GB2312" w:eastAsia="仿宋_GB2312" w:cs="仿宋_GB2312"/>
          <w:b w:val="0"/>
          <w:bCs/>
          <w:sz w:val="24"/>
          <w:szCs w:val="24"/>
          <w:highlight w:val="none"/>
        </w:rPr>
        <w:t>应具有有效的道路运输经营许可证</w:t>
      </w:r>
      <w:r>
        <w:rPr>
          <w:rFonts w:hint="eastAsia" w:ascii="仿宋_GB2312" w:hAnsi="仿宋_GB2312" w:eastAsia="仿宋_GB2312" w:cs="仿宋_GB2312"/>
          <w:b w:val="0"/>
          <w:bCs/>
          <w:sz w:val="24"/>
          <w:szCs w:val="24"/>
          <w:highlight w:val="none"/>
          <w:lang w:eastAsia="zh-CN"/>
        </w:rPr>
        <w:t>；</w:t>
      </w:r>
    </w:p>
    <w:p w14:paraId="2DCC9C5F">
      <w:pPr>
        <w:adjustRightInd w:val="0"/>
        <w:snapToGrid w:val="0"/>
        <w:spacing w:line="400" w:lineRule="exact"/>
        <w:ind w:left="0" w:leftChars="0" w:firstLine="480" w:firstLineChars="200"/>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4</w:t>
      </w:r>
      <w:r>
        <w:rPr>
          <w:rFonts w:hint="eastAsia" w:ascii="仿宋_GB2312" w:hAnsi="仿宋_GB2312" w:eastAsia="仿宋_GB2312" w:cs="仿宋_GB2312"/>
          <w:color w:val="000000"/>
          <w:sz w:val="24"/>
          <w:szCs w:val="24"/>
          <w:highlight w:val="none"/>
        </w:rPr>
        <w:t>.营业执照上经营范围（业务范围）包含</w:t>
      </w:r>
      <w:r>
        <w:rPr>
          <w:rFonts w:hint="eastAsia" w:ascii="仿宋_GB2312" w:hAnsi="仿宋_GB2312" w:eastAsia="仿宋_GB2312" w:cs="仿宋_GB2312"/>
          <w:color w:val="000000"/>
          <w:sz w:val="24"/>
          <w:szCs w:val="24"/>
          <w:highlight w:val="none"/>
          <w:lang w:val="en-US" w:eastAsia="zh-CN"/>
        </w:rPr>
        <w:t>汽车客运</w:t>
      </w:r>
      <w:r>
        <w:rPr>
          <w:rFonts w:hint="eastAsia" w:ascii="仿宋_GB2312" w:hAnsi="仿宋_GB2312" w:eastAsia="仿宋_GB2312" w:cs="仿宋_GB2312"/>
          <w:color w:val="000000"/>
          <w:sz w:val="24"/>
          <w:szCs w:val="24"/>
          <w:highlight w:val="none"/>
        </w:rPr>
        <w:t>等相关业务经营范围，且截至递交响应文件时经营时长达3年及以上；</w:t>
      </w:r>
    </w:p>
    <w:p w14:paraId="076B24D6">
      <w:pPr>
        <w:numPr>
          <w:ilvl w:val="0"/>
          <w:numId w:val="0"/>
        </w:numPr>
        <w:spacing w:line="400" w:lineRule="exact"/>
        <w:ind w:left="0" w:leftChars="0" w:firstLine="480" w:firstLineChars="200"/>
        <w:jc w:val="left"/>
        <w:rPr>
          <w:rFonts w:hint="eastAsia" w:ascii="仿宋_GB2312" w:hAnsi="仿宋_GB2312" w:eastAsia="仿宋_GB2312" w:cs="仿宋_GB2312"/>
          <w:sz w:val="24"/>
          <w:szCs w:val="24"/>
          <w:highlight w:val="none"/>
          <w:lang w:val="zh-TW"/>
        </w:rPr>
      </w:pPr>
      <w:r>
        <w:rPr>
          <w:rFonts w:hint="eastAsia" w:ascii="仿宋_GB2312" w:hAnsi="仿宋_GB2312" w:eastAsia="仿宋_GB2312" w:cs="仿宋_GB2312"/>
          <w:color w:val="000000"/>
          <w:sz w:val="24"/>
          <w:szCs w:val="24"/>
          <w:highlight w:val="none"/>
          <w:lang w:val="en-US" w:eastAsia="zh-CN"/>
        </w:rPr>
        <w:t>5.</w:t>
      </w:r>
      <w:r>
        <w:rPr>
          <w:rFonts w:hint="eastAsia" w:ascii="仿宋_GB2312" w:hAnsi="仿宋_GB2312" w:eastAsia="仿宋_GB2312" w:cs="仿宋_GB2312"/>
          <w:sz w:val="24"/>
          <w:szCs w:val="24"/>
          <w:highlight w:val="none"/>
        </w:rPr>
        <w:t>通过“信用中国”网站（www.creditchina.gov.cn）等查询信用记录，投标人未被列入失信被执行人、重大税收违法案件当事人名单、政府采购严重违法失信行为记录名单；</w:t>
      </w:r>
    </w:p>
    <w:p w14:paraId="190F6230">
      <w:pPr>
        <w:adjustRightInd w:val="0"/>
        <w:snapToGrid w:val="0"/>
        <w:spacing w:line="400" w:lineRule="exact"/>
        <w:ind w:left="0" w:leftChars="0" w:firstLine="480" w:firstLineChars="20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6.投标人具有良好的商业信誉和健全的财务会计制度，有依法缴纳税收和社会保障资金的良好记录，具有履行合同所必需的设备和专业技术能力，三年内在经营活动中没有重大违法记录；</w:t>
      </w:r>
    </w:p>
    <w:p w14:paraId="3E8F6F9D">
      <w:pPr>
        <w:adjustRightInd w:val="0"/>
        <w:snapToGrid w:val="0"/>
        <w:spacing w:line="400" w:lineRule="exact"/>
        <w:ind w:left="0" w:leftChars="0" w:firstLine="480" w:firstLineChars="200"/>
        <w:jc w:val="left"/>
        <w:rPr>
          <w:rFonts w:hint="eastAsia" w:ascii="仿宋_GB2312" w:hAnsi="仿宋_GB2312" w:eastAsia="仿宋_GB2312" w:cs="仿宋_GB2312"/>
          <w:sz w:val="24"/>
          <w:szCs w:val="24"/>
          <w:highlight w:val="none"/>
          <w:lang w:val="zh-TW"/>
        </w:rPr>
      </w:pPr>
      <w:r>
        <w:rPr>
          <w:rFonts w:hint="eastAsia" w:ascii="仿宋_GB2312" w:hAnsi="仿宋_GB2312" w:eastAsia="仿宋_GB2312" w:cs="仿宋_GB2312"/>
          <w:color w:val="000000"/>
          <w:sz w:val="24"/>
          <w:szCs w:val="24"/>
          <w:highlight w:val="none"/>
          <w:lang w:val="en-US" w:eastAsia="zh-CN"/>
        </w:rPr>
        <w:t>7.</w:t>
      </w:r>
      <w:r>
        <w:rPr>
          <w:rFonts w:hint="eastAsia" w:ascii="仿宋_GB2312" w:hAnsi="仿宋_GB2312" w:eastAsia="仿宋_GB2312" w:cs="仿宋_GB2312"/>
          <w:sz w:val="24"/>
          <w:szCs w:val="24"/>
          <w:highlight w:val="none"/>
          <w:lang w:val="zh-TW"/>
        </w:rPr>
        <w:t>本项目</w:t>
      </w:r>
      <w:r>
        <w:rPr>
          <w:rFonts w:hint="eastAsia" w:ascii="仿宋_GB2312" w:hAnsi="仿宋_GB2312" w:eastAsia="仿宋_GB2312" w:cs="仿宋_GB2312"/>
          <w:sz w:val="24"/>
          <w:szCs w:val="24"/>
          <w:highlight w:val="none"/>
          <w:u w:val="single"/>
          <w:lang w:val="zh-TW"/>
        </w:rPr>
        <w:t>不</w:t>
      </w:r>
      <w:r>
        <w:rPr>
          <w:rFonts w:hint="eastAsia" w:ascii="仿宋_GB2312" w:hAnsi="仿宋_GB2312" w:eastAsia="仿宋_GB2312" w:cs="仿宋_GB2312"/>
          <w:sz w:val="24"/>
          <w:szCs w:val="24"/>
          <w:highlight w:val="none"/>
          <w:lang w:val="zh-TW"/>
        </w:rPr>
        <w:t>接受联合体投标；</w:t>
      </w:r>
    </w:p>
    <w:p w14:paraId="0E3444B8">
      <w:pPr>
        <w:numPr>
          <w:ilvl w:val="0"/>
          <w:numId w:val="0"/>
        </w:numPr>
        <w:adjustRightInd w:val="0"/>
        <w:snapToGrid w:val="0"/>
        <w:spacing w:line="400" w:lineRule="exact"/>
        <w:ind w:firstLine="480" w:firstLineChars="200"/>
        <w:jc w:val="left"/>
        <w:rPr>
          <w:rFonts w:hint="eastAsia" w:ascii="仿宋_GB2312" w:hAnsi="仿宋_GB2312" w:eastAsia="仿宋_GB2312" w:cs="仿宋_GB2312"/>
          <w:sz w:val="24"/>
          <w:szCs w:val="24"/>
          <w:highlight w:val="none"/>
          <w:lang w:val="zh-TW" w:eastAsia="zh-CN"/>
        </w:rPr>
      </w:pPr>
      <w:r>
        <w:rPr>
          <w:rFonts w:hint="eastAsia" w:ascii="仿宋_GB2312" w:hAnsi="仿宋_GB2312" w:eastAsia="仿宋_GB2312" w:cs="仿宋_GB2312"/>
          <w:sz w:val="24"/>
          <w:szCs w:val="24"/>
          <w:highlight w:val="none"/>
          <w:lang w:val="en-US" w:eastAsia="zh-CN"/>
        </w:rPr>
        <w:t>8.</w:t>
      </w:r>
      <w:r>
        <w:rPr>
          <w:rFonts w:hint="eastAsia" w:ascii="仿宋_GB2312" w:hAnsi="仿宋_GB2312" w:eastAsia="仿宋_GB2312" w:cs="仿宋_GB2312"/>
          <w:sz w:val="24"/>
          <w:szCs w:val="24"/>
          <w:highlight w:val="none"/>
          <w:lang w:val="zh-TW"/>
        </w:rPr>
        <w:t>本项目</w:t>
      </w:r>
      <w:r>
        <w:rPr>
          <w:rFonts w:hint="eastAsia" w:ascii="仿宋_GB2312" w:hAnsi="仿宋_GB2312" w:eastAsia="仿宋_GB2312" w:cs="仿宋_GB2312"/>
          <w:sz w:val="24"/>
          <w:szCs w:val="24"/>
          <w:highlight w:val="none"/>
          <w:u w:val="single"/>
          <w:lang w:val="zh-TW"/>
        </w:rPr>
        <w:t>不</w:t>
      </w:r>
      <w:r>
        <w:rPr>
          <w:rFonts w:hint="eastAsia" w:ascii="仿宋_GB2312" w:hAnsi="仿宋_GB2312" w:eastAsia="仿宋_GB2312" w:cs="仿宋_GB2312"/>
          <w:sz w:val="24"/>
          <w:szCs w:val="24"/>
          <w:highlight w:val="none"/>
          <w:lang w:val="zh-TW"/>
        </w:rPr>
        <w:t>接受进口产品投标（进口产品是指通过中国海关报关，验放进入中国境内，且产自关境外的产品）</w:t>
      </w:r>
      <w:r>
        <w:rPr>
          <w:rFonts w:hint="eastAsia" w:ascii="仿宋_GB2312" w:hAnsi="仿宋_GB2312" w:eastAsia="仿宋_GB2312" w:cs="仿宋_GB2312"/>
          <w:sz w:val="24"/>
          <w:szCs w:val="24"/>
          <w:highlight w:val="none"/>
          <w:lang w:val="zh-TW" w:eastAsia="zh-CN"/>
        </w:rPr>
        <w:t>；</w:t>
      </w:r>
    </w:p>
    <w:p w14:paraId="6EAE792A">
      <w:pPr>
        <w:numPr>
          <w:ilvl w:val="-1"/>
          <w:numId w:val="0"/>
        </w:numPr>
        <w:adjustRightInd/>
        <w:snapToGrid/>
        <w:spacing w:line="240" w:lineRule="auto"/>
        <w:ind w:firstLine="0" w:firstLineChars="0"/>
        <w:jc w:val="left"/>
        <w:rPr>
          <w:rFonts w:hint="eastAsia" w:ascii="仿宋_GB2312" w:hAnsi="仿宋_GB2312" w:eastAsia="仿宋_GB2312" w:cs="仿宋_GB2312"/>
          <w:sz w:val="24"/>
          <w:szCs w:val="24"/>
          <w:highlight w:val="none"/>
          <w:lang w:val="zh-TW" w:eastAsia="zh-CN"/>
        </w:rPr>
      </w:pPr>
      <w:r>
        <w:rPr>
          <w:rFonts w:hint="eastAsia" w:ascii="仿宋_GB2312" w:hAnsi="仿宋_GB2312" w:eastAsia="仿宋_GB2312" w:cs="仿宋_GB2312"/>
          <w:sz w:val="24"/>
          <w:szCs w:val="24"/>
          <w:highlight w:val="none"/>
          <w:lang w:val="zh-TW" w:eastAsia="zh-CN"/>
        </w:rPr>
        <w:br w:type="page"/>
      </w:r>
    </w:p>
    <w:p w14:paraId="50464F44">
      <w:pPr>
        <w:numPr>
          <w:ilvl w:val="0"/>
          <w:numId w:val="0"/>
        </w:numPr>
        <w:adjustRightInd w:val="0"/>
        <w:snapToGrid w:val="0"/>
        <w:spacing w:line="400" w:lineRule="exact"/>
        <w:ind w:firstLine="480" w:firstLineChars="20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9.</w:t>
      </w:r>
      <w:r>
        <w:rPr>
          <w:rFonts w:hint="eastAsia" w:ascii="仿宋_GB2312" w:hAnsi="仿宋_GB2312" w:eastAsia="仿宋_GB2312" w:cs="仿宋_GB2312"/>
          <w:sz w:val="24"/>
          <w:szCs w:val="24"/>
          <w:highlight w:val="none"/>
        </w:rPr>
        <w:t>本项目为非专门面向中小企业的项目；</w:t>
      </w:r>
    </w:p>
    <w:p w14:paraId="003F888C">
      <w:pPr>
        <w:numPr>
          <w:ilvl w:val="0"/>
          <w:numId w:val="0"/>
        </w:numPr>
        <w:spacing w:line="400" w:lineRule="exact"/>
        <w:ind w:leftChars="0" w:firstLine="480" w:firstLineChars="200"/>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lang w:val="en-US" w:eastAsia="zh-CN"/>
        </w:rPr>
        <w:t>10.</w:t>
      </w:r>
      <w:r>
        <w:rPr>
          <w:rFonts w:hint="eastAsia" w:ascii="仿宋_GB2312" w:hAnsi="仿宋_GB2312" w:eastAsia="仿宋_GB2312" w:cs="仿宋_GB2312"/>
          <w:sz w:val="24"/>
          <w:szCs w:val="24"/>
          <w:highlight w:val="none"/>
          <w:lang w:val="zh-TW"/>
        </w:rPr>
        <w:t>法律、行政法规、招标文件关于“合格投标人”的其他条件。</w:t>
      </w:r>
    </w:p>
    <w:p w14:paraId="0DD92A75">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三、比选文件</w:t>
      </w:r>
    </w:p>
    <w:p w14:paraId="69A2E066">
      <w:pPr>
        <w:adjustRightInd w:val="0"/>
        <w:snapToGrid w:val="0"/>
        <w:spacing w:line="400" w:lineRule="exact"/>
        <w:ind w:left="0" w:leftChars="0" w:firstLine="240" w:firstLineChars="100"/>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1.</w:t>
      </w:r>
      <w:r>
        <w:rPr>
          <w:rFonts w:hint="eastAsia" w:ascii="仿宋_GB2312" w:hAnsi="仿宋_GB2312" w:eastAsia="仿宋_GB2312" w:cs="仿宋_GB2312"/>
          <w:color w:val="000000"/>
          <w:sz w:val="24"/>
          <w:szCs w:val="24"/>
          <w:highlight w:val="none"/>
        </w:rPr>
        <w:t>比选文件组成</w:t>
      </w:r>
    </w:p>
    <w:p w14:paraId="0583A67F">
      <w:pPr>
        <w:adjustRightInd w:val="0"/>
        <w:snapToGrid w:val="0"/>
        <w:spacing w:line="400" w:lineRule="exact"/>
        <w:ind w:left="0" w:leftChars="0" w:firstLine="480" w:firstLineChars="200"/>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1.1</w:t>
      </w:r>
      <w:r>
        <w:rPr>
          <w:rFonts w:hint="eastAsia" w:ascii="仿宋_GB2312" w:hAnsi="仿宋_GB2312" w:eastAsia="仿宋_GB2312" w:cs="仿宋_GB2312"/>
          <w:color w:val="000000"/>
          <w:sz w:val="24"/>
          <w:szCs w:val="24"/>
          <w:highlight w:val="none"/>
        </w:rPr>
        <w:t>比选响应函（附件1）</w:t>
      </w:r>
    </w:p>
    <w:p w14:paraId="31AADB11">
      <w:pPr>
        <w:adjustRightInd w:val="0"/>
        <w:snapToGrid w:val="0"/>
        <w:spacing w:line="400" w:lineRule="exact"/>
        <w:ind w:left="0" w:leftChars="0" w:firstLine="480" w:firstLineChars="200"/>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1.2</w:t>
      </w:r>
      <w:r>
        <w:rPr>
          <w:rFonts w:hint="eastAsia" w:ascii="仿宋_GB2312" w:hAnsi="仿宋_GB2312" w:eastAsia="仿宋_GB2312" w:cs="仿宋_GB2312"/>
          <w:color w:val="000000"/>
          <w:sz w:val="24"/>
          <w:szCs w:val="24"/>
          <w:highlight w:val="none"/>
        </w:rPr>
        <w:t>资格证明文件（附件2）</w:t>
      </w:r>
    </w:p>
    <w:p w14:paraId="42578245">
      <w:pPr>
        <w:adjustRightInd w:val="0"/>
        <w:snapToGrid w:val="0"/>
        <w:spacing w:line="400" w:lineRule="exact"/>
        <w:ind w:left="0" w:leftChars="0" w:firstLine="480" w:firstLineChars="200"/>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1.3</w:t>
      </w:r>
      <w:r>
        <w:rPr>
          <w:rFonts w:hint="eastAsia" w:ascii="仿宋_GB2312" w:hAnsi="仿宋_GB2312" w:eastAsia="仿宋_GB2312" w:cs="仿宋_GB2312"/>
          <w:color w:val="000000"/>
          <w:sz w:val="24"/>
          <w:szCs w:val="24"/>
          <w:highlight w:val="none"/>
        </w:rPr>
        <w:t>类似项目业绩（附件3）</w:t>
      </w:r>
    </w:p>
    <w:p w14:paraId="69B25B0D">
      <w:pPr>
        <w:adjustRightInd w:val="0"/>
        <w:snapToGrid w:val="0"/>
        <w:spacing w:line="400" w:lineRule="exact"/>
        <w:ind w:left="0" w:leftChars="0" w:firstLine="480" w:firstLineChars="200"/>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1.4本项目的实施计划</w:t>
      </w:r>
      <w:r>
        <w:rPr>
          <w:rFonts w:hint="eastAsia" w:ascii="仿宋_GB2312" w:hAnsi="仿宋_GB2312" w:eastAsia="仿宋_GB2312" w:cs="仿宋_GB2312"/>
          <w:color w:val="000000"/>
          <w:sz w:val="24"/>
          <w:szCs w:val="24"/>
          <w:highlight w:val="none"/>
        </w:rPr>
        <w:t>（附件4）</w:t>
      </w:r>
    </w:p>
    <w:p w14:paraId="46335331">
      <w:pPr>
        <w:adjustRightInd w:val="0"/>
        <w:snapToGrid w:val="0"/>
        <w:spacing w:line="400" w:lineRule="exact"/>
        <w:ind w:left="0" w:leftChars="0" w:firstLine="480" w:firstLineChars="200"/>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1.5总体报价表</w:t>
      </w:r>
      <w:r>
        <w:rPr>
          <w:rFonts w:hint="eastAsia" w:ascii="仿宋_GB2312" w:hAnsi="仿宋_GB2312" w:eastAsia="仿宋_GB2312" w:cs="仿宋_GB2312"/>
          <w:color w:val="000000"/>
          <w:sz w:val="24"/>
          <w:szCs w:val="24"/>
          <w:highlight w:val="none"/>
        </w:rPr>
        <w:t>（附件5）</w:t>
      </w:r>
    </w:p>
    <w:p w14:paraId="76806A20">
      <w:pPr>
        <w:adjustRightInd w:val="0"/>
        <w:snapToGrid w:val="0"/>
        <w:spacing w:line="400" w:lineRule="exact"/>
        <w:ind w:left="0" w:leftChars="0" w:firstLine="480" w:firstLineChars="200"/>
        <w:jc w:val="lef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1.6</w:t>
      </w:r>
      <w:r>
        <w:rPr>
          <w:rFonts w:hint="eastAsia" w:ascii="仿宋_GB2312" w:hAnsi="仿宋_GB2312" w:eastAsia="仿宋_GB2312" w:cs="仿宋_GB2312"/>
          <w:color w:val="000000"/>
          <w:sz w:val="24"/>
          <w:szCs w:val="24"/>
          <w:highlight w:val="none"/>
        </w:rPr>
        <w:t>报价明细表（附件6）</w:t>
      </w:r>
    </w:p>
    <w:p w14:paraId="40BFC175">
      <w:pPr>
        <w:adjustRightInd w:val="0"/>
        <w:snapToGrid w:val="0"/>
        <w:spacing w:line="400" w:lineRule="exact"/>
        <w:ind w:left="0" w:leftChars="0" w:firstLine="480" w:firstLineChars="20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1</w:t>
      </w:r>
      <w:r>
        <w:rPr>
          <w:rFonts w:hint="eastAsia" w:ascii="仿宋_GB2312" w:hAnsi="仿宋_GB2312" w:eastAsia="仿宋_GB2312" w:cs="仿宋_GB2312"/>
          <w:color w:val="000000"/>
          <w:sz w:val="24"/>
          <w:szCs w:val="24"/>
          <w:highlight w:val="none"/>
          <w:lang w:val="en-US" w:eastAsia="zh-CN"/>
        </w:rPr>
        <w:t>.7其他资质补充材料（附件7）</w:t>
      </w:r>
    </w:p>
    <w:p w14:paraId="726046A0">
      <w:pPr>
        <w:adjustRightInd w:val="0"/>
        <w:snapToGrid w:val="0"/>
        <w:spacing w:line="400" w:lineRule="exact"/>
        <w:ind w:left="0" w:leftChars="0" w:firstLine="240" w:firstLineChars="100"/>
        <w:jc w:val="left"/>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2.比选内容填写说明及装订</w:t>
      </w:r>
    </w:p>
    <w:p w14:paraId="565B6113">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比选文件需按统一格式填写，并按本须知</w:t>
      </w:r>
      <w:r>
        <w:rPr>
          <w:rFonts w:hint="eastAsia" w:ascii="仿宋_GB2312" w:hAnsi="仿宋_GB2312" w:eastAsia="仿宋_GB2312" w:cs="仿宋_GB2312"/>
          <w:color w:val="000000"/>
          <w:sz w:val="24"/>
          <w:highlight w:val="none"/>
        </w:rPr>
        <w:t>第</w:t>
      </w:r>
      <w:r>
        <w:rPr>
          <w:rFonts w:hint="eastAsia" w:ascii="仿宋_GB2312" w:hAnsi="仿宋_GB2312" w:eastAsia="仿宋_GB2312" w:cs="仿宋_GB2312"/>
          <w:color w:val="000000"/>
          <w:sz w:val="24"/>
          <w:highlight w:val="none"/>
          <w:lang w:val="en-US" w:eastAsia="zh-CN"/>
        </w:rPr>
        <w:t>三项第1</w:t>
      </w:r>
      <w:r>
        <w:rPr>
          <w:rFonts w:hint="eastAsia" w:ascii="仿宋_GB2312" w:hAnsi="仿宋_GB2312" w:eastAsia="仿宋_GB2312" w:cs="仿宋_GB2312"/>
          <w:color w:val="000000"/>
          <w:sz w:val="24"/>
          <w:highlight w:val="none"/>
        </w:rPr>
        <w:t>条</w:t>
      </w:r>
      <w:r>
        <w:rPr>
          <w:rFonts w:hint="eastAsia" w:ascii="仿宋_GB2312" w:hAnsi="仿宋_GB2312" w:eastAsia="仿宋_GB2312" w:cs="仿宋_GB2312"/>
          <w:color w:val="000000"/>
          <w:sz w:val="24"/>
          <w:szCs w:val="24"/>
          <w:highlight w:val="none"/>
        </w:rPr>
        <w:t>规定的顺序排列，将其统一装订为一册（正副本均不得采用活页夹装订），封面注明项目名称、响应人名称等内容。全部比选文件的规格尺寸为A4纸型。</w:t>
      </w:r>
    </w:p>
    <w:p w14:paraId="5EB3C523">
      <w:pPr>
        <w:adjustRightInd w:val="0"/>
        <w:snapToGrid w:val="0"/>
        <w:spacing w:line="400" w:lineRule="exact"/>
        <w:ind w:firstLine="240" w:firstLineChars="1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3.</w:t>
      </w:r>
      <w:r>
        <w:rPr>
          <w:rFonts w:hint="eastAsia" w:ascii="仿宋_GB2312" w:hAnsi="仿宋_GB2312" w:eastAsia="仿宋_GB2312" w:cs="仿宋_GB2312"/>
          <w:color w:val="000000"/>
          <w:sz w:val="24"/>
          <w:szCs w:val="24"/>
          <w:highlight w:val="none"/>
        </w:rPr>
        <w:t>报价</w:t>
      </w:r>
    </w:p>
    <w:p w14:paraId="5C7380A7">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3.1</w:t>
      </w:r>
      <w:r>
        <w:rPr>
          <w:rFonts w:hint="eastAsia" w:ascii="仿宋_GB2312" w:hAnsi="仿宋_GB2312" w:eastAsia="仿宋_GB2312" w:cs="仿宋_GB2312"/>
          <w:color w:val="000000"/>
          <w:sz w:val="24"/>
          <w:szCs w:val="24"/>
          <w:highlight w:val="none"/>
        </w:rPr>
        <w:t>本项目报价采用的币种为人民币。</w:t>
      </w:r>
    </w:p>
    <w:p w14:paraId="1AC658CE">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3.2</w:t>
      </w:r>
      <w:r>
        <w:rPr>
          <w:rFonts w:hint="eastAsia" w:ascii="仿宋_GB2312" w:hAnsi="仿宋_GB2312" w:eastAsia="仿宋_GB2312" w:cs="仿宋_GB2312"/>
          <w:color w:val="000000"/>
          <w:sz w:val="24"/>
          <w:szCs w:val="24"/>
          <w:highlight w:val="none"/>
        </w:rPr>
        <w:t>报价总价应为人民币，包括比选响应人为完成本项目所发生的一切费用，包括但不限于：工资、劳务支出、安全保险、劳保福利、住宿、</w:t>
      </w:r>
      <w:r>
        <w:rPr>
          <w:rFonts w:hint="eastAsia" w:ascii="仿宋_GB2312" w:hAnsi="仿宋_GB2312" w:eastAsia="仿宋_GB2312" w:cs="仿宋_GB2312"/>
          <w:color w:val="000000"/>
          <w:sz w:val="24"/>
          <w:szCs w:val="24"/>
          <w:highlight w:val="none"/>
          <w:lang w:eastAsia="zh-CN"/>
        </w:rPr>
        <w:t>餐饮、</w:t>
      </w:r>
      <w:r>
        <w:rPr>
          <w:rFonts w:hint="eastAsia" w:ascii="仿宋_GB2312" w:hAnsi="仿宋_GB2312" w:eastAsia="仿宋_GB2312" w:cs="仿宋_GB2312"/>
          <w:color w:val="000000"/>
          <w:sz w:val="24"/>
          <w:szCs w:val="24"/>
          <w:highlight w:val="none"/>
        </w:rPr>
        <w:t>材料、机器及损耗、</w:t>
      </w:r>
      <w:r>
        <w:rPr>
          <w:rFonts w:hint="eastAsia" w:ascii="仿宋_GB2312" w:hAnsi="仿宋_GB2312" w:eastAsia="仿宋_GB2312" w:cs="仿宋_GB2312"/>
          <w:color w:val="000000"/>
          <w:sz w:val="24"/>
          <w:szCs w:val="24"/>
          <w:highlight w:val="none"/>
          <w:lang w:eastAsia="zh-CN"/>
        </w:rPr>
        <w:t>车贴广告、停车费、</w:t>
      </w:r>
      <w:r>
        <w:rPr>
          <w:rFonts w:hint="eastAsia" w:ascii="仿宋_GB2312" w:hAnsi="仿宋_GB2312" w:eastAsia="仿宋_GB2312" w:cs="仿宋_GB2312"/>
          <w:color w:val="000000"/>
          <w:sz w:val="24"/>
          <w:szCs w:val="24"/>
          <w:highlight w:val="none"/>
        </w:rPr>
        <w:t>税收、管理费、社会保险等一切费用。采购人不再单独支付其他任何费用。</w:t>
      </w:r>
    </w:p>
    <w:p w14:paraId="62CC1608">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3.3</w:t>
      </w:r>
      <w:r>
        <w:rPr>
          <w:rFonts w:hint="eastAsia" w:ascii="仿宋_GB2312" w:hAnsi="仿宋_GB2312" w:eastAsia="仿宋_GB2312" w:cs="仿宋_GB2312"/>
          <w:color w:val="000000"/>
          <w:sz w:val="24"/>
          <w:szCs w:val="24"/>
          <w:highlight w:val="none"/>
        </w:rPr>
        <w:t>采购人不接受任何选择报价，对每一种项目只允许有一个报价。</w:t>
      </w:r>
    </w:p>
    <w:p w14:paraId="4154D0F0">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3.4</w:t>
      </w:r>
      <w:r>
        <w:rPr>
          <w:rFonts w:hint="eastAsia" w:ascii="仿宋_GB2312" w:hAnsi="仿宋_GB2312" w:eastAsia="仿宋_GB2312" w:cs="仿宋_GB2312"/>
          <w:color w:val="000000"/>
          <w:sz w:val="24"/>
          <w:szCs w:val="24"/>
          <w:highlight w:val="none"/>
        </w:rPr>
        <w:t>服务方案中明确的服务内容应能够满足服务周期、服务需求。报价应结合服务方案中明确的服务内容报价。</w:t>
      </w:r>
    </w:p>
    <w:p w14:paraId="35C944B6">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3.5响应人按照以上规定及要求，除核算总价外，须列明各细项服务报价，不允许低于成本的恶意报价。各项费用在项目评审审定的预算范围内，按照实际发生结算，没有实际发生的服务费用不予结算。</w:t>
      </w:r>
    </w:p>
    <w:p w14:paraId="3FFF7E90">
      <w:pPr>
        <w:adjustRightInd w:val="0"/>
        <w:snapToGrid w:val="0"/>
        <w:spacing w:line="400" w:lineRule="exact"/>
        <w:ind w:firstLine="240" w:firstLineChars="100"/>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4.比选文件的有效期</w:t>
      </w:r>
    </w:p>
    <w:p w14:paraId="651AB8AB">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4.</w:t>
      </w:r>
      <w:r>
        <w:rPr>
          <w:rFonts w:hint="eastAsia" w:ascii="仿宋_GB2312" w:hAnsi="仿宋_GB2312" w:eastAsia="仿宋_GB2312" w:cs="仿宋_GB2312"/>
          <w:color w:val="000000"/>
          <w:sz w:val="24"/>
          <w:szCs w:val="24"/>
          <w:highlight w:val="none"/>
        </w:rPr>
        <w:t>1比选文件自开标日起90天内有效。有效期短于90天的比选文件，将被拒绝。</w:t>
      </w:r>
    </w:p>
    <w:p w14:paraId="4E382539">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4</w:t>
      </w:r>
      <w:r>
        <w:rPr>
          <w:rFonts w:hint="eastAsia" w:ascii="仿宋_GB2312" w:hAnsi="仿宋_GB2312" w:eastAsia="仿宋_GB2312" w:cs="仿宋_GB2312"/>
          <w:color w:val="000000"/>
          <w:sz w:val="24"/>
          <w:szCs w:val="24"/>
          <w:highlight w:val="none"/>
        </w:rPr>
        <w:t>.2在特殊情况下，采购人与响应人协商延长比选文件的有效期。这种要求和答复都应以书面、传真等形式进行。同意延长有效期的响应人不能修改比选文件。</w:t>
      </w:r>
    </w:p>
    <w:p w14:paraId="07C4C997">
      <w:pPr>
        <w:adjustRightInd w:val="0"/>
        <w:snapToGrid w:val="0"/>
        <w:spacing w:line="400" w:lineRule="exact"/>
        <w:ind w:firstLine="240" w:firstLineChars="1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5.</w:t>
      </w:r>
      <w:r>
        <w:rPr>
          <w:rFonts w:hint="eastAsia" w:ascii="仿宋_GB2312" w:hAnsi="仿宋_GB2312" w:eastAsia="仿宋_GB2312" w:cs="仿宋_GB2312"/>
          <w:color w:val="000000"/>
          <w:sz w:val="24"/>
          <w:szCs w:val="24"/>
          <w:highlight w:val="none"/>
        </w:rPr>
        <w:t>比选文件的签署及规定</w:t>
      </w:r>
    </w:p>
    <w:p w14:paraId="5E5FC4EE">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5</w:t>
      </w:r>
      <w:r>
        <w:rPr>
          <w:rFonts w:hint="eastAsia" w:ascii="仿宋_GB2312" w:hAnsi="仿宋_GB2312" w:eastAsia="仿宋_GB2312" w:cs="仿宋_GB2312"/>
          <w:color w:val="000000"/>
          <w:sz w:val="24"/>
          <w:szCs w:val="24"/>
          <w:highlight w:val="none"/>
        </w:rPr>
        <w:t>.1组成比选文件的各项资料(本须知</w:t>
      </w:r>
      <w:r>
        <w:rPr>
          <w:rFonts w:hint="eastAsia" w:ascii="仿宋_GB2312" w:hAnsi="仿宋_GB2312" w:eastAsia="仿宋_GB2312" w:cs="仿宋_GB2312"/>
          <w:color w:val="000000"/>
          <w:sz w:val="24"/>
          <w:szCs w:val="24"/>
          <w:highlight w:val="none"/>
          <w:lang w:eastAsia="zh-CN"/>
        </w:rPr>
        <w:t>“</w:t>
      </w:r>
      <w:r>
        <w:rPr>
          <w:rFonts w:hint="eastAsia" w:ascii="仿宋_GB2312" w:hAnsi="仿宋_GB2312" w:eastAsia="仿宋_GB2312" w:cs="仿宋_GB2312"/>
          <w:color w:val="000000"/>
          <w:sz w:val="24"/>
          <w:szCs w:val="24"/>
          <w:highlight w:val="none"/>
          <w:lang w:val="en-US" w:eastAsia="zh-CN"/>
        </w:rPr>
        <w:t>比选文件组成</w:t>
      </w:r>
      <w:r>
        <w:rPr>
          <w:rFonts w:hint="eastAsia" w:ascii="仿宋_GB2312" w:hAnsi="仿宋_GB2312" w:eastAsia="仿宋_GB2312" w:cs="仿宋_GB2312"/>
          <w:color w:val="000000"/>
          <w:sz w:val="24"/>
          <w:szCs w:val="24"/>
          <w:highlight w:val="none"/>
          <w:lang w:eastAsia="zh-CN"/>
        </w:rPr>
        <w:t>”</w:t>
      </w:r>
      <w:r>
        <w:rPr>
          <w:rFonts w:hint="eastAsia" w:ascii="仿宋_GB2312" w:hAnsi="仿宋_GB2312" w:eastAsia="仿宋_GB2312" w:cs="仿宋_GB2312"/>
          <w:color w:val="000000"/>
          <w:sz w:val="24"/>
          <w:szCs w:val="24"/>
          <w:highlight w:val="none"/>
        </w:rPr>
        <w:t>中所规定)均应遵守本条。</w:t>
      </w:r>
    </w:p>
    <w:p w14:paraId="341414BC">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5</w:t>
      </w:r>
      <w:r>
        <w:rPr>
          <w:rFonts w:hint="eastAsia" w:ascii="仿宋_GB2312" w:hAnsi="仿宋_GB2312" w:eastAsia="仿宋_GB2312" w:cs="仿宋_GB2312"/>
          <w:color w:val="000000"/>
          <w:sz w:val="24"/>
          <w:szCs w:val="24"/>
          <w:highlight w:val="none"/>
        </w:rPr>
        <w:t>.2响应人应填写全称，同时加盖印章。</w:t>
      </w:r>
    </w:p>
    <w:p w14:paraId="11BE5D18">
      <w:pPr>
        <w:adjustRightInd/>
        <w:snapToGrid/>
        <w:spacing w:line="240" w:lineRule="auto"/>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5</w:t>
      </w:r>
      <w:r>
        <w:rPr>
          <w:rFonts w:hint="eastAsia" w:ascii="仿宋_GB2312" w:hAnsi="仿宋_GB2312" w:eastAsia="仿宋_GB2312" w:cs="仿宋_GB2312"/>
          <w:color w:val="000000"/>
          <w:sz w:val="24"/>
          <w:szCs w:val="24"/>
          <w:highlight w:val="none"/>
        </w:rPr>
        <w:t>.3比选文件必须由法人代表或授权代表签署(印刷体、复印件无效)。</w:t>
      </w:r>
    </w:p>
    <w:p w14:paraId="65F219B4">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5.</w:t>
      </w:r>
      <w:r>
        <w:rPr>
          <w:rFonts w:hint="eastAsia" w:ascii="仿宋_GB2312" w:hAnsi="仿宋_GB2312" w:eastAsia="仿宋_GB2312" w:cs="仿宋_GB2312"/>
          <w:color w:val="000000"/>
          <w:sz w:val="24"/>
          <w:szCs w:val="24"/>
          <w:highlight w:val="none"/>
        </w:rPr>
        <w:t>4比选文件</w:t>
      </w:r>
      <w:r>
        <w:rPr>
          <w:rFonts w:hint="eastAsia" w:ascii="仿宋_GB2312" w:hAnsi="仿宋_GB2312" w:eastAsia="仿宋_GB2312" w:cs="仿宋_GB2312"/>
          <w:color w:val="000000"/>
          <w:sz w:val="24"/>
          <w:szCs w:val="24"/>
          <w:highlight w:val="none"/>
          <w:lang w:eastAsia="zh-CN"/>
        </w:rPr>
        <w:t>一式3份</w:t>
      </w:r>
      <w:r>
        <w:rPr>
          <w:rFonts w:hint="eastAsia" w:ascii="仿宋_GB2312" w:hAnsi="仿宋_GB2312" w:eastAsia="仿宋_GB2312" w:cs="仿宋_GB2312"/>
          <w:color w:val="000000"/>
          <w:sz w:val="24"/>
          <w:szCs w:val="24"/>
          <w:highlight w:val="none"/>
        </w:rPr>
        <w:t>。其中正本1份，副本</w:t>
      </w:r>
      <w:r>
        <w:rPr>
          <w:rFonts w:hint="eastAsia" w:ascii="仿宋_GB2312" w:hAnsi="仿宋_GB2312" w:eastAsia="仿宋_GB2312" w:cs="仿宋_GB2312"/>
          <w:color w:val="000000"/>
          <w:sz w:val="24"/>
          <w:szCs w:val="24"/>
          <w:highlight w:val="none"/>
          <w:lang w:val="en-US" w:eastAsia="zh-CN"/>
        </w:rPr>
        <w:t>2</w:t>
      </w:r>
      <w:r>
        <w:rPr>
          <w:rFonts w:hint="eastAsia" w:ascii="仿宋_GB2312" w:hAnsi="仿宋_GB2312" w:eastAsia="仿宋_GB2312" w:cs="仿宋_GB2312"/>
          <w:color w:val="000000"/>
          <w:sz w:val="24"/>
          <w:szCs w:val="24"/>
          <w:highlight w:val="none"/>
        </w:rPr>
        <w:t>份。如果正本与副本不符，以正本为准。</w:t>
      </w:r>
    </w:p>
    <w:p w14:paraId="3D98E1FA">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5.5</w:t>
      </w:r>
      <w:r>
        <w:rPr>
          <w:rFonts w:hint="eastAsia" w:ascii="仿宋_GB2312" w:hAnsi="仿宋_GB2312" w:eastAsia="仿宋_GB2312" w:cs="仿宋_GB2312"/>
          <w:color w:val="000000"/>
          <w:sz w:val="24"/>
          <w:szCs w:val="24"/>
          <w:highlight w:val="none"/>
        </w:rPr>
        <w:t>比选文件的正本必须用不退色的墨水填写或打印，在封面注明“正本”字样。副本可以用正本的复印件，在封面注明“副本”字样。</w:t>
      </w:r>
    </w:p>
    <w:p w14:paraId="5A3287DF">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5.6</w:t>
      </w:r>
      <w:r>
        <w:rPr>
          <w:rFonts w:hint="eastAsia" w:ascii="仿宋_GB2312" w:hAnsi="仿宋_GB2312" w:eastAsia="仿宋_GB2312" w:cs="仿宋_GB2312"/>
          <w:color w:val="000000"/>
          <w:sz w:val="24"/>
          <w:szCs w:val="24"/>
          <w:highlight w:val="none"/>
        </w:rPr>
        <w:t>比选文件不得涂改和增删，如有修改错漏处，必须由同一签署人签字或盖章。</w:t>
      </w:r>
    </w:p>
    <w:p w14:paraId="201CC710">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5</w:t>
      </w:r>
      <w:r>
        <w:rPr>
          <w:rFonts w:hint="eastAsia" w:ascii="仿宋_GB2312" w:hAnsi="仿宋_GB2312" w:eastAsia="仿宋_GB2312" w:cs="仿宋_GB2312"/>
          <w:color w:val="000000"/>
          <w:sz w:val="24"/>
          <w:szCs w:val="24"/>
          <w:highlight w:val="none"/>
        </w:rPr>
        <w:t>.7比选文件因字迹潦草或表达不清所引起的后果由响应人负责。</w:t>
      </w:r>
    </w:p>
    <w:p w14:paraId="777824CE">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四、比选文件的提交</w:t>
      </w:r>
    </w:p>
    <w:p w14:paraId="3BD3592D">
      <w:pPr>
        <w:adjustRightInd w:val="0"/>
        <w:snapToGrid w:val="0"/>
        <w:spacing w:line="400" w:lineRule="exact"/>
        <w:ind w:firstLine="240" w:firstLineChars="1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w:t>
      </w:r>
      <w:r>
        <w:rPr>
          <w:rFonts w:hint="eastAsia" w:ascii="仿宋_GB2312" w:hAnsi="仿宋_GB2312" w:eastAsia="仿宋_GB2312" w:cs="仿宋_GB2312"/>
          <w:color w:val="000000"/>
          <w:sz w:val="24"/>
          <w:szCs w:val="24"/>
          <w:highlight w:val="none"/>
          <w:lang w:eastAsia="zh-CN"/>
        </w:rPr>
        <w:t>.</w:t>
      </w:r>
      <w:r>
        <w:rPr>
          <w:rFonts w:hint="eastAsia" w:ascii="仿宋_GB2312" w:hAnsi="仿宋_GB2312" w:eastAsia="仿宋_GB2312" w:cs="仿宋_GB2312"/>
          <w:color w:val="000000"/>
          <w:sz w:val="24"/>
          <w:szCs w:val="24"/>
          <w:highlight w:val="none"/>
        </w:rPr>
        <w:t>比选文件的密封及标记</w:t>
      </w:r>
    </w:p>
    <w:p w14:paraId="6E841F86">
      <w:pPr>
        <w:adjustRightInd w:val="0"/>
        <w:snapToGrid w:val="0"/>
        <w:spacing w:line="400" w:lineRule="exact"/>
        <w:ind w:firstLine="240" w:firstLineChars="1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 xml:space="preserve">  1</w:t>
      </w:r>
      <w:r>
        <w:rPr>
          <w:rFonts w:hint="eastAsia" w:ascii="仿宋_GB2312" w:hAnsi="仿宋_GB2312" w:eastAsia="仿宋_GB2312" w:cs="仿宋_GB2312"/>
          <w:color w:val="000000"/>
          <w:sz w:val="24"/>
          <w:szCs w:val="24"/>
          <w:highlight w:val="none"/>
        </w:rPr>
        <w:t>.1比选文件密封袋内装响应文件正副本共</w:t>
      </w:r>
      <w:r>
        <w:rPr>
          <w:rFonts w:hint="eastAsia" w:ascii="仿宋_GB2312" w:hAnsi="仿宋_GB2312" w:eastAsia="仿宋_GB2312" w:cs="仿宋_GB2312"/>
          <w:color w:val="000000"/>
          <w:sz w:val="24"/>
          <w:szCs w:val="24"/>
          <w:highlight w:val="none"/>
          <w:lang w:eastAsia="zh-CN"/>
        </w:rPr>
        <w:t>一式3份</w:t>
      </w:r>
      <w:r>
        <w:rPr>
          <w:rFonts w:hint="eastAsia" w:ascii="仿宋_GB2312" w:hAnsi="仿宋_GB2312" w:eastAsia="仿宋_GB2312" w:cs="仿宋_GB2312"/>
          <w:color w:val="000000"/>
          <w:sz w:val="24"/>
          <w:szCs w:val="24"/>
          <w:highlight w:val="none"/>
        </w:rPr>
        <w:t>。密封袋上、下封口处均应有密封条和比选授权代表的签字以及响应人公章。封皮上写明项目名称、响应人名称。</w:t>
      </w:r>
    </w:p>
    <w:p w14:paraId="2525BAA7">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1.2单独准备一套比选文件电子版（可放在一个U盘/光盘里)单独密封完好，并在封套封口处加盖比选申请人单位章，在封套上标记“比选申请文件电子版”字样。</w:t>
      </w:r>
    </w:p>
    <w:p w14:paraId="7C92064C">
      <w:pPr>
        <w:adjustRightInd w:val="0"/>
        <w:snapToGrid w:val="0"/>
        <w:spacing w:line="400" w:lineRule="exact"/>
        <w:ind w:firstLine="240" w:firstLineChars="1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2.</w:t>
      </w:r>
      <w:r>
        <w:rPr>
          <w:rFonts w:hint="eastAsia" w:ascii="仿宋_GB2312" w:hAnsi="仿宋_GB2312" w:eastAsia="仿宋_GB2312" w:cs="仿宋_GB2312"/>
          <w:color w:val="000000"/>
          <w:sz w:val="24"/>
          <w:szCs w:val="24"/>
          <w:highlight w:val="none"/>
        </w:rPr>
        <w:t>比选截止时间</w:t>
      </w:r>
    </w:p>
    <w:p w14:paraId="5ECC77C9">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2</w:t>
      </w:r>
      <w:r>
        <w:rPr>
          <w:rFonts w:hint="eastAsia" w:ascii="仿宋_GB2312" w:hAnsi="仿宋_GB2312" w:eastAsia="仿宋_GB2312" w:cs="仿宋_GB2312"/>
          <w:color w:val="000000"/>
          <w:sz w:val="24"/>
          <w:szCs w:val="24"/>
          <w:highlight w:val="none"/>
        </w:rPr>
        <w:t>.1响应文件必须在规定的比选时间送达到指定的比选地点。</w:t>
      </w:r>
    </w:p>
    <w:p w14:paraId="2D9D1587">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2</w:t>
      </w:r>
      <w:r>
        <w:rPr>
          <w:rFonts w:hint="eastAsia" w:ascii="仿宋_GB2312" w:hAnsi="仿宋_GB2312" w:eastAsia="仿宋_GB2312" w:cs="仿宋_GB2312"/>
          <w:color w:val="000000"/>
          <w:sz w:val="24"/>
          <w:szCs w:val="24"/>
          <w:highlight w:val="none"/>
        </w:rPr>
        <w:t>.2采购人推迟比选时间时，应以书面(或传真)的形式，通知所有响应人。在这种情况下，采购人和响应人的权利和义务将受到新的比选时间的约束。</w:t>
      </w:r>
    </w:p>
    <w:p w14:paraId="6DCCE779">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五、比选文件提交时间</w:t>
      </w:r>
    </w:p>
    <w:p w14:paraId="7A200C21">
      <w:pPr>
        <w:adjustRightInd w:val="0"/>
        <w:snapToGrid w:val="0"/>
        <w:spacing w:line="400" w:lineRule="exact"/>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rPr>
        <w:t>202</w:t>
      </w:r>
      <w:r>
        <w:rPr>
          <w:rFonts w:hint="eastAsia" w:ascii="仿宋_GB2312" w:hAnsi="仿宋_GB2312" w:eastAsia="仿宋_GB2312" w:cs="仿宋_GB2312"/>
          <w:color w:val="000000"/>
          <w:sz w:val="24"/>
          <w:highlight w:val="none"/>
          <w:lang w:val="en-US" w:eastAsia="zh-CN"/>
        </w:rPr>
        <w:t>5</w:t>
      </w:r>
      <w:r>
        <w:rPr>
          <w:rFonts w:hint="eastAsia" w:ascii="仿宋_GB2312" w:hAnsi="仿宋_GB2312" w:eastAsia="仿宋_GB2312" w:cs="仿宋_GB2312"/>
          <w:color w:val="000000"/>
          <w:sz w:val="24"/>
          <w:highlight w:val="none"/>
        </w:rPr>
        <w:t>年</w:t>
      </w:r>
      <w:r>
        <w:rPr>
          <w:rFonts w:hint="eastAsia" w:ascii="仿宋_GB2312" w:hAnsi="仿宋_GB2312" w:eastAsia="仿宋_GB2312" w:cs="仿宋_GB2312"/>
          <w:color w:val="000000"/>
          <w:sz w:val="24"/>
          <w:highlight w:val="none"/>
          <w:lang w:val="en-US" w:eastAsia="zh-CN"/>
        </w:rPr>
        <w:t>4月7日-4月11日</w:t>
      </w:r>
    </w:p>
    <w:p w14:paraId="30B39D1A">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六、比选文件提交地点</w:t>
      </w:r>
    </w:p>
    <w:p w14:paraId="5D720F21">
      <w:pPr>
        <w:adjustRightInd w:val="0"/>
        <w:snapToGrid w:val="0"/>
        <w:spacing w:line="400" w:lineRule="exact"/>
        <w:ind w:firstLine="480" w:firstLineChars="200"/>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北京市西城区先农坛体育场2号楼4层412</w:t>
      </w:r>
    </w:p>
    <w:p w14:paraId="3B27BEFD">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七、成交原则</w:t>
      </w:r>
    </w:p>
    <w:p w14:paraId="3087B592">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1.</w:t>
      </w:r>
      <w:r>
        <w:rPr>
          <w:rFonts w:hint="eastAsia" w:ascii="仿宋_GB2312" w:hAnsi="仿宋_GB2312" w:eastAsia="仿宋_GB2312" w:cs="仿宋_GB2312"/>
          <w:color w:val="000000"/>
          <w:sz w:val="24"/>
          <w:szCs w:val="24"/>
          <w:highlight w:val="none"/>
        </w:rPr>
        <w:t>采用综合评分法，即比选文件满足比选文件全部实质性要求且按评审因素的量化指标评审得分最高的供应商为成交候选供应商的评审方法。</w:t>
      </w:r>
    </w:p>
    <w:p w14:paraId="14E98E69">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eastAsia" w:ascii="黑体" w:hAnsi="黑体" w:eastAsia="黑体" w:cs="黑体"/>
          <w:sz w:val="28"/>
          <w:szCs w:val="28"/>
          <w:highlight w:val="none"/>
        </w:rPr>
      </w:pPr>
      <w:r>
        <w:rPr>
          <w:rFonts w:hint="eastAsia" w:ascii="黑体" w:hAnsi="黑体" w:eastAsia="黑体" w:cs="黑体"/>
          <w:sz w:val="28"/>
          <w:szCs w:val="28"/>
          <w:highlight w:val="none"/>
        </w:rPr>
        <w:t>八、无效响应人条款</w:t>
      </w:r>
    </w:p>
    <w:p w14:paraId="62EEC4CB">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1</w:t>
      </w:r>
      <w:r>
        <w:rPr>
          <w:rFonts w:hint="eastAsia" w:ascii="仿宋_GB2312" w:hAnsi="仿宋_GB2312" w:eastAsia="仿宋_GB2312" w:cs="仿宋_GB2312"/>
          <w:color w:val="000000"/>
          <w:sz w:val="24"/>
          <w:szCs w:val="24"/>
          <w:highlight w:val="none"/>
        </w:rPr>
        <w:t>.比选文件未按照比选文件规定要求密封、签署、盖章的；</w:t>
      </w:r>
    </w:p>
    <w:p w14:paraId="47131183">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2.提供选择性报价的；</w:t>
      </w:r>
    </w:p>
    <w:p w14:paraId="0E256022">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3</w:t>
      </w:r>
      <w:r>
        <w:rPr>
          <w:rFonts w:hint="eastAsia" w:ascii="仿宋_GB2312" w:hAnsi="仿宋_GB2312" w:eastAsia="仿宋_GB2312" w:cs="仿宋_GB2312"/>
          <w:color w:val="000000"/>
          <w:sz w:val="24"/>
          <w:szCs w:val="24"/>
          <w:highlight w:val="none"/>
        </w:rPr>
        <w:t>.响应人比选总价超过预算金额的；</w:t>
      </w:r>
    </w:p>
    <w:p w14:paraId="068A2EF7">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4</w:t>
      </w:r>
      <w:r>
        <w:rPr>
          <w:rFonts w:hint="eastAsia" w:ascii="仿宋_GB2312" w:hAnsi="仿宋_GB2312" w:eastAsia="仿宋_GB2312" w:cs="仿宋_GB2312"/>
          <w:color w:val="000000"/>
          <w:sz w:val="24"/>
          <w:szCs w:val="24"/>
          <w:highlight w:val="none"/>
        </w:rPr>
        <w:t>.未提交实质性比选文件的响应文件；</w:t>
      </w:r>
    </w:p>
    <w:p w14:paraId="5FFC7C24">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5</w:t>
      </w:r>
      <w:r>
        <w:rPr>
          <w:rFonts w:hint="eastAsia" w:ascii="仿宋_GB2312" w:hAnsi="仿宋_GB2312" w:eastAsia="仿宋_GB2312" w:cs="仿宋_GB2312"/>
          <w:color w:val="000000"/>
          <w:sz w:val="24"/>
          <w:szCs w:val="24"/>
          <w:highlight w:val="none"/>
        </w:rPr>
        <w:t xml:space="preserve">.响应人不具备比选文件中规定的资格要求的； </w:t>
      </w:r>
    </w:p>
    <w:p w14:paraId="7037DC28">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6</w:t>
      </w:r>
      <w:r>
        <w:rPr>
          <w:rFonts w:hint="eastAsia" w:ascii="仿宋_GB2312" w:hAnsi="仿宋_GB2312" w:eastAsia="仿宋_GB2312" w:cs="仿宋_GB2312"/>
          <w:color w:val="000000"/>
          <w:sz w:val="24"/>
          <w:szCs w:val="24"/>
          <w:highlight w:val="none"/>
        </w:rPr>
        <w:t>.不符合法律、法规和比选文件中规定的其他实质性要求，且经评委评审将导致不利于采购人后果的（响应人对比选文件中比选文件中带有“应、应当、须、必须、不得”等字样条款的偏离，均有可能导致其比选被拒绝。）；</w:t>
      </w:r>
    </w:p>
    <w:p w14:paraId="03709820">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7</w:t>
      </w:r>
      <w:r>
        <w:rPr>
          <w:rFonts w:hint="eastAsia" w:ascii="仿宋_GB2312" w:hAnsi="仿宋_GB2312" w:eastAsia="仿宋_GB2312" w:cs="仿宋_GB2312"/>
          <w:color w:val="000000"/>
          <w:sz w:val="24"/>
          <w:szCs w:val="24"/>
          <w:highlight w:val="none"/>
        </w:rPr>
        <w:t>.未按照资格证明文件中要求，提供有效的资格证明文件的；</w:t>
      </w:r>
    </w:p>
    <w:p w14:paraId="0C9BF68C">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8</w:t>
      </w:r>
      <w:r>
        <w:rPr>
          <w:rFonts w:hint="eastAsia" w:ascii="仿宋_GB2312" w:hAnsi="仿宋_GB2312" w:eastAsia="仿宋_GB2312" w:cs="仿宋_GB2312"/>
          <w:color w:val="000000"/>
          <w:sz w:val="24"/>
          <w:szCs w:val="24"/>
          <w:highlight w:val="none"/>
        </w:rPr>
        <w:t>.在评审期间，试图影响采购单位和比选小组的任何活动的；</w:t>
      </w:r>
    </w:p>
    <w:p w14:paraId="7EAD6AA3">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9</w:t>
      </w:r>
      <w:r>
        <w:rPr>
          <w:rFonts w:hint="eastAsia" w:ascii="仿宋_GB2312" w:hAnsi="仿宋_GB2312" w:eastAsia="仿宋_GB2312" w:cs="仿宋_GB2312"/>
          <w:color w:val="000000"/>
          <w:sz w:val="24"/>
          <w:szCs w:val="24"/>
          <w:highlight w:val="none"/>
        </w:rPr>
        <w:t>.付款条件不能响应比选文件要求的；</w:t>
      </w:r>
    </w:p>
    <w:p w14:paraId="4EB371AC">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10</w:t>
      </w:r>
      <w:r>
        <w:rPr>
          <w:rFonts w:hint="eastAsia" w:ascii="仿宋_GB2312" w:hAnsi="仿宋_GB2312" w:eastAsia="仿宋_GB2312" w:cs="仿宋_GB2312"/>
          <w:color w:val="000000"/>
          <w:sz w:val="24"/>
          <w:szCs w:val="24"/>
          <w:highlight w:val="none"/>
        </w:rPr>
        <w:t>.在截止时间后送达的比选文件。</w:t>
      </w:r>
    </w:p>
    <w:p w14:paraId="7C755F74">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b w:val="0"/>
          <w:bCs w:val="0"/>
          <w:color w:val="000000"/>
          <w:sz w:val="32"/>
          <w:szCs w:val="32"/>
          <w:highlight w:val="none"/>
          <w:lang w:val="en-US" w:eastAsia="zh-CN"/>
        </w:rPr>
      </w:pPr>
    </w:p>
    <w:p w14:paraId="0051252C">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jc w:val="center"/>
        <w:textAlignment w:val="auto"/>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第三部分  采购需求</w:t>
      </w:r>
    </w:p>
    <w:p w14:paraId="3510849A">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left"/>
        <w:textAlignment w:val="auto"/>
        <w:rPr>
          <w:rFonts w:hint="default" w:ascii="黑体" w:hAnsi="黑体" w:eastAsia="黑体" w:cs="黑体"/>
          <w:sz w:val="28"/>
          <w:szCs w:val="28"/>
          <w:highlight w:val="none"/>
          <w:lang w:val="en-US"/>
        </w:rPr>
      </w:pPr>
      <w:r>
        <w:rPr>
          <w:rFonts w:hint="eastAsia" w:ascii="黑体" w:hAnsi="黑体" w:eastAsia="黑体" w:cs="黑体"/>
          <w:sz w:val="28"/>
          <w:szCs w:val="28"/>
          <w:highlight w:val="none"/>
          <w:lang w:val="en-US" w:eastAsia="zh-CN"/>
        </w:rPr>
        <w:t>一、服务原则</w:t>
      </w:r>
    </w:p>
    <w:p w14:paraId="3FD6E22A">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both"/>
        <w:textAlignment w:val="auto"/>
        <w:rPr>
          <w:rFonts w:hint="eastAsia" w:ascii="仿宋_GB2312" w:hAnsi="仿宋_GB2312" w:eastAsia="仿宋_GB2312" w:cs="仿宋_GB2312"/>
          <w:color w:val="000000"/>
          <w:kern w:val="2"/>
          <w:sz w:val="24"/>
          <w:szCs w:val="24"/>
          <w:highlight w:val="none"/>
          <w:lang w:val="en-US" w:eastAsia="zh-CN" w:bidi="ar"/>
        </w:rPr>
      </w:pPr>
      <w:r>
        <w:rPr>
          <w:rFonts w:hint="eastAsia" w:ascii="仿宋_GB2312" w:hAnsi="仿宋_GB2312" w:eastAsia="仿宋_GB2312" w:cs="仿宋_GB2312"/>
          <w:color w:val="000000"/>
          <w:kern w:val="2"/>
          <w:sz w:val="24"/>
          <w:szCs w:val="24"/>
          <w:highlight w:val="none"/>
          <w:lang w:eastAsia="zh-CN" w:bidi="ar"/>
        </w:rPr>
        <w:t xml:space="preserve">    </w:t>
      </w:r>
      <w:r>
        <w:rPr>
          <w:rFonts w:hint="eastAsia" w:ascii="仿宋_GB2312" w:hAnsi="仿宋_GB2312" w:eastAsia="仿宋_GB2312" w:cs="仿宋_GB2312"/>
          <w:color w:val="000000"/>
          <w:kern w:val="2"/>
          <w:sz w:val="24"/>
          <w:szCs w:val="24"/>
          <w:highlight w:val="none"/>
          <w:lang w:val="en-US" w:eastAsia="zh-CN" w:bidi="ar"/>
        </w:rPr>
        <w:t>赛事交通服务的关键功能需求为车辆、驾驶员、协调服务，需要实现赛事交通服务保障的安全、可靠、高效，具备安全可靠的运输服务能力和应急保障能力，确保在本项目赛事期间全天候及场景条件下正常工作。整体交通服务以简约、安全、精彩为主旨理念，同时充分考虑共享原则。</w:t>
      </w:r>
    </w:p>
    <w:p w14:paraId="69BCAB0F">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_GB2312" w:hAnsi="仿宋_GB2312" w:eastAsia="仿宋_GB2312" w:cs="仿宋_GB2312"/>
          <w:color w:val="000000"/>
          <w:kern w:val="2"/>
          <w:sz w:val="24"/>
          <w:szCs w:val="24"/>
          <w:highlight w:val="none"/>
          <w:lang w:val="en-US" w:eastAsia="zh-CN" w:bidi="ar"/>
        </w:rPr>
      </w:pPr>
      <w:r>
        <w:rPr>
          <w:rFonts w:hint="eastAsia" w:ascii="仿宋_GB2312" w:hAnsi="仿宋_GB2312" w:eastAsia="仿宋_GB2312" w:cs="仿宋_GB2312"/>
          <w:color w:val="000000"/>
          <w:kern w:val="2"/>
          <w:sz w:val="24"/>
          <w:szCs w:val="24"/>
          <w:highlight w:val="none"/>
          <w:lang w:val="en-US" w:eastAsia="zh-CN" w:bidi="ar"/>
        </w:rPr>
        <w:t>报价人需具备相应交通运输资质，按照采购人的要求，统一提供功能完备、性能优良、安全可靠,符合相关法律法规、行业标准的交通服务保障，确保车辆运行平稳有序，团队及人员管理高效，能够及时消除各类交通安全风险隐患。</w:t>
      </w:r>
    </w:p>
    <w:p w14:paraId="49C80C58">
      <w:pPr>
        <w:pStyle w:val="2"/>
        <w:ind w:left="559" w:leftChars="266" w:firstLine="0" w:firstLineChars="0"/>
        <w:rPr>
          <w:rFonts w:hint="eastAsia"/>
          <w:highlight w:val="none"/>
        </w:rPr>
      </w:pPr>
      <w:r>
        <w:rPr>
          <w:rFonts w:hint="eastAsia" w:ascii="黑体" w:hAnsi="黑体" w:eastAsia="黑体" w:cs="黑体"/>
          <w:sz w:val="28"/>
          <w:szCs w:val="28"/>
          <w:highlight w:val="none"/>
          <w:lang w:val="en-US" w:eastAsia="zh-CN"/>
        </w:rPr>
        <w:t>二、</w:t>
      </w:r>
      <w:r>
        <w:rPr>
          <w:rFonts w:hint="default" w:ascii="黑体" w:hAnsi="黑体" w:eastAsia="黑体" w:cs="黑体"/>
          <w:sz w:val="28"/>
          <w:szCs w:val="28"/>
          <w:highlight w:val="none"/>
          <w:lang w:eastAsia="zh-CN"/>
        </w:rPr>
        <w:t>总</w:t>
      </w:r>
      <w:r>
        <w:rPr>
          <w:rFonts w:hint="eastAsia" w:ascii="黑体" w:hAnsi="黑体" w:eastAsia="黑体" w:cs="黑体"/>
          <w:sz w:val="28"/>
          <w:szCs w:val="28"/>
          <w:highlight w:val="none"/>
          <w:lang w:val="en-US" w:eastAsia="zh-CN"/>
        </w:rPr>
        <w:t>体要求</w:t>
      </w:r>
    </w:p>
    <w:p w14:paraId="3007AC81">
      <w:pPr>
        <w:keepNext w:val="0"/>
        <w:keepLines w:val="0"/>
        <w:widowControl w:val="0"/>
        <w:suppressLineNumbers w:val="0"/>
        <w:spacing w:before="0" w:beforeAutospacing="0" w:after="0" w:afterAutospacing="0" w:line="400" w:lineRule="exact"/>
        <w:ind w:left="0" w:right="0" w:firstLine="480" w:firstLineChars="200"/>
        <w:jc w:val="both"/>
        <w:rPr>
          <w:rFonts w:hint="eastAsia" w:ascii="方正楷体_GB2312" w:hAnsi="方正楷体_GB2312" w:eastAsia="方正楷体_GB2312" w:cs="方正楷体_GB2312"/>
          <w:color w:val="000000"/>
          <w:kern w:val="2"/>
          <w:sz w:val="24"/>
          <w:szCs w:val="24"/>
          <w:highlight w:val="none"/>
        </w:rPr>
      </w:pPr>
      <w:r>
        <w:rPr>
          <w:rFonts w:hint="eastAsia" w:ascii="方正楷体_GB2312" w:hAnsi="方正楷体_GB2312" w:eastAsia="方正楷体_GB2312" w:cs="方正楷体_GB2312"/>
          <w:color w:val="000000"/>
          <w:kern w:val="2"/>
          <w:sz w:val="24"/>
          <w:szCs w:val="24"/>
          <w:highlight w:val="none"/>
          <w:lang w:val="en-US" w:eastAsia="zh-CN" w:bidi="ar"/>
        </w:rPr>
        <w:t>（一）服务对象</w:t>
      </w:r>
    </w:p>
    <w:p w14:paraId="5373EA07">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包括参加本赛事的各国运动员和随队官员、世界泳联官员及工作人员、转播商、新闻媒体、中方工作人员等注册人员，为其提供机场接送机、市内班车、专车等交通服务保障。</w:t>
      </w:r>
    </w:p>
    <w:p w14:paraId="5B20AB48">
      <w:pPr>
        <w:keepNext w:val="0"/>
        <w:keepLines w:val="0"/>
        <w:widowControl w:val="0"/>
        <w:suppressLineNumbers w:val="0"/>
        <w:spacing w:before="0" w:beforeAutospacing="0" w:after="0" w:afterAutospacing="0" w:line="400" w:lineRule="exact"/>
        <w:ind w:left="0" w:right="0" w:firstLine="480" w:firstLineChars="200"/>
        <w:jc w:val="both"/>
        <w:rPr>
          <w:rFonts w:hint="eastAsia" w:ascii="方正楷体_GB2312" w:hAnsi="方正楷体_GB2312" w:eastAsia="方正楷体_GB2312" w:cs="方正楷体_GB2312"/>
          <w:color w:val="000000"/>
          <w:kern w:val="2"/>
          <w:sz w:val="24"/>
          <w:szCs w:val="24"/>
          <w:highlight w:val="none"/>
          <w:lang w:val="en-US" w:eastAsia="zh-CN" w:bidi="ar"/>
        </w:rPr>
      </w:pPr>
      <w:r>
        <w:rPr>
          <w:rFonts w:hint="eastAsia" w:ascii="方正楷体_GB2312" w:hAnsi="方正楷体_GB2312" w:eastAsia="方正楷体_GB2312" w:cs="方正楷体_GB2312"/>
          <w:color w:val="000000"/>
          <w:kern w:val="2"/>
          <w:sz w:val="24"/>
          <w:szCs w:val="24"/>
          <w:highlight w:val="none"/>
          <w:lang w:val="en-US" w:eastAsia="zh-CN" w:bidi="ar"/>
        </w:rPr>
        <w:t>（二）服务场所</w:t>
      </w:r>
    </w:p>
    <w:p w14:paraId="74350AA6">
      <w:pPr>
        <w:spacing w:line="400" w:lineRule="exact"/>
        <w:ind w:firstLine="480" w:firstLineChars="200"/>
        <w:rPr>
          <w:rFonts w:ascii="仿宋_GB2312" w:hAnsi="仿宋_GB2312" w:eastAsia="仿宋_GB2312" w:cs="仿宋_GB2312"/>
          <w:color w:val="000000"/>
          <w:sz w:val="24"/>
          <w:highlight w:val="none"/>
        </w:rPr>
      </w:pPr>
      <w:r>
        <w:rPr>
          <w:rFonts w:hint="eastAsia" w:ascii="仿宋_GB2312" w:hAnsi="仿宋_GB2312" w:eastAsia="仿宋_GB2312" w:cs="仿宋_GB2312"/>
          <w:color w:val="000000"/>
          <w:sz w:val="24"/>
          <w:highlight w:val="none"/>
          <w:lang w:bidi="ar"/>
        </w:rPr>
        <w:t>包括北京首都机场各航站楼</w:t>
      </w:r>
      <w:r>
        <w:rPr>
          <w:rFonts w:hint="eastAsia" w:ascii="仿宋_GB2312" w:hAnsi="仿宋_GB2312" w:eastAsia="仿宋_GB2312" w:cs="仿宋_GB2312"/>
          <w:color w:val="000000"/>
          <w:sz w:val="24"/>
          <w:highlight w:val="none"/>
          <w:lang w:eastAsia="zh-CN" w:bidi="ar"/>
        </w:rPr>
        <w:t>、</w:t>
      </w:r>
      <w:r>
        <w:rPr>
          <w:rFonts w:hint="eastAsia" w:ascii="仿宋_GB2312" w:hAnsi="仿宋_GB2312" w:eastAsia="仿宋_GB2312" w:cs="仿宋_GB2312"/>
          <w:color w:val="000000"/>
          <w:sz w:val="24"/>
          <w:highlight w:val="none"/>
          <w:lang w:bidi="ar"/>
        </w:rPr>
        <w:t>大兴机场、赛事场馆、酒店和</w:t>
      </w:r>
      <w:r>
        <w:rPr>
          <w:rFonts w:hint="eastAsia" w:ascii="仿宋_GB2312" w:hAnsi="仿宋_GB2312" w:eastAsia="仿宋_GB2312" w:cs="仿宋_GB2312"/>
          <w:color w:val="000000"/>
          <w:sz w:val="24"/>
          <w:highlight w:val="none"/>
          <w:lang w:val="en-US" w:eastAsia="zh-CN" w:bidi="ar"/>
        </w:rPr>
        <w:t>其他可能涉及的</w:t>
      </w:r>
      <w:r>
        <w:rPr>
          <w:rFonts w:hint="eastAsia" w:ascii="仿宋_GB2312" w:hAnsi="仿宋_GB2312" w:eastAsia="仿宋_GB2312" w:cs="仿宋_GB2312"/>
          <w:color w:val="000000"/>
          <w:sz w:val="24"/>
          <w:highlight w:val="none"/>
          <w:lang w:bidi="ar"/>
        </w:rPr>
        <w:t>赛事</w:t>
      </w:r>
      <w:r>
        <w:rPr>
          <w:rFonts w:hint="eastAsia" w:ascii="仿宋_GB2312" w:hAnsi="仿宋_GB2312" w:eastAsia="仿宋_GB2312" w:cs="仿宋_GB2312"/>
          <w:color w:val="000000"/>
          <w:sz w:val="24"/>
          <w:highlight w:val="none"/>
          <w:lang w:val="en-US" w:eastAsia="zh-CN" w:bidi="ar"/>
        </w:rPr>
        <w:t>相关</w:t>
      </w:r>
      <w:r>
        <w:rPr>
          <w:rFonts w:hint="eastAsia" w:ascii="仿宋_GB2312" w:hAnsi="仿宋_GB2312" w:eastAsia="仿宋_GB2312" w:cs="仿宋_GB2312"/>
          <w:color w:val="000000"/>
          <w:sz w:val="24"/>
          <w:highlight w:val="none"/>
          <w:lang w:bidi="ar"/>
        </w:rPr>
        <w:t>场所、点位。</w:t>
      </w:r>
    </w:p>
    <w:p w14:paraId="03469AF0">
      <w:pPr>
        <w:keepNext w:val="0"/>
        <w:keepLines w:val="0"/>
        <w:widowControl w:val="0"/>
        <w:suppressLineNumbers w:val="0"/>
        <w:spacing w:before="0" w:beforeAutospacing="0" w:after="0" w:afterAutospacing="0" w:line="400" w:lineRule="exact"/>
        <w:ind w:left="0" w:right="0" w:firstLine="480" w:firstLineChars="200"/>
        <w:jc w:val="both"/>
        <w:rPr>
          <w:rFonts w:hint="eastAsia" w:ascii="方正楷体_GB2312" w:hAnsi="方正楷体_GB2312" w:eastAsia="方正楷体_GB2312" w:cs="方正楷体_GB2312"/>
          <w:color w:val="000000"/>
          <w:kern w:val="2"/>
          <w:sz w:val="24"/>
          <w:szCs w:val="24"/>
          <w:highlight w:val="none"/>
          <w:lang w:val="en-US" w:eastAsia="zh-CN" w:bidi="ar"/>
        </w:rPr>
      </w:pPr>
      <w:r>
        <w:rPr>
          <w:rFonts w:hint="eastAsia" w:ascii="方正楷体_GB2312" w:hAnsi="方正楷体_GB2312" w:eastAsia="方正楷体_GB2312" w:cs="方正楷体_GB2312"/>
          <w:color w:val="000000"/>
          <w:kern w:val="2"/>
          <w:sz w:val="24"/>
          <w:szCs w:val="24"/>
          <w:highlight w:val="none"/>
          <w:lang w:val="en-US" w:eastAsia="zh-CN" w:bidi="ar"/>
        </w:rPr>
        <w:t>（三）服务时间</w:t>
      </w:r>
    </w:p>
    <w:p w14:paraId="66A531F8">
      <w:pPr>
        <w:keepNext w:val="0"/>
        <w:keepLines w:val="0"/>
        <w:widowControl w:val="0"/>
        <w:suppressLineNumbers w:val="0"/>
        <w:spacing w:before="0" w:beforeAutospacing="0" w:after="0" w:afterAutospacing="0" w:line="400" w:lineRule="exact"/>
        <w:ind w:left="0" w:right="0"/>
        <w:jc w:val="both"/>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eastAsia="zh-CN" w:bidi="ar"/>
        </w:rPr>
        <w:t xml:space="preserve">    </w:t>
      </w:r>
      <w:r>
        <w:rPr>
          <w:rFonts w:hint="eastAsia" w:ascii="仿宋_GB2312" w:hAnsi="仿宋_GB2312" w:eastAsia="仿宋_GB2312" w:cs="仿宋_GB2312"/>
          <w:color w:val="000000"/>
          <w:kern w:val="2"/>
          <w:sz w:val="24"/>
          <w:szCs w:val="24"/>
          <w:highlight w:val="none"/>
          <w:lang w:val="en-US" w:eastAsia="zh-CN" w:bidi="ar"/>
        </w:rPr>
        <w:t>本项目服务时间分为三个阶段，具体如下：</w:t>
      </w:r>
    </w:p>
    <w:p w14:paraId="6C6356C8">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1. 赛前准备期</w:t>
      </w:r>
    </w:p>
    <w:p w14:paraId="683CE33F">
      <w:pPr>
        <w:keepNext w:val="0"/>
        <w:keepLines w:val="0"/>
        <w:widowControl w:val="0"/>
        <w:suppressLineNumbers w:val="0"/>
        <w:spacing w:before="0" w:beforeAutospacing="0" w:after="0" w:afterAutospacing="0" w:line="400" w:lineRule="exact"/>
        <w:ind w:left="0" w:right="0"/>
        <w:jc w:val="both"/>
        <w:rPr>
          <w:rFonts w:hint="eastAsia" w:ascii="仿宋_GB2312" w:hAnsi="仿宋_GB2312" w:eastAsia="仿宋_GB2312" w:cs="仿宋_GB2312"/>
          <w:color w:val="000000"/>
          <w:kern w:val="2"/>
          <w:sz w:val="24"/>
          <w:szCs w:val="24"/>
          <w:highlight w:val="none"/>
          <w:lang w:val="en-US"/>
        </w:rPr>
      </w:pPr>
      <w:r>
        <w:rPr>
          <w:rFonts w:hint="eastAsia" w:ascii="仿宋_GB2312" w:hAnsi="仿宋_GB2312" w:eastAsia="仿宋_GB2312" w:cs="仿宋_GB2312"/>
          <w:color w:val="000000"/>
          <w:kern w:val="2"/>
          <w:sz w:val="24"/>
          <w:szCs w:val="24"/>
          <w:highlight w:val="none"/>
          <w:lang w:eastAsia="zh-CN" w:bidi="ar"/>
        </w:rPr>
        <w:t xml:space="preserve">    </w:t>
      </w:r>
      <w:r>
        <w:rPr>
          <w:rFonts w:hint="eastAsia" w:ascii="仿宋_GB2312" w:hAnsi="仿宋_GB2312" w:eastAsia="仿宋_GB2312" w:cs="仿宋_GB2312"/>
          <w:color w:val="000000"/>
          <w:kern w:val="2"/>
          <w:sz w:val="24"/>
          <w:szCs w:val="24"/>
          <w:highlight w:val="none"/>
          <w:lang w:val="en-US" w:eastAsia="zh-CN" w:bidi="ar"/>
        </w:rPr>
        <w:t>报价人需完成服务车辆的整备工作，驾驶员到岗并开展专业和岗位培训，同时根据采购人相关工作安排开展行车路线、上落客点位踏勘、车辆标识张贴工作，并按需制定接送机和赛场班车的交通运行计划。</w:t>
      </w:r>
    </w:p>
    <w:p w14:paraId="50C4C3DE">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2. 赛事服务期</w:t>
      </w:r>
    </w:p>
    <w:p w14:paraId="1F78D08E">
      <w:pPr>
        <w:pStyle w:val="5"/>
        <w:keepNext w:val="0"/>
        <w:keepLines w:val="0"/>
        <w:pageBreakBefore w:val="0"/>
        <w:kinsoku/>
        <w:wordWrap/>
        <w:overflowPunct/>
        <w:topLinePunct w:val="0"/>
        <w:autoSpaceDE/>
        <w:autoSpaceDN/>
        <w:bidi w:val="0"/>
        <w:spacing w:line="400" w:lineRule="exact"/>
        <w:ind w:left="0" w:leftChars="0" w:firstLine="0" w:firstLineChars="0"/>
        <w:textAlignment w:val="auto"/>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eastAsia="zh-CN" w:bidi="ar"/>
        </w:rPr>
        <w:t xml:space="preserve">    </w:t>
      </w:r>
      <w:r>
        <w:rPr>
          <w:rFonts w:hint="eastAsia" w:ascii="仿宋_GB2312" w:hAnsi="仿宋_GB2312" w:eastAsia="仿宋_GB2312" w:cs="仿宋_GB2312"/>
          <w:color w:val="000000"/>
          <w:kern w:val="2"/>
          <w:sz w:val="24"/>
          <w:szCs w:val="24"/>
          <w:highlight w:val="none"/>
          <w:lang w:val="en-US" w:eastAsia="zh-CN" w:bidi="ar"/>
        </w:rPr>
        <w:t>报价人需按照赛事交通运行计划，为采购人提供安全可靠的运输服务和保障，满足赛事交通服务需求，实现服务车辆与运行数据同步，按要求完成交通突发应急事件的处置工作。应有</w:t>
      </w:r>
      <w:r>
        <w:rPr>
          <w:rFonts w:hint="eastAsia" w:ascii="仿宋_GB2312" w:hAnsi="仿宋_GB2312" w:eastAsia="仿宋_GB2312" w:cs="仿宋_GB2312"/>
          <w:color w:val="000000"/>
          <w:sz w:val="24"/>
          <w:szCs w:val="24"/>
          <w:highlight w:val="none"/>
          <w:lang w:val="en-US" w:eastAsia="zh-CN"/>
        </w:rPr>
        <w:t>专人协调整体交通车辆运转，保障参赛人员准时抵达目的地。</w:t>
      </w:r>
    </w:p>
    <w:p w14:paraId="1019DD05">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3. 赛后收尾期</w:t>
      </w:r>
    </w:p>
    <w:p w14:paraId="79285F9B">
      <w:pPr>
        <w:keepNext w:val="0"/>
        <w:keepLines w:val="0"/>
        <w:widowControl w:val="0"/>
        <w:suppressLineNumbers w:val="0"/>
        <w:spacing w:before="0" w:beforeAutospacing="0" w:after="0" w:afterAutospacing="0" w:line="400" w:lineRule="exact"/>
        <w:ind w:left="0" w:right="0"/>
        <w:jc w:val="both"/>
        <w:rPr>
          <w:rFonts w:hint="eastAsia" w:ascii="仿宋_GB2312" w:hAnsi="仿宋_GB2312" w:eastAsia="仿宋_GB2312" w:cs="仿宋_GB2312"/>
          <w:b w:val="0"/>
          <w:bCs w:val="0"/>
          <w:color w:val="000000"/>
          <w:sz w:val="24"/>
          <w:szCs w:val="24"/>
          <w:highlight w:val="none"/>
        </w:rPr>
      </w:pPr>
      <w:r>
        <w:rPr>
          <w:rFonts w:hint="eastAsia" w:ascii="仿宋_GB2312" w:hAnsi="仿宋_GB2312" w:eastAsia="仿宋_GB2312" w:cs="仿宋_GB2312"/>
          <w:color w:val="000000"/>
          <w:kern w:val="2"/>
          <w:sz w:val="24"/>
          <w:szCs w:val="24"/>
          <w:highlight w:val="none"/>
          <w:lang w:eastAsia="zh-CN" w:bidi="ar"/>
        </w:rPr>
        <w:t xml:space="preserve">    </w:t>
      </w:r>
      <w:r>
        <w:rPr>
          <w:rFonts w:hint="eastAsia" w:ascii="仿宋_GB2312" w:hAnsi="仿宋_GB2312" w:eastAsia="仿宋_GB2312" w:cs="仿宋_GB2312"/>
          <w:color w:val="000000"/>
          <w:kern w:val="2"/>
          <w:sz w:val="24"/>
          <w:szCs w:val="24"/>
          <w:highlight w:val="none"/>
          <w:lang w:val="en-US" w:eastAsia="zh-CN" w:bidi="ar"/>
        </w:rPr>
        <w:t>根据赛事实际服务情况与合同约定，做好服务费用结算等收尾工作。</w:t>
      </w:r>
    </w:p>
    <w:p w14:paraId="3F25C89E">
      <w:pPr>
        <w:keepNext w:val="0"/>
        <w:keepLines w:val="0"/>
        <w:widowControl w:val="0"/>
        <w:suppressLineNumbers w:val="0"/>
        <w:spacing w:before="0" w:beforeAutospacing="0" w:after="0" w:afterAutospacing="0" w:line="400" w:lineRule="exact"/>
        <w:ind w:left="0" w:right="0" w:firstLine="480" w:firstLineChars="200"/>
        <w:jc w:val="both"/>
        <w:rPr>
          <w:rFonts w:hint="eastAsia" w:ascii="方正楷体_GB2312" w:hAnsi="方正楷体_GB2312" w:eastAsia="方正楷体_GB2312" w:cs="方正楷体_GB2312"/>
          <w:color w:val="000000"/>
          <w:kern w:val="2"/>
          <w:sz w:val="24"/>
          <w:szCs w:val="24"/>
          <w:highlight w:val="none"/>
          <w:lang w:val="en-US" w:eastAsia="zh-CN" w:bidi="ar"/>
        </w:rPr>
      </w:pPr>
      <w:bookmarkStart w:id="1" w:name="OLE_LINK1"/>
      <w:r>
        <w:rPr>
          <w:rFonts w:hint="eastAsia" w:ascii="方正楷体_GB2312" w:hAnsi="方正楷体_GB2312" w:eastAsia="方正楷体_GB2312" w:cs="方正楷体_GB2312"/>
          <w:color w:val="000000"/>
          <w:kern w:val="2"/>
          <w:sz w:val="24"/>
          <w:szCs w:val="24"/>
          <w:highlight w:val="none"/>
          <w:lang w:val="en-US" w:eastAsia="zh-CN" w:bidi="ar"/>
        </w:rPr>
        <w:t>（四）服务需求</w:t>
      </w:r>
    </w:p>
    <w:bookmarkEnd w:id="1"/>
    <w:p w14:paraId="1E360776">
      <w:pPr>
        <w:keepNext w:val="0"/>
        <w:keepLines w:val="0"/>
        <w:widowControl w:val="0"/>
        <w:numPr>
          <w:ilvl w:val="0"/>
          <w:numId w:val="0"/>
        </w:numPr>
        <w:suppressLineNumbers w:val="0"/>
        <w:spacing w:before="0" w:beforeAutospacing="0" w:after="0" w:afterAutospacing="0" w:line="400" w:lineRule="exact"/>
        <w:ind w:leftChars="0" w:right="0" w:rightChars="0" w:firstLine="480" w:firstLineChars="200"/>
        <w:jc w:val="both"/>
        <w:outlineLvl w:val="0"/>
        <w:rPr>
          <w:rFonts w:hint="eastAsia" w:ascii="仿宋_GB2312" w:hAnsi="仿宋_GB2312" w:eastAsia="仿宋_GB2312" w:cs="仿宋_GB2312"/>
          <w:color w:val="000000"/>
          <w:kern w:val="2"/>
          <w:sz w:val="24"/>
          <w:szCs w:val="24"/>
          <w:highlight w:val="none"/>
          <w:lang w:val="en-US" w:eastAsia="zh-CN" w:bidi="ar"/>
        </w:rPr>
      </w:pPr>
      <w:r>
        <w:rPr>
          <w:rFonts w:hint="eastAsia" w:ascii="仿宋_GB2312" w:hAnsi="仿宋_GB2312" w:eastAsia="仿宋_GB2312" w:cs="仿宋_GB2312"/>
          <w:color w:val="000000"/>
          <w:kern w:val="2"/>
          <w:sz w:val="24"/>
          <w:szCs w:val="24"/>
          <w:highlight w:val="none"/>
          <w:lang w:val="en-US" w:eastAsia="zh-CN" w:bidi="ar"/>
        </w:rPr>
        <w:t>1.接送机</w:t>
      </w:r>
    </w:p>
    <w:p w14:paraId="529D8A7E">
      <w:pPr>
        <w:pStyle w:val="5"/>
        <w:keepNext w:val="0"/>
        <w:keepLines w:val="0"/>
        <w:pageBreakBefore w:val="0"/>
        <w:kinsoku/>
        <w:wordWrap/>
        <w:overflowPunct/>
        <w:topLinePunct w:val="0"/>
        <w:autoSpaceDE/>
        <w:autoSpaceDN/>
        <w:bidi w:val="0"/>
        <w:spacing w:line="400" w:lineRule="exact"/>
        <w:ind w:left="0" w:leftChars="0" w:firstLine="0" w:firstLineChars="0"/>
        <w:textAlignment w:val="auto"/>
        <w:rPr>
          <w:rFonts w:hint="default" w:ascii="仿宋_GB2312" w:hAnsi="仿宋_GB2312" w:eastAsia="仿宋_GB2312" w:cs="仿宋_GB2312"/>
          <w:color w:val="000000"/>
          <w:kern w:val="2"/>
          <w:sz w:val="24"/>
          <w:szCs w:val="24"/>
          <w:highlight w:val="none"/>
          <w:lang w:val="en-US"/>
        </w:rPr>
      </w:pPr>
      <w:r>
        <w:rPr>
          <w:rFonts w:hint="eastAsia" w:ascii="仿宋_GB2312" w:hAnsi="仿宋_GB2312" w:eastAsia="仿宋_GB2312" w:cs="仿宋_GB2312"/>
          <w:color w:val="000000"/>
          <w:kern w:val="2"/>
          <w:sz w:val="24"/>
          <w:szCs w:val="24"/>
          <w:highlight w:val="none"/>
          <w:lang w:eastAsia="zh-CN" w:bidi="ar"/>
        </w:rPr>
        <w:t xml:space="preserve">    </w:t>
      </w:r>
      <w:r>
        <w:rPr>
          <w:rFonts w:hint="eastAsia" w:ascii="仿宋_GB2312" w:hAnsi="仿宋_GB2312" w:eastAsia="仿宋_GB2312" w:cs="仿宋_GB2312"/>
          <w:color w:val="000000"/>
          <w:kern w:val="2"/>
          <w:sz w:val="24"/>
          <w:szCs w:val="24"/>
          <w:highlight w:val="none"/>
          <w:lang w:val="en-US" w:eastAsia="zh-CN" w:bidi="ar"/>
        </w:rPr>
        <w:t>按照世界泳联官员及裁判、运动员、随队人员提供的航班信息，机场需配备充足工作人员，核对信息、清点人数，确保外方人员顺利登车，安排</w:t>
      </w:r>
      <w:r>
        <w:rPr>
          <w:rFonts w:hint="eastAsia" w:ascii="仿宋_GB2312" w:hAnsi="仿宋_GB2312" w:eastAsia="仿宋_GB2312" w:cs="仿宋_GB2312"/>
          <w:color w:val="000000"/>
          <w:kern w:val="2"/>
          <w:sz w:val="24"/>
          <w:szCs w:val="24"/>
          <w:highlight w:val="none"/>
          <w:lang w:eastAsia="zh-CN" w:bidi="ar"/>
        </w:rPr>
        <w:t>车辆和司机</w:t>
      </w:r>
      <w:r>
        <w:rPr>
          <w:rFonts w:hint="eastAsia" w:ascii="仿宋_GB2312" w:hAnsi="仿宋_GB2312" w:eastAsia="仿宋_GB2312" w:cs="仿宋_GB2312"/>
          <w:color w:val="000000"/>
          <w:kern w:val="2"/>
          <w:sz w:val="24"/>
          <w:szCs w:val="24"/>
          <w:highlight w:val="none"/>
          <w:lang w:val="en-US" w:eastAsia="zh-CN" w:bidi="ar"/>
        </w:rPr>
        <w:t>将相关人员送至下榻酒店/机场。</w:t>
      </w:r>
    </w:p>
    <w:p w14:paraId="674E4CD0">
      <w:pPr>
        <w:keepNext w:val="0"/>
        <w:keepLines w:val="0"/>
        <w:widowControl w:val="0"/>
        <w:numPr>
          <w:ilvl w:val="0"/>
          <w:numId w:val="0"/>
        </w:numPr>
        <w:suppressLineNumbers w:val="0"/>
        <w:spacing w:before="0" w:beforeAutospacing="0" w:after="0" w:afterAutospacing="0" w:line="400" w:lineRule="exact"/>
        <w:ind w:leftChars="0" w:right="0" w:rightChars="0" w:firstLine="480" w:firstLineChars="200"/>
        <w:jc w:val="both"/>
        <w:outlineLvl w:val="0"/>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（1）接送机车辆和人员安排</w:t>
      </w:r>
    </w:p>
    <w:p w14:paraId="2C088ADB">
      <w:pPr>
        <w:keepNext w:val="0"/>
        <w:keepLines w:val="0"/>
        <w:widowControl w:val="0"/>
        <w:numPr>
          <w:ilvl w:val="0"/>
          <w:numId w:val="0"/>
        </w:numPr>
        <w:suppressLineNumbers w:val="0"/>
        <w:spacing w:before="0" w:beforeAutospacing="0" w:after="0" w:afterAutospacing="0" w:line="400" w:lineRule="exact"/>
        <w:ind w:leftChars="0" w:right="0" w:rightChars="0" w:firstLine="480" w:firstLineChars="200"/>
        <w:jc w:val="both"/>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预计抵离时间：4月27日-5月2日（接机）</w:t>
      </w:r>
    </w:p>
    <w:p w14:paraId="5A41D736">
      <w:pPr>
        <w:keepNext w:val="0"/>
        <w:keepLines w:val="0"/>
        <w:widowControl w:val="0"/>
        <w:numPr>
          <w:ilvl w:val="0"/>
          <w:numId w:val="0"/>
        </w:numPr>
        <w:suppressLineNumbers w:val="0"/>
        <w:spacing w:before="0" w:beforeAutospacing="0" w:after="0" w:afterAutospacing="0" w:line="400" w:lineRule="exact"/>
        <w:ind w:leftChars="0" w:right="0" w:rightChars="0" w:firstLine="480" w:firstLineChars="200"/>
        <w:jc w:val="both"/>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 xml:space="preserve">              5月2日-5月7日（送机）</w:t>
      </w:r>
    </w:p>
    <w:p w14:paraId="134A628E">
      <w:pPr>
        <w:keepNext w:val="0"/>
        <w:keepLines w:val="0"/>
        <w:widowControl w:val="0"/>
        <w:numPr>
          <w:ilvl w:val="0"/>
          <w:numId w:val="0"/>
        </w:numPr>
        <w:suppressLineNumbers w:val="0"/>
        <w:spacing w:before="0" w:beforeAutospacing="0" w:after="0" w:afterAutospacing="0" w:line="400" w:lineRule="exact"/>
        <w:ind w:leftChars="0" w:right="0" w:rightChars="0" w:firstLine="480" w:firstLineChars="200"/>
        <w:jc w:val="both"/>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运行时段：接送机班车根据具体抵离时间灵活调整运行时间。</w:t>
      </w:r>
    </w:p>
    <w:p w14:paraId="0BFE6815">
      <w:pPr>
        <w:keepNext w:val="0"/>
        <w:keepLines w:val="0"/>
        <w:widowControl w:val="0"/>
        <w:numPr>
          <w:ilvl w:val="0"/>
          <w:numId w:val="0"/>
        </w:numPr>
        <w:suppressLineNumbers w:val="0"/>
        <w:spacing w:before="0" w:beforeAutospacing="0" w:after="0" w:afterAutospacing="0" w:line="400" w:lineRule="exact"/>
        <w:ind w:left="479" w:leftChars="228" w:right="0" w:rightChars="0" w:firstLine="0" w:firstLineChars="0"/>
        <w:jc w:val="both"/>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车辆安排：根据实际人数需求，使用大巴、中巴、小巴、商务车等为运动队、世界泳联官员、工作人员、裁判、世界泳联主席、秘书长等嘉宾提供接送机服务。</w:t>
      </w:r>
    </w:p>
    <w:p w14:paraId="19C0371D">
      <w:pPr>
        <w:keepNext w:val="0"/>
        <w:keepLines w:val="0"/>
        <w:widowControl w:val="0"/>
        <w:numPr>
          <w:ilvl w:val="0"/>
          <w:numId w:val="0"/>
        </w:numPr>
        <w:suppressLineNumbers w:val="0"/>
        <w:spacing w:before="0" w:beforeAutospacing="0" w:after="0" w:afterAutospacing="0" w:line="400" w:lineRule="exact"/>
        <w:ind w:left="0" w:leftChars="0" w:right="0" w:rightChars="0" w:firstLine="480" w:firstLineChars="200"/>
        <w:jc w:val="both"/>
        <w:outlineLvl w:val="0"/>
        <w:rPr>
          <w:rFonts w:hint="eastAsia" w:ascii="仿宋_GB2312" w:hAnsi="仿宋_GB2312" w:eastAsia="仿宋_GB2312" w:cs="仿宋_GB2312"/>
          <w:color w:val="000000"/>
          <w:kern w:val="2"/>
          <w:sz w:val="24"/>
          <w:szCs w:val="24"/>
          <w:highlight w:val="none"/>
          <w:lang w:val="en-US" w:eastAsia="zh-CN" w:bidi="ar"/>
        </w:rPr>
      </w:pPr>
      <w:r>
        <w:rPr>
          <w:rFonts w:hint="eastAsia" w:ascii="仿宋_GB2312" w:hAnsi="仿宋_GB2312" w:eastAsia="仿宋_GB2312" w:cs="仿宋_GB2312"/>
          <w:color w:val="000000"/>
          <w:kern w:val="2"/>
          <w:sz w:val="24"/>
          <w:szCs w:val="24"/>
          <w:highlight w:val="none"/>
          <w:lang w:val="en-US" w:eastAsia="zh-CN" w:bidi="ar"/>
        </w:rPr>
        <w:t>（2）应急措施</w:t>
      </w:r>
    </w:p>
    <w:p w14:paraId="560653CB">
      <w:pPr>
        <w:keepNext w:val="0"/>
        <w:keepLines w:val="0"/>
        <w:widowControl w:val="0"/>
        <w:numPr>
          <w:ilvl w:val="0"/>
          <w:numId w:val="0"/>
        </w:numPr>
        <w:suppressLineNumbers w:val="0"/>
        <w:spacing w:before="0" w:beforeAutospacing="0" w:after="0" w:afterAutospacing="0" w:line="400" w:lineRule="exact"/>
        <w:ind w:leftChars="0" w:right="0" w:rightChars="0" w:firstLine="480" w:firstLineChars="200"/>
        <w:jc w:val="both"/>
        <w:outlineLvl w:val="0"/>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接机延误</w:t>
      </w:r>
    </w:p>
    <w:p w14:paraId="51D657CF">
      <w:pPr>
        <w:keepNext w:val="0"/>
        <w:keepLines w:val="0"/>
        <w:widowControl w:val="0"/>
        <w:suppressLineNumbers w:val="0"/>
        <w:spacing w:before="0" w:beforeAutospacing="0" w:after="0" w:afterAutospacing="0" w:line="400" w:lineRule="exact"/>
        <w:ind w:left="0" w:right="0"/>
        <w:jc w:val="both"/>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eastAsia="zh-CN" w:bidi="ar"/>
        </w:rPr>
        <w:t xml:space="preserve">    </w:t>
      </w:r>
      <w:r>
        <w:rPr>
          <w:rFonts w:hint="eastAsia" w:ascii="仿宋_GB2312" w:hAnsi="仿宋_GB2312" w:eastAsia="仿宋_GB2312" w:cs="仿宋_GB2312"/>
          <w:color w:val="000000"/>
          <w:kern w:val="2"/>
          <w:sz w:val="24"/>
          <w:szCs w:val="24"/>
          <w:highlight w:val="none"/>
          <w:lang w:val="en-US" w:eastAsia="zh-CN" w:bidi="ar"/>
        </w:rPr>
        <w:t>出现航班延误的情况，根据采购人要求变更用车安排，如遇特殊意外突发状况要及时通知</w:t>
      </w:r>
      <w:r>
        <w:rPr>
          <w:rFonts w:hint="eastAsia" w:ascii="仿宋_GB2312" w:hAnsi="仿宋_GB2312" w:eastAsia="仿宋_GB2312" w:cs="仿宋_GB2312"/>
          <w:color w:val="000000"/>
          <w:kern w:val="2"/>
          <w:sz w:val="24"/>
          <w:szCs w:val="24"/>
          <w:highlight w:val="none"/>
          <w:lang w:eastAsia="zh-CN" w:bidi="ar"/>
        </w:rPr>
        <w:t>采购人</w:t>
      </w:r>
      <w:r>
        <w:rPr>
          <w:rFonts w:hint="eastAsia" w:ascii="仿宋_GB2312" w:hAnsi="仿宋_GB2312" w:eastAsia="仿宋_GB2312" w:cs="仿宋_GB2312"/>
          <w:color w:val="000000"/>
          <w:kern w:val="2"/>
          <w:sz w:val="24"/>
          <w:szCs w:val="24"/>
          <w:highlight w:val="none"/>
          <w:lang w:val="en-US" w:eastAsia="zh-CN" w:bidi="ar"/>
        </w:rPr>
        <w:t>协调处理。</w:t>
      </w:r>
    </w:p>
    <w:p w14:paraId="4248366B">
      <w:pPr>
        <w:keepNext w:val="0"/>
        <w:keepLines w:val="0"/>
        <w:widowControl w:val="0"/>
        <w:numPr>
          <w:ilvl w:val="0"/>
          <w:numId w:val="0"/>
        </w:numPr>
        <w:suppressLineNumbers w:val="0"/>
        <w:spacing w:before="0" w:beforeAutospacing="0" w:after="0" w:afterAutospacing="0" w:line="400" w:lineRule="exact"/>
        <w:ind w:leftChars="0" w:right="0" w:rightChars="0" w:firstLine="480" w:firstLineChars="200"/>
        <w:jc w:val="both"/>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交通事故</w:t>
      </w:r>
    </w:p>
    <w:p w14:paraId="43DB4121">
      <w:pPr>
        <w:keepNext w:val="0"/>
        <w:keepLines w:val="0"/>
        <w:widowControl w:val="0"/>
        <w:suppressLineNumbers w:val="0"/>
        <w:spacing w:before="0" w:beforeAutospacing="0" w:after="0" w:afterAutospacing="0" w:line="400" w:lineRule="exact"/>
        <w:ind w:left="0" w:right="0"/>
        <w:jc w:val="both"/>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eastAsia="zh-CN" w:bidi="ar"/>
        </w:rPr>
        <w:t xml:space="preserve">    </w:t>
      </w:r>
      <w:r>
        <w:rPr>
          <w:rFonts w:hint="eastAsia" w:ascii="仿宋_GB2312" w:hAnsi="仿宋_GB2312" w:eastAsia="仿宋_GB2312" w:cs="仿宋_GB2312"/>
          <w:color w:val="000000"/>
          <w:kern w:val="2"/>
          <w:sz w:val="24"/>
          <w:szCs w:val="24"/>
          <w:highlight w:val="none"/>
          <w:lang w:val="en-US" w:eastAsia="zh-CN" w:bidi="ar"/>
        </w:rPr>
        <w:t>出现交通事故的情况，应立即采取措施对受伤人员施救、对受损车辆进行保护，对事故现场进行警示隔离，防止二次事故的隐患发生，并及时向交通管理部门报案处理和</w:t>
      </w:r>
      <w:r>
        <w:rPr>
          <w:rFonts w:hint="eastAsia" w:ascii="仿宋_GB2312" w:hAnsi="仿宋_GB2312" w:eastAsia="仿宋_GB2312" w:cs="仿宋_GB2312"/>
          <w:color w:val="000000"/>
          <w:kern w:val="2"/>
          <w:sz w:val="24"/>
          <w:szCs w:val="24"/>
          <w:highlight w:val="none"/>
          <w:lang w:eastAsia="zh-CN" w:bidi="ar"/>
        </w:rPr>
        <w:t>采购人</w:t>
      </w:r>
      <w:r>
        <w:rPr>
          <w:rFonts w:hint="eastAsia" w:ascii="仿宋_GB2312" w:hAnsi="仿宋_GB2312" w:eastAsia="仿宋_GB2312" w:cs="仿宋_GB2312"/>
          <w:color w:val="000000"/>
          <w:kern w:val="2"/>
          <w:sz w:val="24"/>
          <w:szCs w:val="24"/>
          <w:highlight w:val="none"/>
          <w:lang w:val="en-US" w:eastAsia="zh-CN" w:bidi="ar"/>
        </w:rPr>
        <w:t>报告具体情况，对于受伤人员及时送医处理，对于受损车辆及时调派新车。</w:t>
      </w:r>
    </w:p>
    <w:p w14:paraId="29C0E66A">
      <w:pPr>
        <w:keepNext w:val="0"/>
        <w:keepLines w:val="0"/>
        <w:widowControl w:val="0"/>
        <w:numPr>
          <w:ilvl w:val="0"/>
          <w:numId w:val="0"/>
        </w:numPr>
        <w:suppressLineNumbers w:val="0"/>
        <w:spacing w:before="0" w:beforeAutospacing="0" w:after="0" w:afterAutospacing="0" w:line="400" w:lineRule="exact"/>
        <w:ind w:left="0" w:leftChars="0" w:right="0" w:rightChars="0" w:firstLine="480" w:firstLineChars="200"/>
        <w:jc w:val="both"/>
        <w:outlineLvl w:val="0"/>
        <w:rPr>
          <w:rFonts w:hint="eastAsia" w:ascii="仿宋_GB2312" w:hAnsi="仿宋_GB2312" w:eastAsia="仿宋_GB2312" w:cs="仿宋_GB2312"/>
          <w:color w:val="000000"/>
          <w:kern w:val="2"/>
          <w:sz w:val="24"/>
          <w:szCs w:val="24"/>
          <w:highlight w:val="none"/>
          <w:lang w:val="en-US" w:eastAsia="zh-CN" w:bidi="ar"/>
        </w:rPr>
      </w:pPr>
      <w:r>
        <w:rPr>
          <w:rFonts w:hint="eastAsia" w:ascii="仿宋_GB2312" w:hAnsi="仿宋_GB2312" w:eastAsia="仿宋_GB2312" w:cs="仿宋_GB2312"/>
          <w:color w:val="000000"/>
          <w:kern w:val="2"/>
          <w:sz w:val="24"/>
          <w:szCs w:val="24"/>
          <w:highlight w:val="none"/>
          <w:lang w:val="en-US" w:eastAsia="zh-CN" w:bidi="ar"/>
        </w:rPr>
        <w:t>2.市内用车</w:t>
      </w:r>
    </w:p>
    <w:p w14:paraId="5ACED77A">
      <w:pPr>
        <w:keepNext w:val="0"/>
        <w:keepLines w:val="0"/>
        <w:widowControl w:val="0"/>
        <w:numPr>
          <w:ilvl w:val="0"/>
          <w:numId w:val="0"/>
        </w:numPr>
        <w:suppressLineNumbers w:val="0"/>
        <w:spacing w:before="0" w:beforeAutospacing="0" w:after="0" w:afterAutospacing="0" w:line="400" w:lineRule="exact"/>
        <w:ind w:right="0" w:rightChars="0" w:firstLine="480" w:firstLineChars="200"/>
        <w:jc w:val="both"/>
        <w:outlineLvl w:val="0"/>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（1）班车</w:t>
      </w:r>
    </w:p>
    <w:p w14:paraId="515F8BCE">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运行区间：赛时班车往返于场馆与运动员酒店</w:t>
      </w:r>
    </w:p>
    <w:p w14:paraId="4C9F7776">
      <w:pPr>
        <w:keepNext w:val="0"/>
        <w:keepLines w:val="0"/>
        <w:widowControl w:val="0"/>
        <w:suppressLineNumbers w:val="0"/>
        <w:spacing w:before="0" w:beforeAutospacing="0" w:after="0" w:afterAutospacing="0" w:line="400" w:lineRule="exact"/>
        <w:ind w:left="0" w:right="0" w:firstLine="480" w:firstLineChars="200"/>
        <w:jc w:val="both"/>
        <w:rPr>
          <w:rFonts w:hint="default" w:ascii="仿宋_GB2312" w:hAnsi="仿宋_GB2312" w:eastAsia="仿宋_GB2312" w:cs="仿宋_GB2312"/>
          <w:color w:val="000000"/>
          <w:kern w:val="2"/>
          <w:sz w:val="24"/>
          <w:szCs w:val="24"/>
          <w:highlight w:val="none"/>
          <w:lang w:val="en-US"/>
        </w:rPr>
      </w:pPr>
      <w:r>
        <w:rPr>
          <w:rFonts w:hint="eastAsia" w:ascii="仿宋_GB2312" w:hAnsi="仿宋_GB2312" w:eastAsia="仿宋_GB2312" w:cs="仿宋_GB2312"/>
          <w:color w:val="000000"/>
          <w:kern w:val="2"/>
          <w:sz w:val="24"/>
          <w:szCs w:val="24"/>
          <w:highlight w:val="none"/>
          <w:lang w:val="en-US" w:eastAsia="zh-CN" w:bidi="ar"/>
        </w:rPr>
        <w:t>预计运行时间：7:00-22:00，每30分钟（比赛日）/1小时（训练日）一班车，根据赛程灵活调整。</w:t>
      </w:r>
    </w:p>
    <w:p w14:paraId="66FC4508">
      <w:pPr>
        <w:keepNext w:val="0"/>
        <w:keepLines w:val="0"/>
        <w:widowControl w:val="0"/>
        <w:suppressLineNumbers w:val="0"/>
        <w:spacing w:before="0" w:beforeAutospacing="0" w:after="0" w:afterAutospacing="0" w:line="400" w:lineRule="exact"/>
        <w:ind w:left="0" w:right="0" w:firstLine="480" w:firstLineChars="200"/>
        <w:jc w:val="both"/>
        <w:rPr>
          <w:rFonts w:hint="default" w:ascii="仿宋_GB2312" w:hAnsi="仿宋_GB2312" w:eastAsia="仿宋_GB2312" w:cs="仿宋_GB2312"/>
          <w:color w:val="000000"/>
          <w:kern w:val="2"/>
          <w:sz w:val="24"/>
          <w:szCs w:val="24"/>
          <w:highlight w:val="none"/>
          <w:lang w:val="en-US"/>
        </w:rPr>
      </w:pPr>
      <w:r>
        <w:rPr>
          <w:rFonts w:hint="eastAsia" w:ascii="仿宋_GB2312" w:hAnsi="仿宋_GB2312" w:eastAsia="仿宋_GB2312" w:cs="仿宋_GB2312"/>
          <w:color w:val="000000"/>
          <w:kern w:val="2"/>
          <w:sz w:val="24"/>
          <w:szCs w:val="24"/>
          <w:highlight w:val="none"/>
          <w:lang w:val="en-US" w:eastAsia="zh-CN" w:bidi="ar"/>
        </w:rPr>
        <w:t>车型：大巴车、中巴车、小巴车</w:t>
      </w:r>
    </w:p>
    <w:p w14:paraId="2627B4F2">
      <w:pPr>
        <w:keepNext w:val="0"/>
        <w:keepLines w:val="0"/>
        <w:widowControl w:val="0"/>
        <w:numPr>
          <w:ilvl w:val="0"/>
          <w:numId w:val="0"/>
        </w:numPr>
        <w:suppressLineNumbers w:val="0"/>
        <w:spacing w:before="0" w:beforeAutospacing="0" w:after="0" w:afterAutospacing="0" w:line="400" w:lineRule="exact"/>
        <w:ind w:leftChars="0" w:right="0" w:rightChars="0" w:firstLine="480" w:firstLineChars="200"/>
        <w:jc w:val="both"/>
        <w:outlineLvl w:val="0"/>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（2）专车</w:t>
      </w:r>
    </w:p>
    <w:p w14:paraId="0D33049C">
      <w:pPr>
        <w:keepNext w:val="0"/>
        <w:keepLines w:val="0"/>
        <w:widowControl w:val="0"/>
        <w:suppressLineNumbers w:val="0"/>
        <w:spacing w:before="0" w:beforeAutospacing="0" w:after="0" w:afterAutospacing="0" w:line="400" w:lineRule="exact"/>
        <w:ind w:left="0" w:right="0"/>
        <w:jc w:val="both"/>
        <w:rPr>
          <w:rFonts w:hint="eastAsia" w:ascii="仿宋_GB2312" w:hAnsi="仿宋_GB2312" w:eastAsia="仿宋_GB2312" w:cs="仿宋_GB2312"/>
          <w:color w:val="000000"/>
          <w:kern w:val="2"/>
          <w:sz w:val="24"/>
          <w:szCs w:val="24"/>
          <w:highlight w:val="none"/>
          <w:lang w:val="en-US" w:eastAsia="zh-CN" w:bidi="ar"/>
        </w:rPr>
      </w:pPr>
      <w:r>
        <w:rPr>
          <w:rFonts w:hint="eastAsia" w:ascii="仿宋_GB2312" w:hAnsi="仿宋_GB2312" w:eastAsia="仿宋_GB2312" w:cs="仿宋_GB2312"/>
          <w:color w:val="000000"/>
          <w:kern w:val="2"/>
          <w:sz w:val="24"/>
          <w:szCs w:val="24"/>
          <w:highlight w:val="none"/>
          <w:lang w:val="en-US" w:eastAsia="zh-CN" w:bidi="ar"/>
        </w:rPr>
        <w:t xml:space="preserve">    根据世界泳联要求，在本赛事期间，为世界泳联主席/代表、世界泳联赛事经理及其团队、世界泳联贵宾配备专职司机驾驶的专车</w:t>
      </w:r>
      <w:r>
        <w:rPr>
          <w:rFonts w:hint="eastAsia" w:ascii="仿宋_GB2312" w:hAnsi="仿宋_GB2312" w:eastAsia="仿宋_GB2312" w:cs="仿宋_GB2312"/>
          <w:color w:val="000000"/>
          <w:sz w:val="24"/>
          <w:highlight w:val="none"/>
          <w:lang w:eastAsia="zh-CN" w:bidi="ar"/>
        </w:rPr>
        <w:t>，</w:t>
      </w:r>
      <w:r>
        <w:rPr>
          <w:rFonts w:hint="eastAsia" w:ascii="仿宋_GB2312" w:hAnsi="仿宋_GB2312" w:eastAsia="仿宋_GB2312" w:cs="仿宋_GB2312"/>
          <w:color w:val="000000"/>
          <w:sz w:val="24"/>
          <w:highlight w:val="none"/>
          <w:lang w:val="en-US" w:eastAsia="zh-CN" w:bidi="ar"/>
        </w:rPr>
        <w:t>车型为商务车</w:t>
      </w:r>
      <w:r>
        <w:rPr>
          <w:rFonts w:hint="eastAsia" w:ascii="仿宋_GB2312" w:hAnsi="仿宋_GB2312" w:eastAsia="仿宋_GB2312" w:cs="仿宋_GB2312"/>
          <w:color w:val="000000"/>
          <w:sz w:val="24"/>
          <w:highlight w:val="none"/>
          <w:lang w:bidi="ar"/>
        </w:rPr>
        <w:t>。</w:t>
      </w:r>
    </w:p>
    <w:p w14:paraId="2E383469">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_GB2312" w:hAnsi="仿宋_GB2312" w:eastAsia="仿宋_GB2312" w:cs="仿宋_GB2312"/>
          <w:color w:val="000000"/>
          <w:kern w:val="2"/>
          <w:sz w:val="24"/>
          <w:szCs w:val="24"/>
          <w:highlight w:val="none"/>
          <w:lang w:val="en-US" w:eastAsia="zh-CN" w:bidi="ar"/>
        </w:rPr>
      </w:pPr>
      <w:r>
        <w:rPr>
          <w:rFonts w:hint="eastAsia" w:ascii="仿宋_GB2312" w:hAnsi="仿宋_GB2312" w:eastAsia="仿宋_GB2312" w:cs="仿宋_GB2312"/>
          <w:color w:val="000000"/>
          <w:kern w:val="2"/>
          <w:sz w:val="24"/>
          <w:szCs w:val="24"/>
          <w:highlight w:val="none"/>
          <w:lang w:val="en-US" w:eastAsia="zh-CN" w:bidi="ar"/>
        </w:rPr>
        <w:t>3.赛时交通运行保障</w:t>
      </w:r>
    </w:p>
    <w:p w14:paraId="13485FAA">
      <w:pPr>
        <w:keepNext w:val="0"/>
        <w:keepLines w:val="0"/>
        <w:widowControl w:val="0"/>
        <w:suppressLineNumbers w:val="0"/>
        <w:spacing w:before="0" w:beforeAutospacing="0" w:after="0" w:afterAutospacing="0" w:line="400" w:lineRule="exact"/>
        <w:ind w:left="0" w:right="0" w:firstLine="480" w:firstLineChars="200"/>
        <w:jc w:val="both"/>
        <w:rPr>
          <w:rFonts w:hint="eastAsia"/>
          <w:lang w:val="en-US" w:eastAsia="zh-CN"/>
        </w:rPr>
      </w:pPr>
      <w:r>
        <w:rPr>
          <w:rFonts w:hint="eastAsia" w:ascii="仿宋_GB2312" w:hAnsi="仿宋_GB2312" w:eastAsia="仿宋_GB2312" w:cs="仿宋_GB2312"/>
          <w:color w:val="000000"/>
          <w:kern w:val="2"/>
          <w:sz w:val="24"/>
          <w:szCs w:val="24"/>
          <w:highlight w:val="none"/>
          <w:lang w:val="en-US" w:eastAsia="zh-CN" w:bidi="ar"/>
        </w:rPr>
        <w:t>车辆协调人应与采购人在运动员、世界泳联官员及裁判员酒店、主场馆设置的交通信息联络点工作人员密切沟通配合，随时掌握往返班车情况，合理协调车辆，保障参赛人员按时抵达场馆、抵离顺畅。</w:t>
      </w:r>
    </w:p>
    <w:p w14:paraId="354CF7AC">
      <w:pPr>
        <w:keepNext w:val="0"/>
        <w:keepLines w:val="0"/>
        <w:pageBreakBefore w:val="0"/>
        <w:numPr>
          <w:ilvl w:val="0"/>
          <w:numId w:val="0"/>
        </w:numPr>
        <w:kinsoku/>
        <w:wordWrap/>
        <w:overflowPunct/>
        <w:topLinePunct w:val="0"/>
        <w:autoSpaceDE/>
        <w:autoSpaceDN/>
        <w:bidi w:val="0"/>
        <w:adjustRightInd w:val="0"/>
        <w:snapToGrid w:val="0"/>
        <w:spacing w:line="400" w:lineRule="exact"/>
        <w:ind w:firstLine="480" w:firstLineChars="200"/>
        <w:jc w:val="both"/>
        <w:textAlignment w:val="auto"/>
        <w:rPr>
          <w:rFonts w:hint="eastAsia" w:ascii="方正楷体_GB2312" w:hAnsi="方正楷体_GB2312" w:eastAsia="方正楷体_GB2312" w:cs="方正楷体_GB2312"/>
          <w:color w:val="000000"/>
          <w:sz w:val="24"/>
          <w:szCs w:val="24"/>
          <w:highlight w:val="none"/>
          <w:lang w:eastAsia="zh-CN"/>
        </w:rPr>
      </w:pPr>
      <w:r>
        <w:rPr>
          <w:rFonts w:hint="eastAsia" w:ascii="方正楷体_GB2312" w:hAnsi="方正楷体_GB2312" w:eastAsia="方正楷体_GB2312" w:cs="方正楷体_GB2312"/>
          <w:b w:val="0"/>
          <w:bCs w:val="0"/>
          <w:color w:val="000000"/>
          <w:sz w:val="24"/>
          <w:szCs w:val="24"/>
          <w:highlight w:val="none"/>
          <w:lang w:eastAsia="zh-CN"/>
        </w:rPr>
        <w:t>（</w:t>
      </w:r>
      <w:r>
        <w:rPr>
          <w:rFonts w:hint="eastAsia" w:ascii="方正楷体_GB2312" w:hAnsi="方正楷体_GB2312" w:eastAsia="方正楷体_GB2312" w:cs="方正楷体_GB2312"/>
          <w:b w:val="0"/>
          <w:bCs w:val="0"/>
          <w:color w:val="000000"/>
          <w:sz w:val="24"/>
          <w:szCs w:val="24"/>
          <w:highlight w:val="none"/>
          <w:lang w:val="en-US" w:eastAsia="zh-CN"/>
        </w:rPr>
        <w:t>五</w:t>
      </w:r>
      <w:r>
        <w:rPr>
          <w:rFonts w:hint="eastAsia" w:ascii="方正楷体_GB2312" w:hAnsi="方正楷体_GB2312" w:eastAsia="方正楷体_GB2312" w:cs="方正楷体_GB2312"/>
          <w:b w:val="0"/>
          <w:bCs w:val="0"/>
          <w:color w:val="000000"/>
          <w:sz w:val="24"/>
          <w:szCs w:val="24"/>
          <w:highlight w:val="none"/>
          <w:lang w:eastAsia="zh-CN"/>
        </w:rPr>
        <w:t>）</w:t>
      </w:r>
      <w:bookmarkStart w:id="2" w:name="OLE_LINK11"/>
      <w:r>
        <w:rPr>
          <w:rFonts w:hint="eastAsia" w:ascii="方正楷体_GB2312" w:hAnsi="方正楷体_GB2312" w:eastAsia="方正楷体_GB2312" w:cs="方正楷体_GB2312"/>
          <w:b w:val="0"/>
          <w:bCs w:val="0"/>
          <w:color w:val="000000"/>
          <w:sz w:val="24"/>
          <w:szCs w:val="24"/>
          <w:highlight w:val="none"/>
        </w:rPr>
        <w:t>车辆和车型需求及</w:t>
      </w:r>
      <w:r>
        <w:rPr>
          <w:rFonts w:hint="eastAsia" w:ascii="方正楷体_GB2312" w:hAnsi="方正楷体_GB2312" w:eastAsia="方正楷体_GB2312" w:cs="方正楷体_GB2312"/>
          <w:b w:val="0"/>
          <w:bCs w:val="0"/>
          <w:color w:val="000000"/>
          <w:sz w:val="24"/>
          <w:szCs w:val="24"/>
          <w:highlight w:val="none"/>
          <w:lang w:val="en-US" w:eastAsia="zh-CN"/>
        </w:rPr>
        <w:t>数量</w:t>
      </w:r>
      <w:bookmarkEnd w:id="2"/>
    </w:p>
    <w:p w14:paraId="6B0ED813">
      <w:pPr>
        <w:pStyle w:val="5"/>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val="en-US" w:eastAsia="zh-CN"/>
        </w:rPr>
        <w:t>1.</w:t>
      </w:r>
      <w:r>
        <w:rPr>
          <w:rFonts w:hint="eastAsia" w:ascii="仿宋_GB2312" w:hAnsi="仿宋_GB2312" w:eastAsia="仿宋_GB2312" w:cs="仿宋_GB2312"/>
          <w:color w:val="000000"/>
          <w:sz w:val="24"/>
          <w:szCs w:val="24"/>
          <w:highlight w:val="none"/>
          <w:lang w:eastAsia="zh-CN"/>
        </w:rPr>
        <w:t>接送机</w:t>
      </w:r>
    </w:p>
    <w:p w14:paraId="7916082E">
      <w:pPr>
        <w:pStyle w:val="5"/>
        <w:keepNext w:val="0"/>
        <w:keepLines w:val="0"/>
        <w:pageBreakBefore w:val="0"/>
        <w:kinsoku/>
        <w:wordWrap/>
        <w:overflowPunct/>
        <w:topLinePunct w:val="0"/>
        <w:autoSpaceDE/>
        <w:autoSpaceDN/>
        <w:bidi w:val="0"/>
        <w:spacing w:line="400" w:lineRule="exact"/>
        <w:ind w:left="0" w:leftChars="0" w:firstLine="480" w:firstLineChars="200"/>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eastAsia="zh-CN"/>
        </w:rPr>
        <w:t>运动队、</w:t>
      </w:r>
      <w:r>
        <w:rPr>
          <w:rFonts w:hint="eastAsia" w:ascii="仿宋_GB2312" w:hAnsi="仿宋_GB2312" w:eastAsia="仿宋_GB2312" w:cs="仿宋_GB2312"/>
          <w:color w:val="000000"/>
          <w:sz w:val="24"/>
          <w:szCs w:val="24"/>
          <w:highlight w:val="none"/>
          <w:lang w:val="en-US" w:eastAsia="zh-CN"/>
        </w:rPr>
        <w:t>世界泳</w:t>
      </w:r>
      <w:r>
        <w:rPr>
          <w:rFonts w:hint="eastAsia" w:ascii="仿宋_GB2312" w:hAnsi="仿宋_GB2312" w:eastAsia="仿宋_GB2312" w:cs="仿宋_GB2312"/>
          <w:color w:val="000000"/>
          <w:sz w:val="24"/>
          <w:szCs w:val="24"/>
          <w:highlight w:val="none"/>
          <w:lang w:eastAsia="zh-CN"/>
        </w:rPr>
        <w:t>联官员及工作人员、</w:t>
      </w:r>
      <w:r>
        <w:rPr>
          <w:rFonts w:hint="eastAsia" w:ascii="仿宋_GB2312" w:hAnsi="仿宋_GB2312" w:eastAsia="仿宋_GB2312" w:cs="仿宋_GB2312"/>
          <w:color w:val="000000"/>
          <w:sz w:val="24"/>
          <w:szCs w:val="24"/>
          <w:highlight w:val="none"/>
          <w:lang w:val="en-US" w:eastAsia="zh-CN"/>
        </w:rPr>
        <w:t>世界泳</w:t>
      </w:r>
      <w:r>
        <w:rPr>
          <w:rFonts w:hint="eastAsia" w:ascii="仿宋_GB2312" w:hAnsi="仿宋_GB2312" w:eastAsia="仿宋_GB2312" w:cs="仿宋_GB2312"/>
          <w:color w:val="000000"/>
          <w:sz w:val="24"/>
          <w:szCs w:val="24"/>
          <w:highlight w:val="none"/>
          <w:lang w:eastAsia="zh-CN"/>
        </w:rPr>
        <w:t>联主席、</w:t>
      </w:r>
      <w:r>
        <w:rPr>
          <w:rFonts w:hint="default" w:ascii="仿宋_GB2312" w:hAnsi="仿宋_GB2312" w:eastAsia="仿宋_GB2312" w:cs="仿宋_GB2312"/>
          <w:color w:val="000000"/>
          <w:sz w:val="24"/>
          <w:szCs w:val="24"/>
          <w:highlight w:val="none"/>
          <w:lang w:val="en-US" w:eastAsia="zh-CN"/>
        </w:rPr>
        <w:t>秘书长</w:t>
      </w:r>
      <w:r>
        <w:rPr>
          <w:rFonts w:hint="eastAsia" w:ascii="仿宋_GB2312" w:hAnsi="仿宋_GB2312" w:eastAsia="仿宋_GB2312" w:cs="仿宋_GB2312"/>
          <w:color w:val="000000"/>
          <w:sz w:val="24"/>
          <w:szCs w:val="24"/>
          <w:highlight w:val="none"/>
          <w:lang w:val="en-US" w:eastAsia="zh-CN"/>
        </w:rPr>
        <w:t>等，各航站楼需配备车辆协调人。</w:t>
      </w:r>
    </w:p>
    <w:tbl>
      <w:tblPr>
        <w:tblStyle w:val="7"/>
        <w:tblpPr w:leftFromText="180" w:rightFromText="180" w:vertAnchor="text" w:horzAnchor="page" w:tblpX="2133" w:tblpY="210"/>
        <w:tblOverlap w:val="never"/>
        <w:tblW w:w="51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1532"/>
        <w:gridCol w:w="2070"/>
        <w:gridCol w:w="1590"/>
        <w:gridCol w:w="1266"/>
        <w:gridCol w:w="1677"/>
      </w:tblGrid>
      <w:tr w14:paraId="26744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tcBorders>
              <w:top w:val="single" w:color="auto" w:sz="4" w:space="0"/>
              <w:left w:val="single" w:color="auto" w:sz="4" w:space="0"/>
              <w:bottom w:val="single" w:color="auto" w:sz="4" w:space="0"/>
              <w:right w:val="single" w:color="auto" w:sz="4" w:space="0"/>
            </w:tcBorders>
            <w:noWrap w:val="0"/>
            <w:vAlign w:val="center"/>
          </w:tcPr>
          <w:p w14:paraId="21F31C58">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sz w:val="24"/>
                <w:szCs w:val="24"/>
                <w:highlight w:val="none"/>
                <w:lang w:val="en-US"/>
              </w:rPr>
            </w:pPr>
            <w:bookmarkStart w:id="3" w:name="OLE_LINK7" w:colFirst="0" w:colLast="5"/>
            <w:bookmarkStart w:id="4" w:name="OLE_LINK4"/>
            <w:r>
              <w:rPr>
                <w:rFonts w:hint="eastAsia" w:ascii="仿宋_GB2312" w:hAnsi="仿宋_GB2312" w:eastAsia="仿宋_GB2312" w:cs="仿宋_GB2312"/>
                <w:b/>
                <w:bCs/>
                <w:kern w:val="2"/>
                <w:sz w:val="24"/>
                <w:szCs w:val="24"/>
                <w:highlight w:val="none"/>
                <w:lang w:val="en-US" w:eastAsia="zh-CN" w:bidi="ar"/>
              </w:rPr>
              <w:t>序号</w:t>
            </w:r>
          </w:p>
        </w:tc>
        <w:tc>
          <w:tcPr>
            <w:tcW w:w="824" w:type="pct"/>
            <w:tcBorders>
              <w:top w:val="single" w:color="auto" w:sz="4" w:space="0"/>
              <w:left w:val="single" w:color="auto" w:sz="4" w:space="0"/>
              <w:bottom w:val="single" w:color="auto" w:sz="4" w:space="0"/>
              <w:right w:val="single" w:color="auto" w:sz="4" w:space="0"/>
            </w:tcBorders>
            <w:noWrap w:val="0"/>
            <w:vAlign w:val="center"/>
          </w:tcPr>
          <w:p w14:paraId="726F9E18">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sz w:val="24"/>
                <w:szCs w:val="24"/>
                <w:highlight w:val="none"/>
                <w:lang w:val="en-US"/>
              </w:rPr>
            </w:pPr>
            <w:r>
              <w:rPr>
                <w:rFonts w:hint="eastAsia" w:ascii="仿宋_GB2312" w:hAnsi="仿宋_GB2312" w:eastAsia="仿宋_GB2312" w:cs="仿宋_GB2312"/>
                <w:b/>
                <w:bCs/>
                <w:kern w:val="2"/>
                <w:sz w:val="24"/>
                <w:szCs w:val="24"/>
                <w:highlight w:val="none"/>
                <w:lang w:val="en-US" w:eastAsia="zh-CN" w:bidi="ar"/>
              </w:rPr>
              <w:t>服务内容</w:t>
            </w:r>
          </w:p>
        </w:tc>
        <w:tc>
          <w:tcPr>
            <w:tcW w:w="1113" w:type="pct"/>
            <w:tcBorders>
              <w:top w:val="single" w:color="auto" w:sz="4" w:space="0"/>
              <w:left w:val="single" w:color="auto" w:sz="4" w:space="0"/>
              <w:bottom w:val="single" w:color="auto" w:sz="4" w:space="0"/>
              <w:right w:val="single" w:color="auto" w:sz="4" w:space="0"/>
            </w:tcBorders>
            <w:noWrap w:val="0"/>
            <w:vAlign w:val="center"/>
          </w:tcPr>
          <w:p w14:paraId="156427CE">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sz w:val="24"/>
                <w:szCs w:val="24"/>
                <w:highlight w:val="none"/>
                <w:lang w:val="en-US"/>
              </w:rPr>
            </w:pPr>
            <w:r>
              <w:rPr>
                <w:rFonts w:hint="eastAsia" w:ascii="仿宋_GB2312" w:hAnsi="仿宋_GB2312" w:eastAsia="仿宋_GB2312" w:cs="仿宋_GB2312"/>
                <w:b/>
                <w:bCs/>
                <w:kern w:val="2"/>
                <w:sz w:val="24"/>
                <w:szCs w:val="24"/>
                <w:highlight w:val="none"/>
                <w:lang w:val="en-US" w:eastAsia="zh-CN" w:bidi="ar"/>
              </w:rPr>
              <w:t>分项名称</w:t>
            </w:r>
          </w:p>
        </w:tc>
        <w:tc>
          <w:tcPr>
            <w:tcW w:w="855" w:type="pct"/>
            <w:tcBorders>
              <w:top w:val="single" w:color="auto" w:sz="4" w:space="0"/>
              <w:left w:val="single" w:color="auto" w:sz="4" w:space="0"/>
              <w:bottom w:val="single" w:color="auto" w:sz="4" w:space="0"/>
              <w:right w:val="single" w:color="auto" w:sz="4" w:space="0"/>
            </w:tcBorders>
            <w:noWrap w:val="0"/>
            <w:vAlign w:val="center"/>
          </w:tcPr>
          <w:p w14:paraId="349CC353">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sz w:val="24"/>
                <w:szCs w:val="24"/>
                <w:highlight w:val="none"/>
                <w:lang w:val="en-US"/>
              </w:rPr>
            </w:pPr>
            <w:r>
              <w:rPr>
                <w:rFonts w:hint="eastAsia" w:ascii="仿宋_GB2312" w:hAnsi="仿宋_GB2312" w:eastAsia="仿宋_GB2312" w:cs="仿宋_GB2312"/>
                <w:b/>
                <w:bCs/>
                <w:kern w:val="2"/>
                <w:sz w:val="24"/>
                <w:szCs w:val="24"/>
                <w:highlight w:val="none"/>
                <w:lang w:val="en-US" w:eastAsia="zh-CN" w:bidi="ar"/>
              </w:rPr>
              <w:t>计量</w:t>
            </w:r>
          </w:p>
          <w:p w14:paraId="7ABF75C1">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sz w:val="24"/>
                <w:szCs w:val="24"/>
                <w:highlight w:val="none"/>
                <w:lang w:val="en-US"/>
              </w:rPr>
            </w:pPr>
            <w:r>
              <w:rPr>
                <w:rFonts w:hint="eastAsia" w:ascii="仿宋_GB2312" w:hAnsi="仿宋_GB2312" w:eastAsia="仿宋_GB2312" w:cs="仿宋_GB2312"/>
                <w:b/>
                <w:bCs/>
                <w:kern w:val="2"/>
                <w:sz w:val="24"/>
                <w:szCs w:val="24"/>
                <w:highlight w:val="none"/>
                <w:lang w:val="en-US" w:eastAsia="zh-CN" w:bidi="ar"/>
              </w:rPr>
              <w:t>单位</w:t>
            </w:r>
          </w:p>
        </w:tc>
        <w:tc>
          <w:tcPr>
            <w:tcW w:w="681" w:type="pct"/>
            <w:tcBorders>
              <w:top w:val="single" w:color="auto" w:sz="4" w:space="0"/>
              <w:left w:val="single" w:color="auto" w:sz="4" w:space="0"/>
              <w:bottom w:val="single" w:color="auto" w:sz="4" w:space="0"/>
              <w:right w:val="single" w:color="auto" w:sz="4" w:space="0"/>
            </w:tcBorders>
            <w:noWrap w:val="0"/>
            <w:vAlign w:val="center"/>
          </w:tcPr>
          <w:p w14:paraId="71E2B713">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sz w:val="24"/>
                <w:szCs w:val="24"/>
                <w:highlight w:val="none"/>
                <w:lang w:val="en-US"/>
              </w:rPr>
            </w:pPr>
            <w:r>
              <w:rPr>
                <w:rFonts w:hint="eastAsia" w:ascii="仿宋_GB2312" w:hAnsi="仿宋_GB2312" w:eastAsia="仿宋_GB2312" w:cs="仿宋_GB2312"/>
                <w:b/>
                <w:bCs/>
                <w:kern w:val="2"/>
                <w:sz w:val="24"/>
                <w:szCs w:val="24"/>
                <w:highlight w:val="none"/>
                <w:lang w:val="en-US" w:eastAsia="zh-CN" w:bidi="ar"/>
              </w:rPr>
              <w:t>总量</w:t>
            </w:r>
          </w:p>
          <w:p w14:paraId="7D7812D0">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sz w:val="24"/>
                <w:szCs w:val="24"/>
                <w:highlight w:val="none"/>
                <w:lang w:val="en-US"/>
              </w:rPr>
            </w:pPr>
            <w:r>
              <w:rPr>
                <w:rFonts w:hint="eastAsia" w:ascii="仿宋_GB2312" w:hAnsi="仿宋_GB2312" w:eastAsia="仿宋_GB2312" w:cs="仿宋_GB2312"/>
                <w:b/>
                <w:bCs/>
                <w:kern w:val="2"/>
                <w:sz w:val="24"/>
                <w:szCs w:val="24"/>
                <w:highlight w:val="none"/>
                <w:lang w:val="en-US" w:eastAsia="zh-CN" w:bidi="ar"/>
              </w:rPr>
              <w:t>需求</w:t>
            </w:r>
          </w:p>
        </w:tc>
        <w:tc>
          <w:tcPr>
            <w:tcW w:w="902" w:type="pct"/>
            <w:tcBorders>
              <w:top w:val="single" w:color="auto" w:sz="4" w:space="0"/>
              <w:left w:val="single" w:color="auto" w:sz="4" w:space="0"/>
              <w:bottom w:val="single" w:color="auto" w:sz="4" w:space="0"/>
              <w:right w:val="single" w:color="auto" w:sz="4" w:space="0"/>
            </w:tcBorders>
            <w:noWrap w:val="0"/>
            <w:vAlign w:val="center"/>
          </w:tcPr>
          <w:p w14:paraId="6FD30843">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kern w:val="2"/>
                <w:sz w:val="24"/>
                <w:szCs w:val="24"/>
                <w:highlight w:val="none"/>
                <w:lang w:val="en-US" w:eastAsia="zh-CN" w:bidi="ar"/>
              </w:rPr>
            </w:pPr>
            <w:bookmarkStart w:id="5" w:name="OLE_LINK13"/>
            <w:r>
              <w:rPr>
                <w:rFonts w:hint="eastAsia" w:ascii="仿宋_GB2312" w:hAnsi="仿宋_GB2312" w:eastAsia="仿宋_GB2312" w:cs="仿宋_GB2312"/>
                <w:b/>
                <w:bCs/>
                <w:kern w:val="2"/>
                <w:sz w:val="24"/>
                <w:szCs w:val="24"/>
                <w:highlight w:val="none"/>
                <w:lang w:val="en-US" w:eastAsia="zh-CN" w:bidi="ar"/>
              </w:rPr>
              <w:t>备注</w:t>
            </w:r>
            <w:bookmarkEnd w:id="5"/>
          </w:p>
        </w:tc>
      </w:tr>
      <w:bookmarkEnd w:id="3"/>
      <w:tr w14:paraId="3083C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vMerge w:val="restart"/>
            <w:tcBorders>
              <w:top w:val="single" w:color="auto" w:sz="4" w:space="0"/>
              <w:left w:val="single" w:color="auto" w:sz="4" w:space="0"/>
              <w:right w:val="single" w:color="auto" w:sz="4" w:space="0"/>
            </w:tcBorders>
            <w:noWrap w:val="0"/>
            <w:vAlign w:val="center"/>
          </w:tcPr>
          <w:p w14:paraId="6C0A5119">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none"/>
                <w:lang w:val="en-US"/>
              </w:rPr>
            </w:pPr>
            <w:r>
              <w:rPr>
                <w:rFonts w:hint="eastAsia" w:ascii="仿宋_GB2312" w:hAnsi="仿宋_GB2312" w:eastAsia="仿宋_GB2312" w:cs="仿宋_GB2312"/>
                <w:kern w:val="2"/>
                <w:sz w:val="24"/>
                <w:szCs w:val="24"/>
                <w:highlight w:val="none"/>
                <w:lang w:val="en-US" w:eastAsia="zh-CN" w:bidi="ar"/>
              </w:rPr>
              <w:t>1</w:t>
            </w:r>
          </w:p>
        </w:tc>
        <w:tc>
          <w:tcPr>
            <w:tcW w:w="824" w:type="pct"/>
            <w:vMerge w:val="restart"/>
            <w:tcBorders>
              <w:top w:val="single" w:color="auto" w:sz="4" w:space="0"/>
              <w:left w:val="single" w:color="auto" w:sz="4" w:space="0"/>
              <w:right w:val="single" w:color="auto" w:sz="4" w:space="0"/>
            </w:tcBorders>
            <w:noWrap w:val="0"/>
            <w:vAlign w:val="center"/>
          </w:tcPr>
          <w:p w14:paraId="2D449A93">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none"/>
                <w:lang w:val="en-US"/>
              </w:rPr>
            </w:pPr>
            <w:r>
              <w:rPr>
                <w:rFonts w:hint="eastAsia" w:ascii="仿宋_GB2312" w:hAnsi="仿宋_GB2312" w:eastAsia="仿宋_GB2312" w:cs="仿宋_GB2312"/>
                <w:kern w:val="2"/>
                <w:sz w:val="24"/>
                <w:szCs w:val="24"/>
                <w:highlight w:val="none"/>
                <w:lang w:val="en-US" w:eastAsia="zh-CN" w:bidi="ar"/>
              </w:rPr>
              <w:t>接送机</w:t>
            </w:r>
          </w:p>
        </w:tc>
        <w:tc>
          <w:tcPr>
            <w:tcW w:w="1113" w:type="pct"/>
            <w:tcBorders>
              <w:top w:val="single" w:color="auto" w:sz="4" w:space="0"/>
              <w:left w:val="single" w:color="auto" w:sz="4" w:space="0"/>
              <w:bottom w:val="single" w:color="auto" w:sz="4" w:space="0"/>
              <w:right w:val="single" w:color="auto" w:sz="4" w:space="0"/>
            </w:tcBorders>
            <w:noWrap w:val="0"/>
            <w:vAlign w:val="center"/>
          </w:tcPr>
          <w:p w14:paraId="4262D25D">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none"/>
                <w:lang w:val="en-US"/>
              </w:rPr>
            </w:pPr>
            <w:r>
              <w:rPr>
                <w:rFonts w:hint="eastAsia" w:ascii="仿宋_GB2312" w:hAnsi="仿宋_GB2312" w:eastAsia="仿宋_GB2312" w:cs="仿宋_GB2312"/>
                <w:kern w:val="2"/>
                <w:sz w:val="24"/>
                <w:szCs w:val="24"/>
                <w:highlight w:val="none"/>
                <w:lang w:val="en-US" w:eastAsia="zh-CN" w:bidi="ar"/>
              </w:rPr>
              <w:t>大巴（50座）</w:t>
            </w:r>
          </w:p>
        </w:tc>
        <w:tc>
          <w:tcPr>
            <w:tcW w:w="855" w:type="pct"/>
            <w:tcBorders>
              <w:top w:val="single" w:color="auto" w:sz="4" w:space="0"/>
              <w:left w:val="single" w:color="auto" w:sz="4" w:space="0"/>
              <w:bottom w:val="single" w:color="auto" w:sz="4" w:space="0"/>
              <w:right w:val="single" w:color="auto" w:sz="4" w:space="0"/>
            </w:tcBorders>
            <w:noWrap w:val="0"/>
            <w:vAlign w:val="top"/>
          </w:tcPr>
          <w:p w14:paraId="643232D0">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none"/>
                <w:lang w:val="en-US"/>
              </w:rPr>
            </w:pPr>
            <w:r>
              <w:rPr>
                <w:rFonts w:hint="eastAsia" w:ascii="仿宋_GB2312" w:hAnsi="仿宋_GB2312" w:eastAsia="仿宋_GB2312" w:cs="仿宋_GB2312"/>
                <w:kern w:val="2"/>
                <w:sz w:val="24"/>
                <w:szCs w:val="24"/>
                <w:highlight w:val="none"/>
                <w:lang w:val="en-US" w:eastAsia="zh-CN" w:bidi="ar"/>
              </w:rPr>
              <w:t>趟/次</w:t>
            </w:r>
          </w:p>
        </w:tc>
        <w:tc>
          <w:tcPr>
            <w:tcW w:w="681" w:type="pct"/>
            <w:tcBorders>
              <w:top w:val="single" w:color="auto" w:sz="4" w:space="0"/>
              <w:left w:val="single" w:color="auto" w:sz="4" w:space="0"/>
              <w:bottom w:val="single" w:color="auto" w:sz="4" w:space="0"/>
              <w:right w:val="single" w:color="auto" w:sz="4" w:space="0"/>
            </w:tcBorders>
            <w:noWrap w:val="0"/>
            <w:vAlign w:val="center"/>
          </w:tcPr>
          <w:p w14:paraId="7B066FB2">
            <w:pPr>
              <w:keepNext w:val="0"/>
              <w:keepLines w:val="0"/>
              <w:widowControl w:val="0"/>
              <w:suppressLineNumbers w:val="0"/>
              <w:spacing w:before="0" w:beforeAutospacing="0" w:after="0" w:afterAutospacing="0"/>
              <w:ind w:left="0" w:right="0"/>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20</w:t>
            </w:r>
          </w:p>
        </w:tc>
        <w:tc>
          <w:tcPr>
            <w:tcW w:w="902" w:type="pct"/>
            <w:vMerge w:val="restart"/>
            <w:tcBorders>
              <w:top w:val="single" w:color="auto" w:sz="4" w:space="0"/>
              <w:left w:val="single" w:color="auto" w:sz="4" w:space="0"/>
              <w:right w:val="single" w:color="auto" w:sz="4" w:space="0"/>
            </w:tcBorders>
            <w:noWrap w:val="0"/>
            <w:vAlign w:val="center"/>
          </w:tcPr>
          <w:p w14:paraId="1003C977">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4"/>
                <w:szCs w:val="24"/>
                <w:highlight w:val="none"/>
                <w:lang w:val="en-US" w:eastAsia="zh-CN" w:bidi="ar"/>
              </w:rPr>
            </w:pPr>
            <w:bookmarkStart w:id="6" w:name="OLE_LINK12"/>
            <w:r>
              <w:rPr>
                <w:rFonts w:hint="eastAsia" w:ascii="仿宋_GB2312" w:hAnsi="仿宋_GB2312" w:eastAsia="仿宋_GB2312" w:cs="仿宋_GB2312"/>
                <w:kern w:val="2"/>
                <w:sz w:val="24"/>
                <w:szCs w:val="24"/>
                <w:highlight w:val="none"/>
                <w:lang w:val="en-US" w:eastAsia="zh-CN" w:bidi="ar"/>
              </w:rPr>
              <w:t>含司机</w:t>
            </w:r>
            <w:bookmarkEnd w:id="6"/>
          </w:p>
          <w:p w14:paraId="32AF5A8B">
            <w:pPr>
              <w:pStyle w:val="2"/>
              <w:keepNext w:val="0"/>
              <w:keepLines w:val="0"/>
              <w:suppressLineNumbers w:val="0"/>
              <w:spacing w:before="0" w:beforeAutospacing="0" w:after="0" w:afterAutospacing="0"/>
              <w:ind w:right="0"/>
              <w:jc w:val="center"/>
              <w:rPr>
                <w:rFonts w:hint="eastAsia" w:ascii="仿宋_GB2312" w:hAnsi="仿宋_GB2312" w:eastAsia="仿宋_GB2312" w:cs="仿宋_GB2312"/>
                <w:kern w:val="2"/>
                <w:sz w:val="24"/>
                <w:szCs w:val="24"/>
                <w:highlight w:val="none"/>
                <w:lang w:val="en-US" w:eastAsia="zh-CN" w:bidi="ar"/>
              </w:rPr>
            </w:pPr>
            <w:r>
              <w:rPr>
                <w:rFonts w:hint="eastAsia" w:ascii="仿宋_GB2312" w:hAnsi="仿宋_GB2312" w:eastAsia="仿宋_GB2312" w:cs="仿宋_GB2312"/>
                <w:kern w:val="2"/>
                <w:sz w:val="24"/>
                <w:szCs w:val="24"/>
                <w:highlight w:val="none"/>
                <w:lang w:val="en-US" w:eastAsia="zh-CN" w:bidi="ar"/>
              </w:rPr>
              <w:t>含首都机场、</w:t>
            </w:r>
          </w:p>
          <w:p w14:paraId="1FD6299E">
            <w:pPr>
              <w:pStyle w:val="2"/>
              <w:keepNext w:val="0"/>
              <w:keepLines w:val="0"/>
              <w:suppressLineNumbers w:val="0"/>
              <w:spacing w:before="0" w:beforeAutospacing="0" w:after="0" w:afterAutospacing="0"/>
              <w:ind w:right="0"/>
              <w:jc w:val="center"/>
              <w:rPr>
                <w:rFonts w:hint="eastAsia"/>
                <w:highlight w:val="none"/>
                <w:lang w:val="en-US" w:eastAsia="zh-CN"/>
              </w:rPr>
            </w:pPr>
            <w:r>
              <w:rPr>
                <w:rFonts w:hint="eastAsia" w:ascii="仿宋_GB2312" w:hAnsi="仿宋_GB2312" w:eastAsia="仿宋_GB2312" w:cs="仿宋_GB2312"/>
                <w:kern w:val="2"/>
                <w:sz w:val="24"/>
                <w:szCs w:val="24"/>
                <w:highlight w:val="none"/>
                <w:lang w:val="en-US" w:eastAsia="zh-CN" w:bidi="ar"/>
              </w:rPr>
              <w:t>大兴机场</w:t>
            </w:r>
          </w:p>
        </w:tc>
      </w:tr>
      <w:tr w14:paraId="2712B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vMerge w:val="continue"/>
            <w:tcBorders>
              <w:left w:val="single" w:color="auto" w:sz="4" w:space="0"/>
              <w:right w:val="single" w:color="auto" w:sz="4" w:space="0"/>
            </w:tcBorders>
            <w:noWrap w:val="0"/>
            <w:vAlign w:val="center"/>
          </w:tcPr>
          <w:p w14:paraId="51DE794C">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highlight w:val="none"/>
              </w:rPr>
            </w:pPr>
          </w:p>
        </w:tc>
        <w:tc>
          <w:tcPr>
            <w:tcW w:w="824" w:type="pct"/>
            <w:vMerge w:val="continue"/>
            <w:tcBorders>
              <w:left w:val="single" w:color="auto" w:sz="4" w:space="0"/>
              <w:right w:val="single" w:color="auto" w:sz="4" w:space="0"/>
            </w:tcBorders>
            <w:noWrap w:val="0"/>
            <w:vAlign w:val="center"/>
          </w:tcPr>
          <w:p w14:paraId="12A3E7B3">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highlight w:val="none"/>
              </w:rPr>
            </w:pPr>
          </w:p>
        </w:tc>
        <w:tc>
          <w:tcPr>
            <w:tcW w:w="1113" w:type="pct"/>
            <w:tcBorders>
              <w:top w:val="single" w:color="auto" w:sz="4" w:space="0"/>
              <w:left w:val="single" w:color="auto" w:sz="4" w:space="0"/>
              <w:bottom w:val="single" w:color="auto" w:sz="4" w:space="0"/>
              <w:right w:val="single" w:color="auto" w:sz="4" w:space="0"/>
            </w:tcBorders>
            <w:noWrap w:val="0"/>
            <w:vAlign w:val="center"/>
          </w:tcPr>
          <w:p w14:paraId="6C44CEF5">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4"/>
                <w:szCs w:val="24"/>
                <w:highlight w:val="none"/>
                <w:lang w:val="en-US" w:eastAsia="zh-CN" w:bidi="ar"/>
              </w:rPr>
            </w:pPr>
            <w:r>
              <w:rPr>
                <w:rFonts w:hint="eastAsia" w:ascii="仿宋_GB2312" w:hAnsi="仿宋_GB2312" w:eastAsia="仿宋_GB2312" w:cs="仿宋_GB2312"/>
                <w:kern w:val="2"/>
                <w:sz w:val="24"/>
                <w:szCs w:val="24"/>
                <w:highlight w:val="none"/>
                <w:lang w:val="en-US" w:eastAsia="zh-CN" w:bidi="ar"/>
              </w:rPr>
              <w:t>中巴（38座）</w:t>
            </w:r>
          </w:p>
        </w:tc>
        <w:tc>
          <w:tcPr>
            <w:tcW w:w="855" w:type="pct"/>
            <w:tcBorders>
              <w:top w:val="single" w:color="auto" w:sz="4" w:space="0"/>
              <w:left w:val="single" w:color="auto" w:sz="4" w:space="0"/>
              <w:bottom w:val="single" w:color="auto" w:sz="4" w:space="0"/>
              <w:right w:val="single" w:color="auto" w:sz="4" w:space="0"/>
            </w:tcBorders>
            <w:noWrap w:val="0"/>
            <w:vAlign w:val="top"/>
          </w:tcPr>
          <w:p w14:paraId="6F8CD064">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4"/>
                <w:szCs w:val="24"/>
                <w:highlight w:val="none"/>
                <w:lang w:val="en-US" w:eastAsia="zh-CN" w:bidi="ar"/>
              </w:rPr>
            </w:pPr>
            <w:r>
              <w:rPr>
                <w:rFonts w:hint="eastAsia" w:ascii="仿宋_GB2312" w:hAnsi="仿宋_GB2312" w:eastAsia="仿宋_GB2312" w:cs="仿宋_GB2312"/>
                <w:kern w:val="2"/>
                <w:sz w:val="24"/>
                <w:szCs w:val="24"/>
                <w:highlight w:val="none"/>
                <w:lang w:val="en-US" w:eastAsia="zh-CN" w:bidi="ar"/>
              </w:rPr>
              <w:t>趟/次</w:t>
            </w:r>
          </w:p>
        </w:tc>
        <w:tc>
          <w:tcPr>
            <w:tcW w:w="681" w:type="pct"/>
            <w:tcBorders>
              <w:top w:val="single" w:color="auto" w:sz="4" w:space="0"/>
              <w:left w:val="single" w:color="auto" w:sz="4" w:space="0"/>
              <w:bottom w:val="single" w:color="auto" w:sz="4" w:space="0"/>
              <w:right w:val="single" w:color="auto" w:sz="4" w:space="0"/>
            </w:tcBorders>
            <w:noWrap w:val="0"/>
            <w:vAlign w:val="center"/>
          </w:tcPr>
          <w:p w14:paraId="254B6D25">
            <w:pPr>
              <w:keepNext w:val="0"/>
              <w:keepLines w:val="0"/>
              <w:widowControl w:val="0"/>
              <w:suppressLineNumbers w:val="0"/>
              <w:spacing w:before="0" w:beforeAutospacing="0" w:after="0" w:afterAutospacing="0"/>
              <w:ind w:left="0" w:right="0"/>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w:t>
            </w:r>
          </w:p>
        </w:tc>
        <w:tc>
          <w:tcPr>
            <w:tcW w:w="902" w:type="pct"/>
            <w:vMerge w:val="continue"/>
            <w:tcBorders>
              <w:left w:val="single" w:color="auto" w:sz="4" w:space="0"/>
              <w:right w:val="single" w:color="auto" w:sz="4" w:space="0"/>
            </w:tcBorders>
            <w:noWrap w:val="0"/>
            <w:vAlign w:val="center"/>
          </w:tcPr>
          <w:p w14:paraId="144661FE">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none"/>
                <w:lang w:val="en-US" w:eastAsia="zh-CN"/>
              </w:rPr>
            </w:pPr>
          </w:p>
        </w:tc>
      </w:tr>
      <w:tr w14:paraId="62451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vMerge w:val="continue"/>
            <w:tcBorders>
              <w:left w:val="single" w:color="auto" w:sz="4" w:space="0"/>
              <w:right w:val="single" w:color="auto" w:sz="4" w:space="0"/>
            </w:tcBorders>
            <w:noWrap w:val="0"/>
            <w:vAlign w:val="center"/>
          </w:tcPr>
          <w:p w14:paraId="3682D632">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highlight w:val="none"/>
              </w:rPr>
            </w:pPr>
          </w:p>
        </w:tc>
        <w:tc>
          <w:tcPr>
            <w:tcW w:w="824" w:type="pct"/>
            <w:vMerge w:val="continue"/>
            <w:tcBorders>
              <w:left w:val="single" w:color="auto" w:sz="4" w:space="0"/>
              <w:right w:val="single" w:color="auto" w:sz="4" w:space="0"/>
            </w:tcBorders>
            <w:noWrap w:val="0"/>
            <w:vAlign w:val="center"/>
          </w:tcPr>
          <w:p w14:paraId="24C628E3">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highlight w:val="none"/>
              </w:rPr>
            </w:pPr>
          </w:p>
        </w:tc>
        <w:tc>
          <w:tcPr>
            <w:tcW w:w="1113" w:type="pct"/>
            <w:tcBorders>
              <w:top w:val="single" w:color="auto" w:sz="4" w:space="0"/>
              <w:left w:val="single" w:color="auto" w:sz="4" w:space="0"/>
              <w:bottom w:val="single" w:color="auto" w:sz="4" w:space="0"/>
              <w:right w:val="single" w:color="auto" w:sz="4" w:space="0"/>
            </w:tcBorders>
            <w:noWrap w:val="0"/>
            <w:vAlign w:val="center"/>
          </w:tcPr>
          <w:p w14:paraId="3E9D00B1">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none"/>
                <w:lang w:val="en-US"/>
              </w:rPr>
            </w:pPr>
            <w:bookmarkStart w:id="7" w:name="OLE_LINK5"/>
            <w:r>
              <w:rPr>
                <w:rFonts w:hint="eastAsia" w:ascii="仿宋_GB2312" w:hAnsi="仿宋_GB2312" w:eastAsia="仿宋_GB2312" w:cs="仿宋_GB2312"/>
                <w:kern w:val="2"/>
                <w:sz w:val="24"/>
                <w:szCs w:val="24"/>
                <w:highlight w:val="none"/>
                <w:lang w:val="en-US" w:eastAsia="zh-CN" w:bidi="ar"/>
              </w:rPr>
              <w:t>小巴（19座）</w:t>
            </w:r>
            <w:bookmarkEnd w:id="7"/>
          </w:p>
        </w:tc>
        <w:tc>
          <w:tcPr>
            <w:tcW w:w="855" w:type="pct"/>
            <w:tcBorders>
              <w:top w:val="single" w:color="auto" w:sz="4" w:space="0"/>
              <w:left w:val="single" w:color="auto" w:sz="4" w:space="0"/>
              <w:bottom w:val="single" w:color="auto" w:sz="4" w:space="0"/>
              <w:right w:val="single" w:color="auto" w:sz="4" w:space="0"/>
            </w:tcBorders>
            <w:noWrap w:val="0"/>
            <w:vAlign w:val="top"/>
          </w:tcPr>
          <w:p w14:paraId="13D5EAA2">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none"/>
                <w:lang w:val="en-US"/>
              </w:rPr>
            </w:pPr>
            <w:bookmarkStart w:id="8" w:name="OLE_LINK3"/>
            <w:r>
              <w:rPr>
                <w:rFonts w:hint="eastAsia" w:ascii="仿宋_GB2312" w:hAnsi="仿宋_GB2312" w:eastAsia="仿宋_GB2312" w:cs="仿宋_GB2312"/>
                <w:kern w:val="2"/>
                <w:sz w:val="24"/>
                <w:szCs w:val="24"/>
                <w:highlight w:val="none"/>
                <w:lang w:val="en-US" w:eastAsia="zh-CN" w:bidi="ar"/>
              </w:rPr>
              <w:t>趟/次</w:t>
            </w:r>
            <w:bookmarkEnd w:id="8"/>
          </w:p>
        </w:tc>
        <w:tc>
          <w:tcPr>
            <w:tcW w:w="681" w:type="pct"/>
            <w:tcBorders>
              <w:top w:val="single" w:color="auto" w:sz="4" w:space="0"/>
              <w:left w:val="single" w:color="auto" w:sz="4" w:space="0"/>
              <w:bottom w:val="single" w:color="auto" w:sz="4" w:space="0"/>
              <w:right w:val="single" w:color="auto" w:sz="4" w:space="0"/>
            </w:tcBorders>
            <w:noWrap w:val="0"/>
            <w:vAlign w:val="center"/>
          </w:tcPr>
          <w:p w14:paraId="33CC0544">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7</w:t>
            </w:r>
          </w:p>
        </w:tc>
        <w:tc>
          <w:tcPr>
            <w:tcW w:w="902" w:type="pct"/>
            <w:vMerge w:val="continue"/>
            <w:tcBorders>
              <w:left w:val="single" w:color="auto" w:sz="4" w:space="0"/>
              <w:right w:val="single" w:color="auto" w:sz="4" w:space="0"/>
            </w:tcBorders>
            <w:noWrap w:val="0"/>
            <w:vAlign w:val="center"/>
          </w:tcPr>
          <w:p w14:paraId="4C4AEF3F">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none"/>
                <w:lang w:val="en-US" w:eastAsia="zh-CN"/>
              </w:rPr>
            </w:pPr>
          </w:p>
        </w:tc>
      </w:tr>
      <w:tr w14:paraId="1915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vMerge w:val="continue"/>
            <w:tcBorders>
              <w:left w:val="single" w:color="auto" w:sz="4" w:space="0"/>
              <w:bottom w:val="single" w:color="auto" w:sz="4" w:space="0"/>
              <w:right w:val="single" w:color="auto" w:sz="4" w:space="0"/>
            </w:tcBorders>
            <w:noWrap w:val="0"/>
            <w:vAlign w:val="center"/>
          </w:tcPr>
          <w:p w14:paraId="739FFD89">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highlight w:val="none"/>
              </w:rPr>
            </w:pPr>
          </w:p>
        </w:tc>
        <w:tc>
          <w:tcPr>
            <w:tcW w:w="824" w:type="pct"/>
            <w:vMerge w:val="continue"/>
            <w:tcBorders>
              <w:left w:val="single" w:color="auto" w:sz="4" w:space="0"/>
              <w:bottom w:val="single" w:color="auto" w:sz="4" w:space="0"/>
              <w:right w:val="single" w:color="auto" w:sz="4" w:space="0"/>
            </w:tcBorders>
            <w:noWrap w:val="0"/>
            <w:vAlign w:val="center"/>
          </w:tcPr>
          <w:p w14:paraId="5DE117CD">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highlight w:val="none"/>
              </w:rPr>
            </w:pPr>
          </w:p>
        </w:tc>
        <w:tc>
          <w:tcPr>
            <w:tcW w:w="1113" w:type="pct"/>
            <w:tcBorders>
              <w:top w:val="single" w:color="auto" w:sz="4" w:space="0"/>
              <w:left w:val="single" w:color="auto" w:sz="4" w:space="0"/>
              <w:bottom w:val="single" w:color="auto" w:sz="4" w:space="0"/>
              <w:right w:val="single" w:color="auto" w:sz="4" w:space="0"/>
            </w:tcBorders>
            <w:noWrap w:val="0"/>
            <w:vAlign w:val="center"/>
          </w:tcPr>
          <w:p w14:paraId="203DC26E">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4"/>
                <w:szCs w:val="24"/>
                <w:highlight w:val="none"/>
                <w:lang w:val="en-US" w:eastAsia="zh-CN" w:bidi="ar"/>
              </w:rPr>
            </w:pPr>
            <w:r>
              <w:rPr>
                <w:rFonts w:hint="eastAsia" w:ascii="仿宋_GB2312" w:hAnsi="仿宋_GB2312" w:eastAsia="仿宋_GB2312" w:cs="仿宋_GB2312"/>
                <w:kern w:val="2"/>
                <w:sz w:val="24"/>
                <w:szCs w:val="24"/>
                <w:highlight w:val="none"/>
                <w:lang w:val="en-US" w:eastAsia="zh-CN" w:bidi="ar"/>
              </w:rPr>
              <w:t>商务车（7座）</w:t>
            </w:r>
          </w:p>
        </w:tc>
        <w:tc>
          <w:tcPr>
            <w:tcW w:w="855" w:type="pct"/>
            <w:tcBorders>
              <w:top w:val="single" w:color="auto" w:sz="4" w:space="0"/>
              <w:left w:val="single" w:color="auto" w:sz="4" w:space="0"/>
              <w:bottom w:val="single" w:color="auto" w:sz="4" w:space="0"/>
              <w:right w:val="single" w:color="auto" w:sz="4" w:space="0"/>
            </w:tcBorders>
            <w:noWrap w:val="0"/>
            <w:vAlign w:val="top"/>
          </w:tcPr>
          <w:p w14:paraId="7AA62A66">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4"/>
                <w:szCs w:val="24"/>
                <w:highlight w:val="none"/>
                <w:lang w:val="en-US" w:eastAsia="zh-CN" w:bidi="ar"/>
              </w:rPr>
            </w:pPr>
            <w:r>
              <w:rPr>
                <w:rFonts w:hint="eastAsia" w:ascii="仿宋_GB2312" w:hAnsi="仿宋_GB2312" w:eastAsia="仿宋_GB2312" w:cs="仿宋_GB2312"/>
                <w:kern w:val="2"/>
                <w:sz w:val="24"/>
                <w:szCs w:val="24"/>
                <w:highlight w:val="none"/>
                <w:lang w:val="en-US" w:eastAsia="zh-CN" w:bidi="ar"/>
              </w:rPr>
              <w:t>趟/次</w:t>
            </w:r>
          </w:p>
        </w:tc>
        <w:tc>
          <w:tcPr>
            <w:tcW w:w="681" w:type="pct"/>
            <w:tcBorders>
              <w:top w:val="single" w:color="auto" w:sz="4" w:space="0"/>
              <w:left w:val="single" w:color="auto" w:sz="4" w:space="0"/>
              <w:bottom w:val="single" w:color="auto" w:sz="4" w:space="0"/>
              <w:right w:val="single" w:color="auto" w:sz="4" w:space="0"/>
            </w:tcBorders>
            <w:noWrap w:val="0"/>
            <w:vAlign w:val="center"/>
          </w:tcPr>
          <w:p w14:paraId="0ED174F3">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7</w:t>
            </w:r>
          </w:p>
        </w:tc>
        <w:tc>
          <w:tcPr>
            <w:tcW w:w="902" w:type="pct"/>
            <w:vMerge w:val="continue"/>
            <w:tcBorders>
              <w:left w:val="single" w:color="auto" w:sz="4" w:space="0"/>
              <w:right w:val="single" w:color="auto" w:sz="4" w:space="0"/>
            </w:tcBorders>
            <w:noWrap w:val="0"/>
            <w:vAlign w:val="center"/>
          </w:tcPr>
          <w:p w14:paraId="7E135E70">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none"/>
                <w:lang w:val="en-US" w:eastAsia="zh-CN"/>
              </w:rPr>
            </w:pPr>
          </w:p>
        </w:tc>
      </w:tr>
      <w:bookmarkEnd w:id="4"/>
    </w:tbl>
    <w:p w14:paraId="299630AD">
      <w:pPr>
        <w:pStyle w:val="5"/>
        <w:keepNext w:val="0"/>
        <w:keepLines w:val="0"/>
        <w:pageBreakBefore w:val="0"/>
        <w:kinsoku/>
        <w:wordWrap/>
        <w:overflowPunct/>
        <w:topLinePunct w:val="0"/>
        <w:autoSpaceDE/>
        <w:autoSpaceDN/>
        <w:bidi w:val="0"/>
        <w:spacing w:line="400" w:lineRule="exact"/>
        <w:ind w:firstLine="480" w:firstLineChars="200"/>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2.市内用车</w:t>
      </w:r>
    </w:p>
    <w:tbl>
      <w:tblPr>
        <w:tblStyle w:val="7"/>
        <w:tblpPr w:leftFromText="180" w:rightFromText="180" w:vertAnchor="text" w:horzAnchor="page" w:tblpX="2128" w:tblpY="601"/>
        <w:tblOverlap w:val="never"/>
        <w:tblW w:w="51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1532"/>
        <w:gridCol w:w="2070"/>
        <w:gridCol w:w="1590"/>
        <w:gridCol w:w="1266"/>
        <w:gridCol w:w="1677"/>
      </w:tblGrid>
      <w:tr w14:paraId="16610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tcBorders>
              <w:top w:val="single" w:color="auto" w:sz="4" w:space="0"/>
              <w:left w:val="single" w:color="auto" w:sz="4" w:space="0"/>
              <w:bottom w:val="single" w:color="auto" w:sz="4" w:space="0"/>
              <w:right w:val="single" w:color="auto" w:sz="4" w:space="0"/>
            </w:tcBorders>
            <w:noWrap w:val="0"/>
            <w:vAlign w:val="center"/>
          </w:tcPr>
          <w:p w14:paraId="71A0CEBA">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sz w:val="24"/>
                <w:szCs w:val="24"/>
                <w:highlight w:val="none"/>
                <w:lang w:val="en-US"/>
              </w:rPr>
            </w:pPr>
            <w:r>
              <w:rPr>
                <w:rFonts w:hint="eastAsia" w:ascii="仿宋_GB2312" w:hAnsi="仿宋_GB2312" w:eastAsia="仿宋_GB2312" w:cs="仿宋_GB2312"/>
                <w:b/>
                <w:bCs/>
                <w:kern w:val="2"/>
                <w:sz w:val="24"/>
                <w:szCs w:val="24"/>
                <w:highlight w:val="none"/>
                <w:lang w:val="en-US" w:eastAsia="zh-CN" w:bidi="ar"/>
              </w:rPr>
              <w:t>序号</w:t>
            </w:r>
          </w:p>
        </w:tc>
        <w:tc>
          <w:tcPr>
            <w:tcW w:w="824" w:type="pct"/>
            <w:tcBorders>
              <w:top w:val="single" w:color="auto" w:sz="4" w:space="0"/>
              <w:left w:val="single" w:color="auto" w:sz="4" w:space="0"/>
              <w:bottom w:val="single" w:color="auto" w:sz="4" w:space="0"/>
              <w:right w:val="single" w:color="auto" w:sz="4" w:space="0"/>
            </w:tcBorders>
            <w:noWrap w:val="0"/>
            <w:vAlign w:val="center"/>
          </w:tcPr>
          <w:p w14:paraId="1883C104">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sz w:val="24"/>
                <w:szCs w:val="24"/>
                <w:highlight w:val="none"/>
                <w:lang w:val="en-US"/>
              </w:rPr>
            </w:pPr>
            <w:r>
              <w:rPr>
                <w:rFonts w:hint="eastAsia" w:ascii="仿宋_GB2312" w:hAnsi="仿宋_GB2312" w:eastAsia="仿宋_GB2312" w:cs="仿宋_GB2312"/>
                <w:b/>
                <w:bCs/>
                <w:kern w:val="2"/>
                <w:sz w:val="24"/>
                <w:szCs w:val="24"/>
                <w:highlight w:val="none"/>
                <w:lang w:val="en-US" w:eastAsia="zh-CN" w:bidi="ar"/>
              </w:rPr>
              <w:t>服务内容</w:t>
            </w:r>
          </w:p>
        </w:tc>
        <w:tc>
          <w:tcPr>
            <w:tcW w:w="1113" w:type="pct"/>
            <w:tcBorders>
              <w:top w:val="single" w:color="auto" w:sz="4" w:space="0"/>
              <w:left w:val="single" w:color="auto" w:sz="4" w:space="0"/>
              <w:bottom w:val="single" w:color="auto" w:sz="4" w:space="0"/>
              <w:right w:val="single" w:color="auto" w:sz="4" w:space="0"/>
            </w:tcBorders>
            <w:noWrap w:val="0"/>
            <w:vAlign w:val="center"/>
          </w:tcPr>
          <w:p w14:paraId="1147A7E4">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sz w:val="24"/>
                <w:szCs w:val="24"/>
                <w:highlight w:val="none"/>
                <w:lang w:val="en-US"/>
              </w:rPr>
            </w:pPr>
            <w:r>
              <w:rPr>
                <w:rFonts w:hint="eastAsia" w:ascii="仿宋_GB2312" w:hAnsi="仿宋_GB2312" w:eastAsia="仿宋_GB2312" w:cs="仿宋_GB2312"/>
                <w:b/>
                <w:bCs/>
                <w:kern w:val="2"/>
                <w:sz w:val="24"/>
                <w:szCs w:val="24"/>
                <w:highlight w:val="none"/>
                <w:lang w:val="en-US" w:eastAsia="zh-CN" w:bidi="ar"/>
              </w:rPr>
              <w:t>分项名称</w:t>
            </w:r>
          </w:p>
        </w:tc>
        <w:tc>
          <w:tcPr>
            <w:tcW w:w="855" w:type="pct"/>
            <w:tcBorders>
              <w:top w:val="single" w:color="auto" w:sz="4" w:space="0"/>
              <w:left w:val="single" w:color="auto" w:sz="4" w:space="0"/>
              <w:bottom w:val="single" w:color="auto" w:sz="4" w:space="0"/>
              <w:right w:val="single" w:color="auto" w:sz="4" w:space="0"/>
            </w:tcBorders>
            <w:noWrap w:val="0"/>
            <w:vAlign w:val="center"/>
          </w:tcPr>
          <w:p w14:paraId="3D9A3656">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sz w:val="24"/>
                <w:szCs w:val="24"/>
                <w:highlight w:val="none"/>
                <w:lang w:val="en-US"/>
              </w:rPr>
            </w:pPr>
            <w:r>
              <w:rPr>
                <w:rFonts w:hint="eastAsia" w:ascii="仿宋_GB2312" w:hAnsi="仿宋_GB2312" w:eastAsia="仿宋_GB2312" w:cs="仿宋_GB2312"/>
                <w:b/>
                <w:bCs/>
                <w:kern w:val="2"/>
                <w:sz w:val="24"/>
                <w:szCs w:val="24"/>
                <w:highlight w:val="none"/>
                <w:lang w:val="en-US" w:eastAsia="zh-CN" w:bidi="ar"/>
              </w:rPr>
              <w:t>计量</w:t>
            </w:r>
          </w:p>
          <w:p w14:paraId="3B0A52AB">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sz w:val="24"/>
                <w:szCs w:val="24"/>
                <w:highlight w:val="none"/>
                <w:lang w:val="en-US"/>
              </w:rPr>
            </w:pPr>
            <w:r>
              <w:rPr>
                <w:rFonts w:hint="eastAsia" w:ascii="仿宋_GB2312" w:hAnsi="仿宋_GB2312" w:eastAsia="仿宋_GB2312" w:cs="仿宋_GB2312"/>
                <w:b/>
                <w:bCs/>
                <w:kern w:val="2"/>
                <w:sz w:val="24"/>
                <w:szCs w:val="24"/>
                <w:highlight w:val="none"/>
                <w:lang w:val="en-US" w:eastAsia="zh-CN" w:bidi="ar"/>
              </w:rPr>
              <w:t>单位</w:t>
            </w:r>
          </w:p>
        </w:tc>
        <w:tc>
          <w:tcPr>
            <w:tcW w:w="681" w:type="pct"/>
            <w:tcBorders>
              <w:top w:val="single" w:color="auto" w:sz="4" w:space="0"/>
              <w:left w:val="single" w:color="auto" w:sz="4" w:space="0"/>
              <w:bottom w:val="single" w:color="auto" w:sz="4" w:space="0"/>
              <w:right w:val="single" w:color="auto" w:sz="4" w:space="0"/>
            </w:tcBorders>
            <w:noWrap w:val="0"/>
            <w:vAlign w:val="center"/>
          </w:tcPr>
          <w:p w14:paraId="1AEBE372">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sz w:val="24"/>
                <w:szCs w:val="24"/>
                <w:highlight w:val="none"/>
                <w:lang w:val="en-US"/>
              </w:rPr>
            </w:pPr>
            <w:r>
              <w:rPr>
                <w:rFonts w:hint="eastAsia" w:ascii="仿宋_GB2312" w:hAnsi="仿宋_GB2312" w:eastAsia="仿宋_GB2312" w:cs="仿宋_GB2312"/>
                <w:b/>
                <w:bCs/>
                <w:kern w:val="2"/>
                <w:sz w:val="24"/>
                <w:szCs w:val="24"/>
                <w:highlight w:val="none"/>
                <w:lang w:val="en-US" w:eastAsia="zh-CN" w:bidi="ar"/>
              </w:rPr>
              <w:t>总量</w:t>
            </w:r>
          </w:p>
          <w:p w14:paraId="762A9B90">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sz w:val="24"/>
                <w:szCs w:val="24"/>
                <w:highlight w:val="none"/>
                <w:lang w:val="en-US"/>
              </w:rPr>
            </w:pPr>
            <w:r>
              <w:rPr>
                <w:rFonts w:hint="eastAsia" w:ascii="仿宋_GB2312" w:hAnsi="仿宋_GB2312" w:eastAsia="仿宋_GB2312" w:cs="仿宋_GB2312"/>
                <w:b/>
                <w:bCs/>
                <w:kern w:val="2"/>
                <w:sz w:val="24"/>
                <w:szCs w:val="24"/>
                <w:highlight w:val="none"/>
                <w:lang w:val="en-US" w:eastAsia="zh-CN" w:bidi="ar"/>
              </w:rPr>
              <w:t>需求</w:t>
            </w:r>
          </w:p>
        </w:tc>
        <w:tc>
          <w:tcPr>
            <w:tcW w:w="902" w:type="pct"/>
            <w:tcBorders>
              <w:top w:val="single" w:color="auto" w:sz="4" w:space="0"/>
              <w:left w:val="single" w:color="auto" w:sz="4" w:space="0"/>
              <w:bottom w:val="single" w:color="auto" w:sz="4" w:space="0"/>
              <w:right w:val="single" w:color="auto" w:sz="4" w:space="0"/>
            </w:tcBorders>
            <w:noWrap w:val="0"/>
            <w:vAlign w:val="center"/>
          </w:tcPr>
          <w:p w14:paraId="1E096E15">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kern w:val="2"/>
                <w:sz w:val="24"/>
                <w:szCs w:val="24"/>
                <w:highlight w:val="none"/>
                <w:lang w:val="en-US" w:eastAsia="zh-CN" w:bidi="ar"/>
              </w:rPr>
            </w:pPr>
            <w:r>
              <w:rPr>
                <w:rFonts w:hint="eastAsia" w:ascii="仿宋_GB2312" w:hAnsi="仿宋_GB2312" w:eastAsia="仿宋_GB2312" w:cs="仿宋_GB2312"/>
                <w:b/>
                <w:bCs/>
                <w:kern w:val="2"/>
                <w:sz w:val="24"/>
                <w:szCs w:val="24"/>
                <w:highlight w:val="none"/>
                <w:lang w:val="en-US" w:eastAsia="zh-CN" w:bidi="ar"/>
              </w:rPr>
              <w:t>备注</w:t>
            </w:r>
          </w:p>
        </w:tc>
      </w:tr>
      <w:tr w14:paraId="172F0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vMerge w:val="restart"/>
            <w:tcBorders>
              <w:top w:val="single" w:color="auto" w:sz="4" w:space="0"/>
              <w:left w:val="single" w:color="auto" w:sz="4" w:space="0"/>
              <w:right w:val="single" w:color="auto" w:sz="4" w:space="0"/>
            </w:tcBorders>
            <w:noWrap w:val="0"/>
            <w:vAlign w:val="center"/>
          </w:tcPr>
          <w:p w14:paraId="6D1E7E47">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none"/>
                <w:lang w:val="en-US"/>
              </w:rPr>
            </w:pPr>
            <w:bookmarkStart w:id="9" w:name="OLE_LINK6" w:colFirst="4" w:colLast="4"/>
            <w:r>
              <w:rPr>
                <w:rFonts w:hint="eastAsia" w:ascii="仿宋_GB2312" w:hAnsi="仿宋_GB2312" w:eastAsia="仿宋_GB2312" w:cs="仿宋_GB2312"/>
                <w:kern w:val="2"/>
                <w:sz w:val="24"/>
                <w:szCs w:val="24"/>
                <w:highlight w:val="none"/>
                <w:lang w:val="en-US" w:eastAsia="zh-CN" w:bidi="ar"/>
              </w:rPr>
              <w:t>1</w:t>
            </w:r>
          </w:p>
        </w:tc>
        <w:tc>
          <w:tcPr>
            <w:tcW w:w="824" w:type="pct"/>
            <w:vMerge w:val="restart"/>
            <w:tcBorders>
              <w:top w:val="single" w:color="auto" w:sz="4" w:space="0"/>
              <w:left w:val="single" w:color="auto" w:sz="4" w:space="0"/>
              <w:right w:val="single" w:color="auto" w:sz="4" w:space="0"/>
            </w:tcBorders>
            <w:noWrap w:val="0"/>
            <w:vAlign w:val="center"/>
          </w:tcPr>
          <w:p w14:paraId="16C8A826">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none"/>
                <w:lang w:val="en-US"/>
              </w:rPr>
            </w:pPr>
            <w:r>
              <w:rPr>
                <w:rFonts w:hint="eastAsia" w:ascii="仿宋_GB2312" w:hAnsi="仿宋_GB2312" w:eastAsia="仿宋_GB2312" w:cs="仿宋_GB2312"/>
                <w:kern w:val="2"/>
                <w:sz w:val="24"/>
                <w:szCs w:val="24"/>
                <w:highlight w:val="none"/>
                <w:lang w:val="en-US" w:eastAsia="zh-CN" w:bidi="ar"/>
              </w:rPr>
              <w:t>市内用车</w:t>
            </w:r>
          </w:p>
        </w:tc>
        <w:tc>
          <w:tcPr>
            <w:tcW w:w="1113" w:type="pct"/>
            <w:tcBorders>
              <w:top w:val="single" w:color="auto" w:sz="4" w:space="0"/>
              <w:left w:val="single" w:color="auto" w:sz="4" w:space="0"/>
              <w:bottom w:val="single" w:color="auto" w:sz="4" w:space="0"/>
              <w:right w:val="single" w:color="auto" w:sz="4" w:space="0"/>
            </w:tcBorders>
            <w:noWrap w:val="0"/>
            <w:vAlign w:val="top"/>
          </w:tcPr>
          <w:p w14:paraId="701E457E">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highlight w:val="none"/>
                <w:lang w:val="en-US"/>
              </w:rPr>
            </w:pPr>
            <w:r>
              <w:rPr>
                <w:rFonts w:hint="eastAsia" w:ascii="仿宋_GB2312" w:hAnsi="仿宋_GB2312" w:eastAsia="仿宋_GB2312" w:cs="仿宋_GB2312"/>
                <w:kern w:val="2"/>
                <w:sz w:val="24"/>
                <w:szCs w:val="24"/>
                <w:highlight w:val="none"/>
                <w:lang w:val="en-US" w:eastAsia="zh-CN" w:bidi="ar"/>
              </w:rPr>
              <w:t>大巴（50座）</w:t>
            </w:r>
          </w:p>
        </w:tc>
        <w:tc>
          <w:tcPr>
            <w:tcW w:w="855" w:type="pct"/>
            <w:tcBorders>
              <w:top w:val="single" w:color="auto" w:sz="4" w:space="0"/>
              <w:left w:val="single" w:color="auto" w:sz="4" w:space="0"/>
              <w:bottom w:val="single" w:color="auto" w:sz="4" w:space="0"/>
              <w:right w:val="single" w:color="auto" w:sz="4" w:space="0"/>
            </w:tcBorders>
            <w:noWrap w:val="0"/>
            <w:vAlign w:val="top"/>
          </w:tcPr>
          <w:p w14:paraId="174B9720">
            <w:pPr>
              <w:keepNext w:val="0"/>
              <w:keepLines w:val="0"/>
              <w:widowControl w:val="0"/>
              <w:suppressLineNumbers w:val="0"/>
              <w:spacing w:before="0" w:beforeAutospacing="0" w:after="0" w:afterAutospacing="0"/>
              <w:ind w:left="0" w:right="0"/>
              <w:jc w:val="center"/>
              <w:rPr>
                <w:rFonts w:hint="default" w:ascii="仿宋_GB2312" w:hAnsi="仿宋_GB2312" w:eastAsia="仿宋_GB2312" w:cs="仿宋_GB2312"/>
                <w:sz w:val="24"/>
                <w:szCs w:val="24"/>
                <w:highlight w:val="none"/>
                <w:lang w:val="en-US"/>
              </w:rPr>
            </w:pPr>
            <w:r>
              <w:rPr>
                <w:rFonts w:hint="eastAsia" w:ascii="仿宋_GB2312" w:hAnsi="仿宋_GB2312" w:eastAsia="仿宋_GB2312" w:cs="仿宋_GB2312"/>
                <w:kern w:val="2"/>
                <w:sz w:val="24"/>
                <w:szCs w:val="24"/>
                <w:highlight w:val="none"/>
                <w:lang w:val="en-US" w:eastAsia="zh-CN" w:bidi="ar"/>
              </w:rPr>
              <w:t>辆/班次</w:t>
            </w:r>
          </w:p>
        </w:tc>
        <w:tc>
          <w:tcPr>
            <w:tcW w:w="681" w:type="pct"/>
            <w:tcBorders>
              <w:top w:val="single" w:color="auto" w:sz="4" w:space="0"/>
              <w:left w:val="single" w:color="auto" w:sz="4" w:space="0"/>
              <w:bottom w:val="single" w:color="auto" w:sz="4" w:space="0"/>
              <w:right w:val="single" w:color="auto" w:sz="4" w:space="0"/>
            </w:tcBorders>
            <w:noWrap w:val="0"/>
            <w:vAlign w:val="center"/>
          </w:tcPr>
          <w:p w14:paraId="1A9004CB">
            <w:pPr>
              <w:keepNext w:val="0"/>
              <w:keepLines w:val="0"/>
              <w:widowControl w:val="0"/>
              <w:suppressLineNumbers w:val="0"/>
              <w:spacing w:before="0" w:beforeAutospacing="0" w:after="0" w:afterAutospacing="0"/>
              <w:ind w:left="0" w:right="0"/>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48</w:t>
            </w:r>
          </w:p>
        </w:tc>
        <w:tc>
          <w:tcPr>
            <w:tcW w:w="902" w:type="pct"/>
            <w:vMerge w:val="restart"/>
            <w:tcBorders>
              <w:top w:val="single" w:color="auto" w:sz="4" w:space="0"/>
              <w:left w:val="single" w:color="auto" w:sz="4" w:space="0"/>
              <w:right w:val="single" w:color="auto" w:sz="4" w:space="0"/>
            </w:tcBorders>
            <w:noWrap w:val="0"/>
            <w:vAlign w:val="center"/>
          </w:tcPr>
          <w:p w14:paraId="671BEA40">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4"/>
                <w:szCs w:val="24"/>
                <w:highlight w:val="none"/>
                <w:lang w:val="en-US" w:eastAsia="zh-CN" w:bidi="ar"/>
              </w:rPr>
            </w:pPr>
            <w:r>
              <w:rPr>
                <w:rFonts w:hint="eastAsia" w:ascii="仿宋_GB2312" w:hAnsi="仿宋_GB2312" w:eastAsia="仿宋_GB2312" w:cs="仿宋_GB2312"/>
                <w:kern w:val="2"/>
                <w:sz w:val="24"/>
                <w:szCs w:val="24"/>
                <w:highlight w:val="none"/>
                <w:lang w:val="en-US" w:eastAsia="zh-CN" w:bidi="ar"/>
              </w:rPr>
              <w:t>含司机</w:t>
            </w:r>
          </w:p>
          <w:p w14:paraId="2019111F">
            <w:pPr>
              <w:pStyle w:val="2"/>
              <w:keepNext w:val="0"/>
              <w:keepLines w:val="0"/>
              <w:suppressLineNumbers w:val="0"/>
              <w:spacing w:before="0" w:beforeAutospacing="0" w:after="0" w:afterAutospacing="0"/>
              <w:ind w:right="0"/>
              <w:rPr>
                <w:rFonts w:hint="eastAsia"/>
                <w:lang w:val="en-US" w:eastAsia="zh-CN"/>
              </w:rPr>
            </w:pPr>
            <w:r>
              <w:rPr>
                <w:rFonts w:hint="eastAsia" w:ascii="仿宋_GB2312" w:hAnsi="仿宋_GB2312" w:eastAsia="仿宋_GB2312" w:cs="仿宋_GB2312"/>
                <w:kern w:val="2"/>
                <w:sz w:val="24"/>
                <w:szCs w:val="24"/>
                <w:highlight w:val="none"/>
                <w:lang w:val="en-US" w:eastAsia="zh-CN" w:bidi="ar"/>
              </w:rPr>
              <w:t>（8小时为一班次）</w:t>
            </w:r>
          </w:p>
        </w:tc>
      </w:tr>
      <w:tr w14:paraId="50350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vMerge w:val="continue"/>
            <w:tcBorders>
              <w:left w:val="single" w:color="auto" w:sz="4" w:space="0"/>
              <w:right w:val="single" w:color="auto" w:sz="4" w:space="0"/>
            </w:tcBorders>
            <w:noWrap w:val="0"/>
            <w:vAlign w:val="center"/>
          </w:tcPr>
          <w:p w14:paraId="45AA69F6">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4"/>
                <w:szCs w:val="24"/>
                <w:highlight w:val="yellow"/>
                <w:lang w:val="en-US" w:eastAsia="zh-CN" w:bidi="ar"/>
              </w:rPr>
            </w:pPr>
          </w:p>
        </w:tc>
        <w:tc>
          <w:tcPr>
            <w:tcW w:w="824" w:type="pct"/>
            <w:vMerge w:val="continue"/>
            <w:tcBorders>
              <w:left w:val="single" w:color="auto" w:sz="4" w:space="0"/>
              <w:right w:val="single" w:color="auto" w:sz="4" w:space="0"/>
            </w:tcBorders>
            <w:noWrap w:val="0"/>
            <w:vAlign w:val="center"/>
          </w:tcPr>
          <w:p w14:paraId="2CD7CC10">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4"/>
                <w:szCs w:val="24"/>
                <w:highlight w:val="yellow"/>
                <w:lang w:val="en-US" w:eastAsia="zh-CN" w:bidi="ar"/>
              </w:rPr>
            </w:pPr>
          </w:p>
        </w:tc>
        <w:tc>
          <w:tcPr>
            <w:tcW w:w="111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A8E8A71">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kern w:val="2"/>
                <w:sz w:val="24"/>
                <w:szCs w:val="24"/>
                <w:highlight w:val="none"/>
                <w:lang w:val="en-US" w:eastAsia="zh-CN" w:bidi="ar"/>
              </w:rPr>
            </w:pPr>
            <w:r>
              <w:rPr>
                <w:rFonts w:hint="eastAsia" w:ascii="仿宋_GB2312" w:hAnsi="仿宋_GB2312" w:eastAsia="仿宋_GB2312" w:cs="仿宋_GB2312"/>
                <w:kern w:val="2"/>
                <w:sz w:val="24"/>
                <w:szCs w:val="24"/>
                <w:highlight w:val="none"/>
                <w:lang w:val="en-US" w:eastAsia="zh-CN" w:bidi="ar"/>
              </w:rPr>
              <w:t>中巴（38座）</w:t>
            </w:r>
          </w:p>
        </w:tc>
        <w:tc>
          <w:tcPr>
            <w:tcW w:w="855"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6A2FD05D">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4"/>
                <w:szCs w:val="24"/>
                <w:highlight w:val="none"/>
                <w:lang w:val="en-US" w:eastAsia="zh-CN" w:bidi="ar"/>
              </w:rPr>
            </w:pPr>
            <w:r>
              <w:rPr>
                <w:rFonts w:hint="eastAsia" w:ascii="仿宋_GB2312" w:hAnsi="仿宋_GB2312" w:eastAsia="仿宋_GB2312" w:cs="仿宋_GB2312"/>
                <w:kern w:val="2"/>
                <w:sz w:val="24"/>
                <w:szCs w:val="24"/>
                <w:highlight w:val="none"/>
                <w:lang w:val="en-US" w:eastAsia="zh-CN" w:bidi="ar"/>
              </w:rPr>
              <w:t>辆/班次</w:t>
            </w:r>
          </w:p>
        </w:tc>
        <w:tc>
          <w:tcPr>
            <w:tcW w:w="68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86441FC">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2</w:t>
            </w:r>
          </w:p>
        </w:tc>
        <w:tc>
          <w:tcPr>
            <w:tcW w:w="902" w:type="pct"/>
            <w:vMerge w:val="continue"/>
            <w:tcBorders>
              <w:left w:val="single" w:color="auto" w:sz="4" w:space="0"/>
              <w:right w:val="single" w:color="auto" w:sz="4" w:space="0"/>
            </w:tcBorders>
            <w:noWrap w:val="0"/>
            <w:vAlign w:val="center"/>
          </w:tcPr>
          <w:p w14:paraId="40CEF452">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yellow"/>
                <w:lang w:val="en-US" w:eastAsia="zh-CN"/>
              </w:rPr>
            </w:pPr>
          </w:p>
        </w:tc>
      </w:tr>
      <w:tr w14:paraId="6B24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vMerge w:val="continue"/>
            <w:tcBorders>
              <w:left w:val="single" w:color="auto" w:sz="4" w:space="0"/>
              <w:right w:val="single" w:color="auto" w:sz="4" w:space="0"/>
            </w:tcBorders>
            <w:noWrap w:val="0"/>
            <w:vAlign w:val="center"/>
          </w:tcPr>
          <w:p w14:paraId="55627B0A">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4"/>
                <w:szCs w:val="24"/>
                <w:highlight w:val="yellow"/>
                <w:lang w:val="en-US" w:eastAsia="zh-CN" w:bidi="ar"/>
              </w:rPr>
            </w:pPr>
          </w:p>
        </w:tc>
        <w:tc>
          <w:tcPr>
            <w:tcW w:w="824" w:type="pct"/>
            <w:vMerge w:val="continue"/>
            <w:tcBorders>
              <w:left w:val="single" w:color="auto" w:sz="4" w:space="0"/>
              <w:right w:val="single" w:color="auto" w:sz="4" w:space="0"/>
            </w:tcBorders>
            <w:noWrap w:val="0"/>
            <w:vAlign w:val="center"/>
          </w:tcPr>
          <w:p w14:paraId="6DC4761D">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4"/>
                <w:szCs w:val="24"/>
                <w:highlight w:val="yellow"/>
                <w:lang w:val="en-US" w:eastAsia="zh-CN" w:bidi="ar"/>
              </w:rPr>
            </w:pPr>
          </w:p>
        </w:tc>
        <w:tc>
          <w:tcPr>
            <w:tcW w:w="1113" w:type="pct"/>
            <w:tcBorders>
              <w:top w:val="single" w:color="auto" w:sz="4" w:space="0"/>
              <w:left w:val="single" w:color="auto" w:sz="4" w:space="0"/>
              <w:bottom w:val="single" w:color="auto" w:sz="4" w:space="0"/>
              <w:right w:val="single" w:color="auto" w:sz="4" w:space="0"/>
            </w:tcBorders>
            <w:noWrap w:val="0"/>
            <w:vAlign w:val="top"/>
          </w:tcPr>
          <w:p w14:paraId="25DFABCA">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24"/>
                <w:szCs w:val="24"/>
                <w:highlight w:val="none"/>
                <w:lang w:val="en-US" w:eastAsia="zh-CN" w:bidi="ar"/>
              </w:rPr>
            </w:pPr>
            <w:r>
              <w:rPr>
                <w:rFonts w:hint="eastAsia" w:ascii="仿宋_GB2312" w:hAnsi="仿宋_GB2312" w:eastAsia="仿宋_GB2312" w:cs="仿宋_GB2312"/>
                <w:kern w:val="2"/>
                <w:sz w:val="24"/>
                <w:szCs w:val="24"/>
                <w:highlight w:val="none"/>
                <w:lang w:val="en-US" w:eastAsia="zh-CN" w:bidi="ar"/>
              </w:rPr>
              <w:t>小巴（19座）</w:t>
            </w:r>
          </w:p>
        </w:tc>
        <w:tc>
          <w:tcPr>
            <w:tcW w:w="855" w:type="pct"/>
            <w:tcBorders>
              <w:top w:val="single" w:color="auto" w:sz="4" w:space="0"/>
              <w:left w:val="single" w:color="auto" w:sz="4" w:space="0"/>
              <w:bottom w:val="single" w:color="auto" w:sz="4" w:space="0"/>
              <w:right w:val="single" w:color="auto" w:sz="4" w:space="0"/>
            </w:tcBorders>
            <w:noWrap w:val="0"/>
            <w:vAlign w:val="top"/>
          </w:tcPr>
          <w:p w14:paraId="580D0E95">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4"/>
                <w:szCs w:val="24"/>
                <w:highlight w:val="none"/>
                <w:lang w:eastAsia="zh-CN" w:bidi="ar"/>
              </w:rPr>
            </w:pPr>
            <w:r>
              <w:rPr>
                <w:rFonts w:hint="eastAsia" w:ascii="仿宋_GB2312" w:hAnsi="仿宋_GB2312" w:eastAsia="仿宋_GB2312" w:cs="仿宋_GB2312"/>
                <w:kern w:val="2"/>
                <w:sz w:val="24"/>
                <w:szCs w:val="24"/>
                <w:highlight w:val="none"/>
                <w:lang w:val="en-US" w:eastAsia="zh-CN" w:bidi="ar"/>
              </w:rPr>
              <w:t>辆/班次</w:t>
            </w:r>
          </w:p>
        </w:tc>
        <w:tc>
          <w:tcPr>
            <w:tcW w:w="681" w:type="pct"/>
            <w:tcBorders>
              <w:top w:val="single" w:color="auto" w:sz="4" w:space="0"/>
              <w:left w:val="single" w:color="auto" w:sz="4" w:space="0"/>
              <w:bottom w:val="single" w:color="auto" w:sz="4" w:space="0"/>
              <w:right w:val="single" w:color="auto" w:sz="4" w:space="0"/>
            </w:tcBorders>
            <w:noWrap w:val="0"/>
            <w:vAlign w:val="center"/>
          </w:tcPr>
          <w:p w14:paraId="11628080">
            <w:pPr>
              <w:keepNext w:val="0"/>
              <w:keepLines w:val="0"/>
              <w:widowControl w:val="0"/>
              <w:suppressLineNumbers w:val="0"/>
              <w:spacing w:before="0" w:beforeAutospacing="0" w:after="0" w:afterAutospacing="0"/>
              <w:ind w:left="0" w:right="0"/>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28</w:t>
            </w:r>
          </w:p>
        </w:tc>
        <w:tc>
          <w:tcPr>
            <w:tcW w:w="902" w:type="pct"/>
            <w:vMerge w:val="continue"/>
            <w:tcBorders>
              <w:left w:val="single" w:color="auto" w:sz="4" w:space="0"/>
              <w:right w:val="single" w:color="auto" w:sz="4" w:space="0"/>
            </w:tcBorders>
            <w:noWrap w:val="0"/>
            <w:vAlign w:val="center"/>
          </w:tcPr>
          <w:p w14:paraId="4B7FC06D">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yellow"/>
                <w:lang w:val="en-US" w:eastAsia="zh-CN"/>
              </w:rPr>
            </w:pPr>
          </w:p>
        </w:tc>
      </w:tr>
      <w:tr w14:paraId="3087F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2" w:type="pct"/>
            <w:vMerge w:val="continue"/>
            <w:tcBorders>
              <w:left w:val="single" w:color="auto" w:sz="4" w:space="0"/>
              <w:bottom w:val="single" w:color="auto" w:sz="4" w:space="0"/>
              <w:right w:val="single" w:color="auto" w:sz="4" w:space="0"/>
            </w:tcBorders>
            <w:noWrap w:val="0"/>
            <w:vAlign w:val="center"/>
          </w:tcPr>
          <w:p w14:paraId="258ED790">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highlight w:val="yellow"/>
              </w:rPr>
            </w:pPr>
          </w:p>
        </w:tc>
        <w:tc>
          <w:tcPr>
            <w:tcW w:w="824" w:type="pct"/>
            <w:vMerge w:val="continue"/>
            <w:tcBorders>
              <w:left w:val="single" w:color="auto" w:sz="4" w:space="0"/>
              <w:bottom w:val="single" w:color="auto" w:sz="4" w:space="0"/>
              <w:right w:val="single" w:color="auto" w:sz="4" w:space="0"/>
            </w:tcBorders>
            <w:noWrap w:val="0"/>
            <w:vAlign w:val="center"/>
          </w:tcPr>
          <w:p w14:paraId="290FE72A">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highlight w:val="yellow"/>
              </w:rPr>
            </w:pPr>
          </w:p>
        </w:tc>
        <w:tc>
          <w:tcPr>
            <w:tcW w:w="1113" w:type="pct"/>
            <w:tcBorders>
              <w:top w:val="single" w:color="auto" w:sz="4" w:space="0"/>
              <w:left w:val="single" w:color="auto" w:sz="4" w:space="0"/>
              <w:bottom w:val="single" w:color="auto" w:sz="4" w:space="0"/>
              <w:right w:val="single" w:color="auto" w:sz="4" w:space="0"/>
            </w:tcBorders>
            <w:noWrap w:val="0"/>
            <w:vAlign w:val="top"/>
          </w:tcPr>
          <w:p w14:paraId="5E056269">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
              </w:rPr>
              <w:t>商务车（7座）</w:t>
            </w:r>
          </w:p>
        </w:tc>
        <w:tc>
          <w:tcPr>
            <w:tcW w:w="855" w:type="pct"/>
            <w:tcBorders>
              <w:top w:val="single" w:color="auto" w:sz="4" w:space="0"/>
              <w:left w:val="single" w:color="auto" w:sz="4" w:space="0"/>
              <w:bottom w:val="single" w:color="auto" w:sz="4" w:space="0"/>
              <w:right w:val="single" w:color="auto" w:sz="4" w:space="0"/>
            </w:tcBorders>
            <w:noWrap w:val="0"/>
            <w:vAlign w:val="top"/>
          </w:tcPr>
          <w:p w14:paraId="15A436BE">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
              </w:rPr>
              <w:t>辆/班次</w:t>
            </w:r>
          </w:p>
        </w:tc>
        <w:tc>
          <w:tcPr>
            <w:tcW w:w="681" w:type="pct"/>
            <w:tcBorders>
              <w:top w:val="single" w:color="auto" w:sz="4" w:space="0"/>
              <w:left w:val="single" w:color="auto" w:sz="4" w:space="0"/>
              <w:bottom w:val="single" w:color="auto" w:sz="4" w:space="0"/>
              <w:right w:val="single" w:color="auto" w:sz="4" w:space="0"/>
            </w:tcBorders>
            <w:noWrap w:val="0"/>
            <w:vAlign w:val="center"/>
          </w:tcPr>
          <w:p w14:paraId="5B6C3EDE">
            <w:pPr>
              <w:keepNext w:val="0"/>
              <w:keepLines w:val="0"/>
              <w:widowControl w:val="0"/>
              <w:suppressLineNumbers w:val="0"/>
              <w:spacing w:before="0" w:beforeAutospacing="0" w:after="0" w:afterAutospacing="0"/>
              <w:ind w:left="0" w:leftChars="0" w:right="0" w:rightChars="0"/>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30</w:t>
            </w:r>
          </w:p>
        </w:tc>
        <w:tc>
          <w:tcPr>
            <w:tcW w:w="902" w:type="pct"/>
            <w:vMerge w:val="continue"/>
            <w:tcBorders>
              <w:left w:val="single" w:color="auto" w:sz="4" w:space="0"/>
              <w:bottom w:val="single" w:color="auto" w:sz="4" w:space="0"/>
              <w:right w:val="single" w:color="auto" w:sz="4" w:space="0"/>
            </w:tcBorders>
            <w:noWrap w:val="0"/>
            <w:vAlign w:val="center"/>
          </w:tcPr>
          <w:p w14:paraId="1FF7A18F">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yellow"/>
                <w:lang w:val="en-US" w:eastAsia="zh-CN"/>
              </w:rPr>
            </w:pPr>
          </w:p>
        </w:tc>
      </w:tr>
      <w:bookmarkEnd w:id="9"/>
    </w:tbl>
    <w:p w14:paraId="7B82117F">
      <w:pPr>
        <w:pStyle w:val="2"/>
        <w:ind w:left="559" w:leftChars="266" w:firstLine="0" w:firstLineChars="0"/>
        <w:rPr>
          <w:rFonts w:hint="eastAsia" w:ascii="黑体" w:hAnsi="黑体" w:eastAsia="黑体" w:cs="黑体"/>
          <w:sz w:val="28"/>
          <w:szCs w:val="28"/>
          <w:highlight w:val="yellow"/>
          <w:lang w:val="en-US" w:eastAsia="zh-CN"/>
        </w:rPr>
      </w:pPr>
    </w:p>
    <w:p w14:paraId="3A61024E">
      <w:pPr>
        <w:pStyle w:val="2"/>
        <w:ind w:left="559" w:leftChars="266" w:firstLine="0" w:firstLineChars="0"/>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三、服务要求</w:t>
      </w:r>
    </w:p>
    <w:p w14:paraId="1CB508FE">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1.报价人需确保所提供的交通服务在交付、运行、维护和保障等环节中，充分满足赛事交通服务需求，并根据采购人相关要求，自行筹措提供服务所需车辆、人员、设备、物资耗材、后勤保障等关键要素。</w:t>
      </w:r>
    </w:p>
    <w:p w14:paraId="3C6BC225">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2.报价人所提供的服务车辆和人员须符合《城市公共汽车和电车客运管理规定》《道路运输管理条例》《旅客运输管理规定》等国家法律法规及地方标准的有关规定。当服务车辆和人员因故不能继续提供服务时，报价人须提供相同条件的替换。</w:t>
      </w:r>
    </w:p>
    <w:p w14:paraId="1BFC1AEC">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bidi="ar"/>
        </w:rPr>
        <w:t>3.报价人所提供服务的驾驶员须具备国家相关法律法规所规定的驾驶资质和从业资格，并根据交通运行计划和赛事实际运行情况，合理安排人员岗位排班。</w:t>
      </w:r>
    </w:p>
    <w:p w14:paraId="502AF5C8">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_GB2312" w:hAnsi="仿宋_GB2312" w:eastAsia="仿宋_GB2312" w:cs="仿宋_GB2312"/>
          <w:color w:val="000000"/>
          <w:kern w:val="2"/>
          <w:sz w:val="24"/>
          <w:szCs w:val="24"/>
          <w:highlight w:val="none"/>
        </w:rPr>
      </w:pPr>
      <w:r>
        <w:rPr>
          <w:rFonts w:hint="eastAsia" w:ascii="仿宋_GB2312" w:hAnsi="仿宋_GB2312" w:eastAsia="仿宋_GB2312" w:cs="仿宋_GB2312"/>
          <w:color w:val="000000"/>
          <w:kern w:val="2"/>
          <w:sz w:val="24"/>
          <w:szCs w:val="24"/>
          <w:highlight w:val="none"/>
          <w:lang w:val="en-US" w:eastAsia="zh-CN"/>
        </w:rPr>
        <w:t>4.</w:t>
      </w:r>
      <w:r>
        <w:rPr>
          <w:rFonts w:hint="eastAsia" w:ascii="仿宋_GB2312" w:hAnsi="仿宋_GB2312" w:eastAsia="仿宋_GB2312" w:cs="仿宋_GB2312"/>
          <w:color w:val="000000"/>
          <w:kern w:val="2"/>
          <w:sz w:val="24"/>
          <w:szCs w:val="24"/>
          <w:highlight w:val="none"/>
          <w:lang w:val="en-US" w:eastAsia="zh-CN" w:bidi="ar"/>
        </w:rPr>
        <w:t>报价人需在采购人指定的交通场站、停车场及指定区域进行车辆的停驻、管理和运维。赛事服务车辆需按照</w:t>
      </w:r>
      <w:r>
        <w:rPr>
          <w:rFonts w:hint="eastAsia" w:ascii="仿宋_GB2312" w:hAnsi="仿宋_GB2312" w:eastAsia="仿宋_GB2312" w:cs="仿宋_GB2312"/>
          <w:color w:val="000000"/>
          <w:kern w:val="2"/>
          <w:sz w:val="24"/>
          <w:szCs w:val="24"/>
          <w:highlight w:val="none"/>
          <w:lang w:eastAsia="zh-CN" w:bidi="ar"/>
        </w:rPr>
        <w:t>相关</w:t>
      </w:r>
      <w:r>
        <w:rPr>
          <w:rFonts w:hint="eastAsia" w:ascii="仿宋_GB2312" w:hAnsi="仿宋_GB2312" w:eastAsia="仿宋_GB2312" w:cs="仿宋_GB2312"/>
          <w:color w:val="000000"/>
          <w:kern w:val="2"/>
          <w:sz w:val="24"/>
          <w:szCs w:val="24"/>
          <w:highlight w:val="none"/>
          <w:lang w:val="en-US" w:eastAsia="zh-CN" w:bidi="ar"/>
        </w:rPr>
        <w:t>规定的行驶范围、线路、上落客站运行，并按照采购人和主办城市公安交管部门要求，根据交通实际情况适时调整。</w:t>
      </w:r>
    </w:p>
    <w:p w14:paraId="46B480A8">
      <w:pPr>
        <w:keepNext w:val="0"/>
        <w:keepLines w:val="0"/>
        <w:widowControl w:val="0"/>
        <w:suppressLineNumbers w:val="0"/>
        <w:spacing w:before="0" w:beforeAutospacing="0" w:after="0" w:afterAutospacing="0" w:line="400" w:lineRule="exact"/>
        <w:ind w:left="0" w:right="0" w:firstLine="480" w:firstLineChars="200"/>
        <w:jc w:val="both"/>
        <w:rPr>
          <w:rFonts w:hint="eastAsia" w:ascii="仿宋_GB2312" w:hAnsi="仿宋_GB2312" w:eastAsia="仿宋_GB2312" w:cs="仿宋_GB2312"/>
          <w:color w:val="000000"/>
          <w:kern w:val="2"/>
          <w:sz w:val="24"/>
          <w:szCs w:val="24"/>
          <w:highlight w:val="none"/>
          <w:lang w:val="en-US" w:eastAsia="zh-CN" w:bidi="ar"/>
        </w:rPr>
      </w:pPr>
      <w:r>
        <w:rPr>
          <w:rFonts w:hint="eastAsia" w:ascii="仿宋_GB2312" w:hAnsi="仿宋_GB2312" w:eastAsia="仿宋_GB2312" w:cs="仿宋_GB2312"/>
          <w:color w:val="000000"/>
          <w:kern w:val="2"/>
          <w:sz w:val="24"/>
          <w:szCs w:val="24"/>
          <w:highlight w:val="none"/>
          <w:lang w:val="en-US" w:eastAsia="zh-CN" w:bidi="ar"/>
        </w:rPr>
        <w:t>5.故障车辆维修过程中，报价人需提供同类型档次的替换车辆，确保交通运力充足（不含赞助商提供服务车辆的维修和保养）。</w:t>
      </w:r>
    </w:p>
    <w:p w14:paraId="6FF38755">
      <w:pPr>
        <w:pStyle w:val="2"/>
        <w:ind w:left="559" w:leftChars="266" w:firstLine="0" w:firstLineChars="0"/>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四、团队组建需求</w:t>
      </w:r>
    </w:p>
    <w:p w14:paraId="3BDA734D">
      <w:pPr>
        <w:widowControl/>
        <w:spacing w:line="400" w:lineRule="exact"/>
        <w:ind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1.人员配备</w:t>
      </w:r>
    </w:p>
    <w:p w14:paraId="6EE710C2">
      <w:pPr>
        <w:widowControl/>
        <w:spacing w:line="400" w:lineRule="exact"/>
        <w:ind w:firstLine="480" w:firstLineChars="200"/>
        <w:jc w:val="left"/>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服务商须根据项目需求组建项目管理团队，设立项目总负责人1人</w:t>
      </w:r>
      <w:r>
        <w:rPr>
          <w:rFonts w:hint="eastAsia" w:ascii="仿宋_GB2312" w:hAnsi="仿宋_GB2312" w:eastAsia="仿宋_GB2312" w:cs="仿宋_GB2312"/>
          <w:color w:val="000000"/>
          <w:sz w:val="24"/>
          <w:szCs w:val="24"/>
          <w:highlight w:val="none"/>
          <w:lang w:val="en-US" w:eastAsia="zh-CN"/>
        </w:rPr>
        <w:t>及至少3名车辆协调人员，</w:t>
      </w:r>
      <w:r>
        <w:rPr>
          <w:rFonts w:hint="eastAsia" w:ascii="仿宋_GB2312" w:hAnsi="仿宋_GB2312" w:eastAsia="仿宋_GB2312" w:cs="仿宋_GB2312"/>
          <w:color w:val="000000"/>
          <w:sz w:val="24"/>
          <w:szCs w:val="24"/>
          <w:highlight w:val="none"/>
        </w:rPr>
        <w:t>负责项目执行、指挥协调、技术支持等工作</w:t>
      </w:r>
      <w:r>
        <w:rPr>
          <w:rFonts w:hint="eastAsia" w:ascii="仿宋_GB2312" w:hAnsi="仿宋_GB2312" w:eastAsia="仿宋_GB2312" w:cs="仿宋_GB2312"/>
          <w:color w:val="000000"/>
          <w:sz w:val="24"/>
          <w:szCs w:val="24"/>
          <w:highlight w:val="none"/>
          <w:lang w:eastAsia="zh-CN"/>
        </w:rPr>
        <w:t>，</w:t>
      </w:r>
      <w:r>
        <w:rPr>
          <w:rFonts w:hint="eastAsia" w:ascii="仿宋_GB2312" w:hAnsi="仿宋_GB2312" w:eastAsia="仿宋_GB2312" w:cs="仿宋_GB2312"/>
          <w:color w:val="000000"/>
          <w:sz w:val="24"/>
          <w:szCs w:val="24"/>
          <w:highlight w:val="none"/>
          <w:lang w:val="en-US" w:eastAsia="zh-CN"/>
        </w:rPr>
        <w:t>协调人员需在机场确保接送人员没有遗漏，安全登车</w:t>
      </w:r>
      <w:r>
        <w:rPr>
          <w:rFonts w:hint="eastAsia" w:ascii="仿宋_GB2312" w:hAnsi="仿宋_GB2312" w:eastAsia="仿宋_GB2312" w:cs="仿宋_GB2312"/>
          <w:color w:val="000000"/>
          <w:sz w:val="24"/>
          <w:szCs w:val="24"/>
          <w:highlight w:val="none"/>
        </w:rPr>
        <w:t>。</w:t>
      </w:r>
    </w:p>
    <w:p w14:paraId="56C2DD97">
      <w:pPr>
        <w:widowControl/>
        <w:spacing w:line="400" w:lineRule="exact"/>
        <w:ind w:firstLine="480" w:firstLineChars="200"/>
        <w:jc w:val="left"/>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rPr>
        <w:t>投入本项目负责人</w:t>
      </w:r>
      <w:r>
        <w:rPr>
          <w:rFonts w:hint="eastAsia" w:ascii="仿宋_GB2312" w:hAnsi="仿宋_GB2312" w:eastAsia="仿宋_GB2312" w:cs="仿宋_GB2312"/>
          <w:color w:val="000000"/>
          <w:sz w:val="24"/>
          <w:szCs w:val="24"/>
          <w:highlight w:val="none"/>
          <w:lang w:val="en-US" w:eastAsia="zh-CN"/>
        </w:rPr>
        <w:t>及车辆协调人员需从事</w:t>
      </w:r>
      <w:r>
        <w:rPr>
          <w:rFonts w:hint="eastAsia" w:ascii="仿宋_GB2312" w:hAnsi="仿宋_GB2312" w:eastAsia="仿宋_GB2312" w:cs="仿宋_GB2312"/>
          <w:color w:val="000000"/>
          <w:sz w:val="24"/>
          <w:szCs w:val="24"/>
          <w:highlight w:val="none"/>
        </w:rPr>
        <w:t>过国际级或国家级大型会议、活动、</w:t>
      </w:r>
      <w:r>
        <w:rPr>
          <w:rFonts w:hint="eastAsia" w:ascii="仿宋_GB2312" w:hAnsi="仿宋_GB2312" w:eastAsia="仿宋_GB2312" w:cs="仿宋_GB2312"/>
          <w:color w:val="000000"/>
          <w:sz w:val="24"/>
          <w:szCs w:val="24"/>
          <w:highlight w:val="none"/>
          <w:lang w:val="en-US" w:eastAsia="zh-CN"/>
        </w:rPr>
        <w:t>体育</w:t>
      </w:r>
      <w:r>
        <w:rPr>
          <w:rFonts w:hint="eastAsia" w:ascii="仿宋_GB2312" w:hAnsi="仿宋_GB2312" w:eastAsia="仿宋_GB2312" w:cs="仿宋_GB2312"/>
          <w:color w:val="000000"/>
          <w:sz w:val="24"/>
          <w:szCs w:val="24"/>
          <w:highlight w:val="none"/>
        </w:rPr>
        <w:t>赛事等的车辆租赁运输保障服务</w:t>
      </w:r>
      <w:r>
        <w:rPr>
          <w:rFonts w:hint="eastAsia" w:ascii="仿宋_GB2312" w:hAnsi="仿宋_GB2312" w:eastAsia="仿宋_GB2312" w:cs="仿宋_GB2312"/>
          <w:color w:val="000000"/>
          <w:sz w:val="24"/>
          <w:szCs w:val="24"/>
          <w:highlight w:val="none"/>
          <w:lang w:eastAsia="zh-CN"/>
        </w:rPr>
        <w:t>；工作人员应为在册正式员工，专职服务本项目。供应商须承诺拟投入工作人员不得有犯罪记录。</w:t>
      </w:r>
    </w:p>
    <w:p w14:paraId="37CAB723">
      <w:pPr>
        <w:widowControl/>
        <w:numPr>
          <w:ilvl w:val="0"/>
          <w:numId w:val="0"/>
        </w:numPr>
        <w:spacing w:line="400" w:lineRule="exact"/>
        <w:ind w:left="0"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kern w:val="2"/>
          <w:sz w:val="24"/>
          <w:szCs w:val="24"/>
          <w:highlight w:val="none"/>
          <w:lang w:val="en-US" w:eastAsia="zh-CN" w:bidi="ar-SA"/>
        </w:rPr>
        <w:t>2.</w:t>
      </w:r>
      <w:r>
        <w:rPr>
          <w:rFonts w:hint="eastAsia" w:ascii="仿宋_GB2312" w:hAnsi="仿宋_GB2312" w:eastAsia="仿宋_GB2312" w:cs="仿宋_GB2312"/>
          <w:color w:val="000000"/>
          <w:sz w:val="24"/>
          <w:szCs w:val="24"/>
          <w:highlight w:val="none"/>
          <w:lang w:val="en-US" w:eastAsia="zh-CN"/>
        </w:rPr>
        <w:t>人员管理</w:t>
      </w:r>
    </w:p>
    <w:p w14:paraId="5BEBCEE7">
      <w:pPr>
        <w:widowControl/>
        <w:numPr>
          <w:ilvl w:val="0"/>
          <w:numId w:val="0"/>
        </w:numPr>
        <w:spacing w:line="400" w:lineRule="exact"/>
        <w:ind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人员管理：交通服务人员资格由所在单位进行审核，并报公安部门进行背景审查。管理采取封闭管理、分级负责、统一调配原则，确保交通服务人员明确自身职责、严守纪律，提高组织协调、应急处置和工作协同能力</w:t>
      </w:r>
    </w:p>
    <w:p w14:paraId="6FD9E30A">
      <w:pPr>
        <w:widowControl/>
        <w:numPr>
          <w:ilvl w:val="0"/>
          <w:numId w:val="0"/>
        </w:numPr>
        <w:spacing w:line="400" w:lineRule="exact"/>
        <w:ind w:left="0"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kern w:val="2"/>
          <w:sz w:val="24"/>
          <w:szCs w:val="24"/>
          <w:highlight w:val="none"/>
          <w:lang w:val="en-US" w:eastAsia="zh-CN" w:bidi="ar-SA"/>
        </w:rPr>
        <w:t>（2）</w:t>
      </w:r>
      <w:r>
        <w:rPr>
          <w:rFonts w:hint="eastAsia" w:ascii="仿宋_GB2312" w:hAnsi="仿宋_GB2312" w:eastAsia="仿宋_GB2312" w:cs="仿宋_GB2312"/>
          <w:color w:val="000000"/>
          <w:sz w:val="24"/>
          <w:szCs w:val="24"/>
          <w:highlight w:val="none"/>
          <w:lang w:val="en-US" w:eastAsia="zh-CN"/>
        </w:rPr>
        <w:t>教育培训：交通运行团队负责对服务人员进行政治纪律、服务礼仪、服务规范及安全等教育。熟悉车辆状况、技术性能、行车注意事项等。适时组织服务人员模拟、抵离、转场、现场摆渡、专车服务等专车组织、服务流程、组织流线等演练。</w:t>
      </w:r>
    </w:p>
    <w:p w14:paraId="786DCC85">
      <w:pPr>
        <w:widowControl/>
        <w:numPr>
          <w:ilvl w:val="0"/>
          <w:numId w:val="0"/>
        </w:numPr>
        <w:spacing w:line="400" w:lineRule="exact"/>
        <w:ind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（3）驾驶员必须经验丰富，熟悉所有交通服务涉及路线；佩戴赛事核发证件并统一着装。</w:t>
      </w:r>
    </w:p>
    <w:p w14:paraId="330CDA7C">
      <w:pPr>
        <w:widowControl w:val="0"/>
        <w:numPr>
          <w:ilvl w:val="0"/>
          <w:numId w:val="0"/>
        </w:numPr>
        <w:adjustRightInd w:val="0"/>
        <w:snapToGrid w:val="0"/>
        <w:spacing w:line="400" w:lineRule="exact"/>
        <w:ind w:left="0" w:leftChars="0" w:firstLine="480" w:firstLineChars="200"/>
        <w:jc w:val="both"/>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3.</w:t>
      </w:r>
      <w:r>
        <w:rPr>
          <w:rFonts w:hint="eastAsia" w:ascii="仿宋_GB2312" w:hAnsi="仿宋_GB2312" w:eastAsia="仿宋_GB2312" w:cs="仿宋_GB2312"/>
          <w:color w:val="000000"/>
          <w:sz w:val="24"/>
          <w:szCs w:val="24"/>
          <w:highlight w:val="none"/>
        </w:rPr>
        <w:t>车辆配备情况</w:t>
      </w:r>
    </w:p>
    <w:p w14:paraId="3E9EAE49">
      <w:pPr>
        <w:widowControl/>
        <w:spacing w:line="400" w:lineRule="exact"/>
        <w:ind w:firstLine="480" w:firstLineChars="200"/>
        <w:textAlignment w:val="center"/>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rPr>
        <w:t>车辆车贴车头纸服务，是指比选方按照赛事组委的要求，为所提供服务的车辆安装车贴和车头纸的服务，并用时维护和赛后去除</w:t>
      </w:r>
      <w:r>
        <w:rPr>
          <w:rFonts w:hint="eastAsia" w:ascii="仿宋_GB2312" w:hAnsi="仿宋_GB2312" w:eastAsia="仿宋_GB2312" w:cs="仿宋_GB2312"/>
          <w:color w:val="000000"/>
          <w:sz w:val="24"/>
          <w:szCs w:val="24"/>
          <w:highlight w:val="none"/>
          <w:lang w:eastAsia="zh-CN"/>
        </w:rPr>
        <w:t>，相应费用已包含在车辆报价中。</w:t>
      </w:r>
    </w:p>
    <w:p w14:paraId="36519B3C">
      <w:pPr>
        <w:widowControl/>
        <w:spacing w:line="400" w:lineRule="exact"/>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highlight w:val="none"/>
        </w:rPr>
        <w:t>服务车辆清洗，是指比选方在赛时用车期间对车辆进行内外清洗，确保车辆外观清洁，车窗透亮无污迹，车辆座椅干净整洁无异味；</w:t>
      </w:r>
    </w:p>
    <w:p w14:paraId="52DA7466">
      <w:pPr>
        <w:widowControl/>
        <w:spacing w:line="400" w:lineRule="exact"/>
        <w:ind w:firstLine="480" w:firstLineChars="200"/>
        <w:textAlignment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服务车辆救援，是指比选方在提供用车期间发生故障后，对故障车辆实时进行救援服务；</w:t>
      </w:r>
    </w:p>
    <w:p w14:paraId="31184AEC">
      <w:pPr>
        <w:pStyle w:val="2"/>
        <w:ind w:left="559" w:leftChars="266" w:firstLine="0" w:firstLineChars="0"/>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五、进度安排</w:t>
      </w:r>
    </w:p>
    <w:p w14:paraId="3608B0AF">
      <w:pPr>
        <w:widowControl/>
        <w:numPr>
          <w:ilvl w:val="0"/>
          <w:numId w:val="0"/>
        </w:numPr>
        <w:spacing w:line="400" w:lineRule="exact"/>
        <w:ind w:left="0"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1.为妥善保障赛赛交通服务需求，具体车辆服务时间应以采购人指令为准。</w:t>
      </w:r>
    </w:p>
    <w:p w14:paraId="776BE061">
      <w:pPr>
        <w:widowControl/>
        <w:numPr>
          <w:ilvl w:val="0"/>
          <w:numId w:val="0"/>
        </w:numPr>
        <w:spacing w:line="400" w:lineRule="exact"/>
        <w:ind w:left="0"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2.由于交通保障作业包含接送机、站，有夜间作业，供应商无条件配合采购人安排，保证准时准点，安全接送。</w:t>
      </w:r>
    </w:p>
    <w:p w14:paraId="2A3BD68D">
      <w:pPr>
        <w:pStyle w:val="2"/>
        <w:ind w:left="559" w:leftChars="266" w:firstLine="0" w:firstLineChars="0"/>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六、报价要求</w:t>
      </w:r>
    </w:p>
    <w:p w14:paraId="5249FB29">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480" w:firstLineChars="200"/>
        <w:jc w:val="left"/>
        <w:textAlignment w:val="center"/>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1.本项目涉及的报价内容，均以每辆车每班次为单位进行单价报价，报价均为含税价格，费用包含司机劳务、车辆保险、日常养护、燃油费、乘车人相关保险、车贴广告、停车费、住宿、餐饮等。实际支付金额根据实际用车数量据实结算，供应商须出具行业正规发票。</w:t>
      </w:r>
    </w:p>
    <w:p w14:paraId="5BE5CC5B">
      <w:pPr>
        <w:widowControl/>
        <w:numPr>
          <w:ilvl w:val="0"/>
          <w:numId w:val="0"/>
        </w:numPr>
        <w:spacing w:line="400" w:lineRule="exact"/>
        <w:ind w:left="0"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2.基准价为每班次服务8小时（含）及以内或行程100公里（含）以内的费用。</w:t>
      </w:r>
    </w:p>
    <w:p w14:paraId="6AA51339">
      <w:pPr>
        <w:pStyle w:val="2"/>
        <w:ind w:left="559" w:leftChars="266" w:firstLine="0" w:firstLineChars="0"/>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七、车辆租赁服务条件</w:t>
      </w:r>
    </w:p>
    <w:p w14:paraId="1354EA5D">
      <w:pPr>
        <w:widowControl/>
        <w:numPr>
          <w:ilvl w:val="0"/>
          <w:numId w:val="0"/>
        </w:numPr>
        <w:spacing w:line="400" w:lineRule="exact"/>
        <w:ind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1.车辆应取得国家、北京市相关准运要求，且各种手续合法完整，各项证件均在有效期内。</w:t>
      </w:r>
    </w:p>
    <w:p w14:paraId="2B3CE0A7">
      <w:pPr>
        <w:widowControl/>
        <w:numPr>
          <w:ilvl w:val="0"/>
          <w:numId w:val="0"/>
        </w:numPr>
        <w:spacing w:line="400" w:lineRule="exact"/>
        <w:ind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2.车辆应符合市内班车的安全、卫生，车辆性能好，设备齐全，安全可靠，舒适卫生。</w:t>
      </w:r>
    </w:p>
    <w:p w14:paraId="0E487B27">
      <w:pPr>
        <w:widowControl/>
        <w:numPr>
          <w:ilvl w:val="0"/>
          <w:numId w:val="0"/>
        </w:numPr>
        <w:spacing w:line="400" w:lineRule="exact"/>
        <w:ind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3.车内配备有效的车用灭火器、故障车警示标志牌和必要的维修工具。</w:t>
      </w:r>
    </w:p>
    <w:p w14:paraId="5E400783">
      <w:pPr>
        <w:widowControl/>
        <w:numPr>
          <w:ilvl w:val="0"/>
          <w:numId w:val="0"/>
        </w:numPr>
        <w:spacing w:line="400" w:lineRule="exact"/>
        <w:ind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4.采购人有权对供应商提供车辆进行车况审查。有权查验供应商的运营手续（含保险、证照），并有权向供应商提出车辆更换要求。</w:t>
      </w:r>
    </w:p>
    <w:p w14:paraId="4CB8AC7D">
      <w:pPr>
        <w:widowControl/>
        <w:numPr>
          <w:ilvl w:val="0"/>
          <w:numId w:val="0"/>
        </w:numPr>
        <w:spacing w:line="400" w:lineRule="exact"/>
        <w:ind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5.供应商需制定完善的应急预案，确保采购人用车需要。</w:t>
      </w:r>
    </w:p>
    <w:p w14:paraId="5F6C81B1">
      <w:pPr>
        <w:widowControl/>
        <w:numPr>
          <w:ilvl w:val="0"/>
          <w:numId w:val="0"/>
        </w:numPr>
        <w:spacing w:line="400" w:lineRule="exact"/>
        <w:ind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6.供应商需对需求用车数量，按照采购人需求量的5％的比例，进行备份。</w:t>
      </w:r>
    </w:p>
    <w:p w14:paraId="129DA2A7">
      <w:pPr>
        <w:widowControl/>
        <w:numPr>
          <w:ilvl w:val="0"/>
          <w:numId w:val="0"/>
        </w:numPr>
        <w:spacing w:line="400" w:lineRule="exact"/>
        <w:ind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7.供应商应按采购人要求进行车辆改装及LOGO粘贴。</w:t>
      </w:r>
    </w:p>
    <w:p w14:paraId="0E79DACB">
      <w:pPr>
        <w:pStyle w:val="2"/>
        <w:widowControl w:val="0"/>
        <w:numPr>
          <w:ilvl w:val="0"/>
          <w:numId w:val="0"/>
        </w:numPr>
        <w:ind w:left="559" w:leftChars="266" w:firstLine="0" w:firstLineChars="0"/>
        <w:contextualSpacing/>
        <w:jc w:val="both"/>
        <w:rPr>
          <w:rFonts w:hint="eastAsia" w:ascii="黑体" w:hAnsi="黑体" w:eastAsia="黑体" w:cs="黑体"/>
          <w:color w:val="000000"/>
          <w:sz w:val="28"/>
          <w:szCs w:val="28"/>
          <w:highlight w:val="none"/>
          <w:lang w:val="en-US" w:eastAsia="zh-CN"/>
        </w:rPr>
      </w:pPr>
      <w:r>
        <w:rPr>
          <w:rFonts w:hint="eastAsia" w:ascii="黑体" w:hAnsi="黑体" w:eastAsia="黑体" w:cs="黑体"/>
          <w:color w:val="000000"/>
          <w:kern w:val="2"/>
          <w:sz w:val="28"/>
          <w:szCs w:val="28"/>
          <w:highlight w:val="none"/>
          <w:lang w:val="en-US" w:eastAsia="zh-CN" w:bidi="ar-SA"/>
        </w:rPr>
        <w:t>八、</w:t>
      </w:r>
      <w:r>
        <w:rPr>
          <w:rFonts w:hint="eastAsia" w:ascii="黑体" w:hAnsi="黑体" w:eastAsia="黑体" w:cs="黑体"/>
          <w:color w:val="000000"/>
          <w:sz w:val="28"/>
          <w:szCs w:val="28"/>
          <w:highlight w:val="none"/>
          <w:lang w:val="en-US" w:eastAsia="zh-CN"/>
        </w:rPr>
        <w:t>服务质量要求</w:t>
      </w:r>
    </w:p>
    <w:p w14:paraId="4389EB65">
      <w:pPr>
        <w:widowControl/>
        <w:numPr>
          <w:ilvl w:val="0"/>
          <w:numId w:val="0"/>
        </w:numPr>
        <w:spacing w:line="400" w:lineRule="exact"/>
        <w:ind w:leftChars="0" w:firstLine="480" w:firstLineChars="200"/>
        <w:jc w:val="left"/>
        <w:textAlignment w:val="center"/>
        <w:rPr>
          <w:rFonts w:hint="eastAsia" w:ascii="方正楷体_GB2312" w:hAnsi="方正楷体_GB2312" w:eastAsia="方正楷体_GB2312" w:cs="方正楷体_GB2312"/>
          <w:color w:val="000000"/>
          <w:sz w:val="24"/>
          <w:szCs w:val="24"/>
          <w:highlight w:val="none"/>
          <w:lang w:val="en-US" w:eastAsia="zh-CN"/>
        </w:rPr>
      </w:pPr>
      <w:r>
        <w:rPr>
          <w:rFonts w:hint="eastAsia" w:ascii="方正楷体_GB2312" w:hAnsi="方正楷体_GB2312" w:eastAsia="方正楷体_GB2312" w:cs="方正楷体_GB2312"/>
          <w:color w:val="000000"/>
          <w:sz w:val="24"/>
          <w:szCs w:val="24"/>
          <w:highlight w:val="none"/>
          <w:lang w:val="en-US" w:eastAsia="zh-CN"/>
        </w:rPr>
        <w:t>（一）车辆卫生</w:t>
      </w:r>
    </w:p>
    <w:p w14:paraId="6A2D2609">
      <w:pPr>
        <w:widowControl/>
        <w:numPr>
          <w:ilvl w:val="0"/>
          <w:numId w:val="0"/>
        </w:numPr>
        <w:spacing w:line="400" w:lineRule="exact"/>
        <w:ind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司机在每次出车前应认真打扫车内外卫生，保持车辆内部与后备箱的干净、整洁。特别是座套、脚垫等。司机不得在车内吸烟、用餐吃零食等，要保持车内空气的清新，车内无烟味、无异味。</w:t>
      </w:r>
    </w:p>
    <w:p w14:paraId="1E9D0431">
      <w:pPr>
        <w:widowControl/>
        <w:numPr>
          <w:ilvl w:val="0"/>
          <w:numId w:val="0"/>
        </w:numPr>
        <w:spacing w:line="400" w:lineRule="exact"/>
        <w:ind w:leftChars="0" w:firstLine="480" w:firstLineChars="200"/>
        <w:jc w:val="left"/>
        <w:textAlignment w:val="center"/>
        <w:rPr>
          <w:rFonts w:hint="eastAsia" w:ascii="方正楷体_GB2312" w:hAnsi="方正楷体_GB2312" w:eastAsia="方正楷体_GB2312" w:cs="方正楷体_GB2312"/>
          <w:color w:val="000000"/>
          <w:sz w:val="24"/>
          <w:szCs w:val="24"/>
          <w:highlight w:val="none"/>
          <w:lang w:val="en-US" w:eastAsia="zh-CN"/>
        </w:rPr>
      </w:pPr>
      <w:r>
        <w:rPr>
          <w:rFonts w:hint="eastAsia" w:ascii="方正楷体_GB2312" w:hAnsi="方正楷体_GB2312" w:eastAsia="方正楷体_GB2312" w:cs="方正楷体_GB2312"/>
          <w:color w:val="000000"/>
          <w:sz w:val="24"/>
          <w:szCs w:val="24"/>
          <w:highlight w:val="none"/>
          <w:lang w:val="en-US" w:eastAsia="zh-CN"/>
        </w:rPr>
        <w:t>（二）出车前准备</w:t>
      </w:r>
    </w:p>
    <w:p w14:paraId="4C9216F2">
      <w:pPr>
        <w:widowControl/>
        <w:numPr>
          <w:ilvl w:val="0"/>
          <w:numId w:val="0"/>
        </w:numPr>
        <w:spacing w:line="400" w:lineRule="exact"/>
        <w:ind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1.出车前应对车辆进行检查，为乘客提供良好的无故障的运行车辆。</w:t>
      </w:r>
    </w:p>
    <w:p w14:paraId="442DBD6A">
      <w:pPr>
        <w:widowControl/>
        <w:numPr>
          <w:ilvl w:val="0"/>
          <w:numId w:val="0"/>
        </w:numPr>
        <w:spacing w:line="400" w:lineRule="exact"/>
        <w:ind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2.司机在出车前应检查车辆油箱是否有油；检查车辆轮胎是否良好。</w:t>
      </w:r>
    </w:p>
    <w:p w14:paraId="28FC0D75">
      <w:pPr>
        <w:widowControl/>
        <w:numPr>
          <w:ilvl w:val="0"/>
          <w:numId w:val="0"/>
        </w:numPr>
        <w:spacing w:line="400" w:lineRule="exact"/>
        <w:ind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3.出车前保持车上证件齐全，司机自己的证件齐全。</w:t>
      </w:r>
    </w:p>
    <w:p w14:paraId="30946B4B">
      <w:pPr>
        <w:widowControl/>
        <w:numPr>
          <w:ilvl w:val="0"/>
          <w:numId w:val="0"/>
        </w:numPr>
        <w:spacing w:line="400" w:lineRule="exact"/>
        <w:ind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4.司机出车前应充分了解要去的目的地，确保认识目的地，知道自己要走的线路，如不清楚应及时通过各种方式查明准确路线。</w:t>
      </w:r>
    </w:p>
    <w:p w14:paraId="4CC5EA1F">
      <w:pPr>
        <w:widowControl/>
        <w:numPr>
          <w:ilvl w:val="0"/>
          <w:numId w:val="0"/>
        </w:numPr>
        <w:spacing w:line="400" w:lineRule="exact"/>
        <w:ind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5.检查车上空调功能是否完好，以保证车内温度符合客人的要求。</w:t>
      </w:r>
    </w:p>
    <w:p w14:paraId="354DE50E">
      <w:pPr>
        <w:widowControl/>
        <w:numPr>
          <w:ilvl w:val="0"/>
          <w:numId w:val="0"/>
        </w:numPr>
        <w:spacing w:line="400" w:lineRule="exact"/>
        <w:ind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方正楷体_GB2312" w:hAnsi="方正楷体_GB2312" w:eastAsia="方正楷体_GB2312" w:cs="方正楷体_GB2312"/>
          <w:color w:val="000000"/>
          <w:sz w:val="24"/>
          <w:szCs w:val="24"/>
          <w:highlight w:val="none"/>
          <w:lang w:val="en-US" w:eastAsia="zh-CN"/>
        </w:rPr>
        <w:t>（三）司机仪容仪表要求</w:t>
      </w:r>
    </w:p>
    <w:p w14:paraId="3C29D1B7">
      <w:pPr>
        <w:widowControl/>
        <w:numPr>
          <w:ilvl w:val="0"/>
          <w:numId w:val="0"/>
        </w:numPr>
        <w:spacing w:line="400" w:lineRule="exact"/>
        <w:ind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1.司机在作业时应按照公司要求统一着装。</w:t>
      </w:r>
    </w:p>
    <w:p w14:paraId="45B5732E">
      <w:pPr>
        <w:widowControl/>
        <w:numPr>
          <w:ilvl w:val="0"/>
          <w:numId w:val="0"/>
        </w:numPr>
        <w:spacing w:line="400" w:lineRule="exact"/>
        <w:ind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2.司机应保持个人卫生，保证身上不得有烟味、异味。</w:t>
      </w:r>
    </w:p>
    <w:p w14:paraId="5D157A11">
      <w:pPr>
        <w:widowControl/>
        <w:numPr>
          <w:ilvl w:val="0"/>
          <w:numId w:val="0"/>
        </w:numPr>
        <w:spacing w:line="400" w:lineRule="exact"/>
        <w:ind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3.开车服务期间不允许食用有异味的食品，以保持口腔气味清新。</w:t>
      </w:r>
    </w:p>
    <w:p w14:paraId="467BBCA4">
      <w:pPr>
        <w:pStyle w:val="2"/>
        <w:widowControl w:val="0"/>
        <w:numPr>
          <w:ilvl w:val="0"/>
          <w:numId w:val="0"/>
        </w:numPr>
        <w:ind w:firstLine="480" w:firstLineChars="200"/>
        <w:contextualSpacing/>
        <w:jc w:val="both"/>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4.司机仪容仪表要好，要有良好的精神面貌。</w:t>
      </w:r>
    </w:p>
    <w:p w14:paraId="4B41ABD2">
      <w:pPr>
        <w:widowControl/>
        <w:numPr>
          <w:ilvl w:val="0"/>
          <w:numId w:val="0"/>
        </w:numPr>
        <w:spacing w:line="400" w:lineRule="exact"/>
        <w:ind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5.司机应掌握基本的维修、检查其驾驶车辆的技能。</w:t>
      </w:r>
    </w:p>
    <w:p w14:paraId="5124998F">
      <w:pPr>
        <w:widowControl/>
        <w:numPr>
          <w:ilvl w:val="0"/>
          <w:numId w:val="0"/>
        </w:numPr>
        <w:spacing w:line="400" w:lineRule="exact"/>
        <w:ind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6.如车上有乘客遗落物件，司机应及时归还。</w:t>
      </w:r>
    </w:p>
    <w:p w14:paraId="51815E78">
      <w:pPr>
        <w:widowControl/>
        <w:numPr>
          <w:ilvl w:val="0"/>
          <w:numId w:val="0"/>
        </w:numPr>
        <w:spacing w:line="400" w:lineRule="exact"/>
        <w:ind w:leftChars="0" w:firstLine="480" w:firstLineChars="200"/>
        <w:jc w:val="left"/>
        <w:textAlignment w:val="center"/>
        <w:rPr>
          <w:rFonts w:hint="eastAsia" w:ascii="方正楷体_GB2312" w:hAnsi="方正楷体_GB2312" w:eastAsia="方正楷体_GB2312" w:cs="方正楷体_GB2312"/>
          <w:color w:val="000000"/>
          <w:sz w:val="24"/>
          <w:szCs w:val="24"/>
          <w:highlight w:val="none"/>
          <w:lang w:val="en-US" w:eastAsia="zh-CN"/>
        </w:rPr>
      </w:pPr>
      <w:r>
        <w:rPr>
          <w:rFonts w:hint="eastAsia" w:ascii="方正楷体_GB2312" w:hAnsi="方正楷体_GB2312" w:eastAsia="方正楷体_GB2312" w:cs="方正楷体_GB2312"/>
          <w:color w:val="000000"/>
          <w:sz w:val="24"/>
          <w:szCs w:val="24"/>
          <w:highlight w:val="none"/>
          <w:lang w:val="en-US" w:eastAsia="zh-CN"/>
        </w:rPr>
        <w:t>（四）安全驾驶的要求</w:t>
      </w:r>
    </w:p>
    <w:p w14:paraId="737781AB">
      <w:pPr>
        <w:widowControl/>
        <w:numPr>
          <w:ilvl w:val="0"/>
          <w:numId w:val="0"/>
        </w:numPr>
        <w:spacing w:line="400" w:lineRule="exact"/>
        <w:ind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1.司机应当自始至终保持礼貌并安全驾驶。</w:t>
      </w:r>
    </w:p>
    <w:p w14:paraId="11E7087C">
      <w:pPr>
        <w:widowControl/>
        <w:numPr>
          <w:ilvl w:val="0"/>
          <w:numId w:val="0"/>
        </w:numPr>
        <w:spacing w:line="400" w:lineRule="exact"/>
        <w:ind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2.在驶向目的地的路途中全程使用安全的驾驶技术并且严格遵守交通守则。在驾驶过程中确认遵守一切相关法律规定。</w:t>
      </w:r>
    </w:p>
    <w:p w14:paraId="5DC4FFB5">
      <w:pPr>
        <w:widowControl/>
        <w:numPr>
          <w:ilvl w:val="0"/>
          <w:numId w:val="0"/>
        </w:numPr>
        <w:spacing w:line="400" w:lineRule="exact"/>
        <w:ind w:leftChars="0" w:firstLine="480" w:firstLineChars="200"/>
        <w:jc w:val="left"/>
        <w:textAlignment w:val="center"/>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3.司机需要选择最合理的线路行车，以保证准确、快速地将客人送至目的地。</w:t>
      </w:r>
    </w:p>
    <w:p w14:paraId="6EE5DB74">
      <w:pPr>
        <w:pStyle w:val="2"/>
        <w:rPr>
          <w:rFonts w:hint="eastAsia" w:ascii="仿宋_GB2312" w:hAnsi="仿宋_GB2312" w:eastAsia="仿宋_GB2312" w:cs="仿宋_GB2312"/>
          <w:color w:val="000000"/>
          <w:sz w:val="24"/>
          <w:szCs w:val="24"/>
          <w:highlight w:val="none"/>
          <w:lang w:val="en-US" w:eastAsia="zh-CN"/>
        </w:rPr>
      </w:pPr>
    </w:p>
    <w:p w14:paraId="7419FDE2">
      <w:pPr>
        <w:pStyle w:val="2"/>
        <w:rPr>
          <w:rFonts w:hint="eastAsia" w:ascii="宋体" w:hAnsi="宋体" w:eastAsia="宋体" w:cs="宋体"/>
          <w:color w:val="000000"/>
          <w:sz w:val="28"/>
          <w:szCs w:val="28"/>
          <w:highlight w:val="none"/>
          <w:lang w:val="en-US" w:eastAsia="zh-CN"/>
        </w:rPr>
      </w:pPr>
    </w:p>
    <w:p w14:paraId="4299D52B">
      <w:pPr>
        <w:pStyle w:val="2"/>
        <w:rPr>
          <w:rFonts w:hint="eastAsia" w:ascii="宋体" w:hAnsi="宋体" w:eastAsia="宋体" w:cs="宋体"/>
          <w:color w:val="000000"/>
          <w:sz w:val="28"/>
          <w:szCs w:val="28"/>
          <w:highlight w:val="none"/>
          <w:lang w:val="en-US" w:eastAsia="zh-CN"/>
        </w:rPr>
      </w:pPr>
    </w:p>
    <w:p w14:paraId="48467C2F">
      <w:pPr>
        <w:pStyle w:val="2"/>
        <w:rPr>
          <w:rFonts w:hint="eastAsia" w:ascii="宋体" w:hAnsi="宋体" w:eastAsia="宋体" w:cs="宋体"/>
          <w:color w:val="000000"/>
          <w:sz w:val="28"/>
          <w:szCs w:val="28"/>
          <w:highlight w:val="none"/>
          <w:lang w:val="en-US" w:eastAsia="zh-CN"/>
        </w:rPr>
      </w:pPr>
    </w:p>
    <w:p w14:paraId="643B3D84">
      <w:pPr>
        <w:pStyle w:val="2"/>
        <w:rPr>
          <w:rFonts w:hint="eastAsia" w:ascii="宋体" w:hAnsi="宋体" w:eastAsia="宋体" w:cs="宋体"/>
          <w:color w:val="000000"/>
          <w:sz w:val="28"/>
          <w:szCs w:val="28"/>
          <w:highlight w:val="none"/>
          <w:lang w:val="en-US" w:eastAsia="zh-CN"/>
        </w:rPr>
      </w:pPr>
    </w:p>
    <w:p w14:paraId="599CD5E3">
      <w:pPr>
        <w:pStyle w:val="2"/>
        <w:rPr>
          <w:rFonts w:hint="eastAsia" w:ascii="宋体" w:hAnsi="宋体" w:eastAsia="宋体" w:cs="宋体"/>
          <w:color w:val="000000"/>
          <w:sz w:val="28"/>
          <w:szCs w:val="28"/>
          <w:highlight w:val="none"/>
          <w:lang w:val="en-US" w:eastAsia="zh-CN"/>
        </w:rPr>
      </w:pPr>
    </w:p>
    <w:p w14:paraId="0DCD03B1">
      <w:pPr>
        <w:pStyle w:val="2"/>
        <w:rPr>
          <w:rFonts w:hint="eastAsia" w:ascii="宋体" w:hAnsi="宋体" w:eastAsia="宋体" w:cs="宋体"/>
          <w:color w:val="000000"/>
          <w:sz w:val="28"/>
          <w:szCs w:val="28"/>
          <w:highlight w:val="none"/>
          <w:lang w:val="en-US" w:eastAsia="zh-CN"/>
        </w:rPr>
      </w:pPr>
    </w:p>
    <w:p w14:paraId="560C9FD6">
      <w:pPr>
        <w:pStyle w:val="2"/>
        <w:rPr>
          <w:rFonts w:hint="eastAsia" w:ascii="宋体" w:hAnsi="宋体" w:eastAsia="宋体" w:cs="宋体"/>
          <w:color w:val="000000"/>
          <w:sz w:val="28"/>
          <w:szCs w:val="28"/>
          <w:highlight w:val="none"/>
          <w:lang w:val="en-US" w:eastAsia="zh-CN"/>
        </w:rPr>
        <w:sectPr>
          <w:footerReference r:id="rId4" w:type="default"/>
          <w:pgSz w:w="11906" w:h="16838"/>
          <w:pgMar w:top="2098" w:right="1474" w:bottom="1984" w:left="1588" w:header="851" w:footer="992" w:gutter="0"/>
          <w:pgNumType w:fmt="numberInDash" w:start="1"/>
          <w:cols w:space="720" w:num="1"/>
          <w:docGrid w:type="lines" w:linePitch="312" w:charSpace="0"/>
        </w:sectPr>
      </w:pPr>
    </w:p>
    <w:p w14:paraId="6916CADD">
      <w:pPr>
        <w:pStyle w:val="3"/>
        <w:keepNext w:val="0"/>
        <w:keepLines w:val="0"/>
        <w:widowControl w:val="0"/>
        <w:numPr>
          <w:ilvl w:val="0"/>
          <w:numId w:val="0"/>
        </w:numPr>
        <w:snapToGrid w:val="0"/>
        <w:spacing w:before="0" w:beforeAutospacing="0" w:after="0" w:afterAutospacing="0" w:line="560" w:lineRule="exact"/>
        <w:ind w:firstLine="480" w:firstLineChars="150"/>
        <w:jc w:val="center"/>
        <w:rPr>
          <w:rFonts w:hint="eastAsia" w:ascii="黑体" w:hAnsi="黑体" w:eastAsia="黑体" w:cs="Times New Roman"/>
          <w:b w:val="0"/>
          <w:bCs w:val="0"/>
          <w:kern w:val="2"/>
          <w:sz w:val="32"/>
          <w:szCs w:val="32"/>
          <w:highlight w:val="none"/>
          <w:lang w:val="en-US"/>
        </w:rPr>
      </w:pPr>
      <w:r>
        <w:rPr>
          <w:rFonts w:hint="eastAsia" w:ascii="黑体" w:hAnsi="黑体" w:eastAsia="黑体" w:cs="Times New Roman"/>
          <w:b w:val="0"/>
          <w:bCs w:val="0"/>
          <w:kern w:val="2"/>
          <w:sz w:val="32"/>
          <w:szCs w:val="32"/>
          <w:highlight w:val="none"/>
          <w:lang w:val="en-US"/>
        </w:rPr>
        <w:t>第四部分  附件——比选文件格式</w:t>
      </w:r>
    </w:p>
    <w:p w14:paraId="27CE958C">
      <w:pPr>
        <w:tabs>
          <w:tab w:val="left" w:pos="5580"/>
        </w:tabs>
        <w:adjustRightInd w:val="0"/>
        <w:snapToGrid w:val="0"/>
        <w:spacing w:line="400" w:lineRule="exact"/>
        <w:rPr>
          <w:rFonts w:hint="eastAsia" w:ascii="宋体" w:hAnsi="宋体" w:eastAsia="宋体" w:cs="宋体"/>
          <w:color w:val="000000"/>
          <w:sz w:val="28"/>
          <w:szCs w:val="28"/>
          <w:highlight w:val="none"/>
        </w:rPr>
      </w:pPr>
    </w:p>
    <w:p w14:paraId="40B73D72">
      <w:pPr>
        <w:tabs>
          <w:tab w:val="left" w:pos="5580"/>
        </w:tabs>
        <w:adjustRightInd w:val="0"/>
        <w:snapToGrid w:val="0"/>
        <w:spacing w:line="400" w:lineRule="exact"/>
        <w:ind w:left="1800" w:hanging="54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附件1——比选响应函</w:t>
      </w:r>
    </w:p>
    <w:p w14:paraId="7735BB38">
      <w:pPr>
        <w:tabs>
          <w:tab w:val="left" w:pos="5580"/>
        </w:tabs>
        <w:adjustRightInd w:val="0"/>
        <w:snapToGrid w:val="0"/>
        <w:spacing w:line="400" w:lineRule="exact"/>
        <w:ind w:left="1800" w:hanging="54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附件2——资格（资质）证明文件</w:t>
      </w:r>
    </w:p>
    <w:p w14:paraId="0DF52265">
      <w:pPr>
        <w:tabs>
          <w:tab w:val="left" w:pos="5580"/>
        </w:tabs>
        <w:adjustRightInd w:val="0"/>
        <w:snapToGrid w:val="0"/>
        <w:spacing w:line="400" w:lineRule="exact"/>
        <w:ind w:left="1800" w:hanging="54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附件3——类似项目业绩</w:t>
      </w:r>
    </w:p>
    <w:p w14:paraId="022FCE94">
      <w:pPr>
        <w:tabs>
          <w:tab w:val="left" w:pos="5580"/>
        </w:tabs>
        <w:adjustRightInd w:val="0"/>
        <w:snapToGrid w:val="0"/>
        <w:spacing w:line="400" w:lineRule="exact"/>
        <w:ind w:left="1800" w:hanging="54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附件4——本项目的实施计划</w:t>
      </w:r>
    </w:p>
    <w:p w14:paraId="357A088A">
      <w:pPr>
        <w:tabs>
          <w:tab w:val="left" w:pos="5580"/>
        </w:tabs>
        <w:adjustRightInd w:val="0"/>
        <w:snapToGrid w:val="0"/>
        <w:spacing w:line="400" w:lineRule="exact"/>
        <w:ind w:left="1800" w:hanging="54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附件5——总体报价表</w:t>
      </w:r>
    </w:p>
    <w:p w14:paraId="097F00EF">
      <w:pPr>
        <w:tabs>
          <w:tab w:val="left" w:pos="5580"/>
        </w:tabs>
        <w:adjustRightInd w:val="0"/>
        <w:snapToGrid w:val="0"/>
        <w:spacing w:line="400" w:lineRule="exact"/>
        <w:ind w:left="1800" w:hanging="54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附件6——报价明细表</w:t>
      </w:r>
    </w:p>
    <w:p w14:paraId="782772A1">
      <w:pPr>
        <w:tabs>
          <w:tab w:val="left" w:pos="5580"/>
        </w:tabs>
        <w:adjustRightInd w:val="0"/>
        <w:snapToGrid w:val="0"/>
        <w:spacing w:line="400" w:lineRule="exact"/>
        <w:ind w:left="1800" w:hanging="540"/>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附件7——其他资质补充材料</w:t>
      </w:r>
    </w:p>
    <w:p w14:paraId="4870B4B3">
      <w:pPr>
        <w:numPr>
          <w:ilvl w:val="0"/>
          <w:numId w:val="0"/>
        </w:numPr>
        <w:adjustRightInd w:val="0"/>
        <w:snapToGrid w:val="0"/>
        <w:spacing w:line="400" w:lineRule="exact"/>
        <w:jc w:val="both"/>
        <w:rPr>
          <w:rFonts w:hint="eastAsia" w:ascii="宋体" w:hAnsi="宋体" w:eastAsia="宋体" w:cs="宋体"/>
          <w:sz w:val="28"/>
          <w:szCs w:val="28"/>
          <w:highlight w:val="none"/>
          <w:lang w:val="en-US" w:eastAsia="zh-CN"/>
        </w:rPr>
      </w:pPr>
    </w:p>
    <w:p w14:paraId="6505EF24">
      <w:pPr>
        <w:numPr>
          <w:ilvl w:val="0"/>
          <w:numId w:val="0"/>
        </w:numPr>
        <w:adjustRightInd w:val="0"/>
        <w:snapToGrid w:val="0"/>
        <w:spacing w:line="400" w:lineRule="exact"/>
        <w:jc w:val="both"/>
        <w:rPr>
          <w:rFonts w:hint="eastAsia" w:ascii="宋体" w:hAnsi="宋体" w:eastAsia="宋体" w:cs="宋体"/>
          <w:sz w:val="28"/>
          <w:szCs w:val="28"/>
          <w:highlight w:val="none"/>
          <w:lang w:val="en-US" w:eastAsia="zh-CN"/>
        </w:rPr>
        <w:sectPr>
          <w:pgSz w:w="11906" w:h="16838"/>
          <w:pgMar w:top="2098" w:right="1474" w:bottom="1984" w:left="1588" w:header="851" w:footer="992" w:gutter="0"/>
          <w:pgNumType w:fmt="numberInDash"/>
          <w:cols w:space="720" w:num="1"/>
          <w:docGrid w:type="lines" w:linePitch="312" w:charSpace="0"/>
        </w:sectPr>
      </w:pPr>
    </w:p>
    <w:p w14:paraId="0008DA8B">
      <w:pPr>
        <w:pStyle w:val="3"/>
        <w:numPr>
          <w:ilvl w:val="0"/>
          <w:numId w:val="0"/>
        </w:numPr>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rPr>
        <w:t>附件1——比选响应函</w:t>
      </w:r>
    </w:p>
    <w:p w14:paraId="3A3F98C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t>比选响应函</w:t>
      </w:r>
    </w:p>
    <w:p w14:paraId="2513C5FB">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b/>
          <w:color w:val="000000"/>
          <w:sz w:val="28"/>
          <w:szCs w:val="28"/>
          <w:highlight w:val="none"/>
        </w:rPr>
      </w:pPr>
    </w:p>
    <w:p w14:paraId="02BB0F6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2025世界泳联跳水世界杯总决赛（北京）组织委员会：</w:t>
      </w:r>
      <w:r>
        <w:rPr>
          <w:rFonts w:hint="eastAsia" w:ascii="仿宋_GB2312" w:hAnsi="仿宋_GB2312" w:eastAsia="仿宋_GB2312" w:cs="仿宋_GB2312"/>
          <w:color w:val="000000"/>
          <w:sz w:val="24"/>
          <w:szCs w:val="24"/>
          <w:highlight w:val="none"/>
        </w:rPr>
        <w:cr/>
      </w:r>
      <w:r>
        <w:rPr>
          <w:rFonts w:hint="eastAsia" w:ascii="仿宋_GB2312" w:hAnsi="仿宋_GB2312" w:eastAsia="仿宋_GB2312" w:cs="仿宋_GB2312"/>
          <w:color w:val="000000"/>
          <w:sz w:val="24"/>
          <w:szCs w:val="24"/>
          <w:highlight w:val="none"/>
        </w:rPr>
        <w:t xml:space="preserve">   </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 xml:space="preserve"> （响应人单位全称）授权</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（授权代表姓名）</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（职务、职称）为授权代表，</w:t>
      </w:r>
      <w:r>
        <w:rPr>
          <w:rFonts w:hint="eastAsia" w:ascii="仿宋_GB2312" w:hAnsi="仿宋_GB2312" w:eastAsia="仿宋_GB2312" w:cs="仿宋_GB2312"/>
          <w:color w:val="000000"/>
          <w:sz w:val="24"/>
          <w:szCs w:val="24"/>
          <w:highlight w:val="none"/>
          <w:u w:val="single"/>
        </w:rPr>
        <w:t>参加贵方组织的</w:t>
      </w:r>
      <w:r>
        <w:rPr>
          <w:rFonts w:hint="eastAsia" w:ascii="仿宋_GB2312" w:hAnsi="仿宋_GB2312" w:eastAsia="仿宋_GB2312" w:cs="仿宋_GB2312"/>
          <w:color w:val="000000"/>
          <w:sz w:val="24"/>
          <w:szCs w:val="24"/>
          <w:highlight w:val="none"/>
          <w:u w:val="single"/>
          <w:lang w:eastAsia="zh-CN"/>
        </w:rPr>
        <w:t>2025世界泳联跳水世界杯总决赛（北京）交通服务</w:t>
      </w:r>
      <w:r>
        <w:rPr>
          <w:rFonts w:hint="eastAsia" w:ascii="仿宋_GB2312" w:hAnsi="仿宋_GB2312" w:eastAsia="仿宋_GB2312" w:cs="仿宋_GB2312"/>
          <w:color w:val="000000"/>
          <w:sz w:val="24"/>
          <w:szCs w:val="24"/>
          <w:highlight w:val="none"/>
        </w:rPr>
        <w:t>（项目名称）采购的有关活动，全权处理比选中的一切事宜。为此：</w:t>
      </w:r>
    </w:p>
    <w:p w14:paraId="59DD60A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1、提供比选文件正本1份，副本</w:t>
      </w:r>
      <w:r>
        <w:rPr>
          <w:rFonts w:hint="eastAsia" w:ascii="仿宋_GB2312" w:hAnsi="仿宋_GB2312" w:eastAsia="仿宋_GB2312" w:cs="仿宋_GB2312"/>
          <w:color w:val="000000"/>
          <w:sz w:val="24"/>
          <w:szCs w:val="24"/>
          <w:highlight w:val="none"/>
          <w:lang w:val="en-US" w:eastAsia="zh-CN"/>
        </w:rPr>
        <w:t>2</w:t>
      </w:r>
      <w:r>
        <w:rPr>
          <w:rFonts w:hint="eastAsia" w:ascii="仿宋_GB2312" w:hAnsi="仿宋_GB2312" w:eastAsia="仿宋_GB2312" w:cs="仿宋_GB2312"/>
          <w:color w:val="000000"/>
          <w:sz w:val="24"/>
          <w:szCs w:val="24"/>
          <w:highlight w:val="none"/>
        </w:rPr>
        <w:t>份</w:t>
      </w:r>
      <w:r>
        <w:rPr>
          <w:rFonts w:hint="eastAsia" w:ascii="仿宋_GB2312" w:hAnsi="仿宋_GB2312" w:eastAsia="仿宋_GB2312" w:cs="仿宋_GB2312"/>
          <w:color w:val="000000"/>
          <w:sz w:val="24"/>
          <w:szCs w:val="24"/>
          <w:highlight w:val="none"/>
          <w:lang w:eastAsia="zh-CN"/>
        </w:rPr>
        <w:t>，电子版</w:t>
      </w:r>
      <w:r>
        <w:rPr>
          <w:rFonts w:hint="eastAsia" w:ascii="仿宋_GB2312" w:hAnsi="仿宋_GB2312" w:eastAsia="仿宋_GB2312" w:cs="仿宋_GB2312"/>
          <w:color w:val="000000"/>
          <w:sz w:val="24"/>
          <w:szCs w:val="24"/>
          <w:highlight w:val="none"/>
          <w:lang w:val="en-US" w:eastAsia="zh-CN"/>
        </w:rPr>
        <w:t>1份，文件双面打印并胶装成册</w:t>
      </w:r>
      <w:r>
        <w:rPr>
          <w:rFonts w:hint="eastAsia" w:ascii="仿宋_GB2312" w:hAnsi="仿宋_GB2312" w:eastAsia="仿宋_GB2312" w:cs="仿宋_GB2312"/>
          <w:color w:val="000000"/>
          <w:sz w:val="24"/>
          <w:szCs w:val="24"/>
          <w:highlight w:val="none"/>
        </w:rPr>
        <w:t>。</w:t>
      </w:r>
    </w:p>
    <w:p w14:paraId="6EF81BB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2、报价为(大写)：</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rPr>
        <w:t>元（人民币）。</w:t>
      </w:r>
    </w:p>
    <w:p w14:paraId="2112E50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3、保证遵守比选文件中的有关规定。</w:t>
      </w:r>
    </w:p>
    <w:p w14:paraId="3CDEEED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4、保证忠实地执行买卖双方所签的经济合同并承担合同规定的责任义务。</w:t>
      </w:r>
    </w:p>
    <w:p w14:paraId="2528286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5、愿意向贵方提供任何与该项目有关的数据、情况和技术资料。</w:t>
      </w:r>
    </w:p>
    <w:p w14:paraId="4CBF83F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6、本函自投标之日起</w:t>
      </w:r>
      <w:r>
        <w:rPr>
          <w:rFonts w:hint="eastAsia" w:ascii="仿宋_GB2312" w:hAnsi="仿宋_GB2312" w:eastAsia="仿宋_GB2312" w:cs="仿宋_GB2312"/>
          <w:color w:val="000000"/>
          <w:sz w:val="24"/>
          <w:szCs w:val="24"/>
          <w:highlight w:val="none"/>
          <w:u w:val="single"/>
        </w:rPr>
        <w:t xml:space="preserve"> 90 </w:t>
      </w:r>
      <w:r>
        <w:rPr>
          <w:rFonts w:hint="eastAsia" w:ascii="仿宋_GB2312" w:hAnsi="仿宋_GB2312" w:eastAsia="仿宋_GB2312" w:cs="仿宋_GB2312"/>
          <w:color w:val="000000"/>
          <w:sz w:val="24"/>
          <w:szCs w:val="24"/>
          <w:highlight w:val="none"/>
        </w:rPr>
        <w:t>天内有效。</w:t>
      </w:r>
    </w:p>
    <w:p w14:paraId="34D0496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7、与本次投标有关的一切往来通讯请寄：</w:t>
      </w:r>
    </w:p>
    <w:p w14:paraId="4FA4622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地址：</w:t>
      </w:r>
    </w:p>
    <w:p w14:paraId="50B276B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邮编：    </w:t>
      </w:r>
    </w:p>
    <w:p w14:paraId="411822A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电话：  </w:t>
      </w:r>
    </w:p>
    <w:p w14:paraId="745B0A1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传真： </w:t>
      </w:r>
    </w:p>
    <w:p w14:paraId="18CDA143">
      <w:pPr>
        <w:spacing w:line="360" w:lineRule="exact"/>
        <w:jc w:val="center"/>
        <w:rPr>
          <w:rFonts w:hint="eastAsia" w:ascii="仿宋_GB2312" w:hAnsi="仿宋_GB2312" w:eastAsia="仿宋_GB2312" w:cs="仿宋_GB2312"/>
          <w:color w:val="000000"/>
          <w:sz w:val="24"/>
          <w:szCs w:val="24"/>
          <w:highlight w:val="none"/>
        </w:rPr>
      </w:pPr>
    </w:p>
    <w:p w14:paraId="23AC24AD">
      <w:pPr>
        <w:spacing w:line="360" w:lineRule="exact"/>
        <w:rPr>
          <w:rFonts w:hint="eastAsia" w:ascii="仿宋_GB2312" w:hAnsi="仿宋_GB2312" w:eastAsia="仿宋_GB2312" w:cs="仿宋_GB2312"/>
          <w:color w:val="000000"/>
          <w:sz w:val="24"/>
          <w:szCs w:val="24"/>
          <w:highlight w:val="none"/>
        </w:rPr>
      </w:pPr>
    </w:p>
    <w:p w14:paraId="2A44B497">
      <w:pPr>
        <w:spacing w:line="360" w:lineRule="exac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响应人(单位公章)：</w:t>
      </w:r>
    </w:p>
    <w:p w14:paraId="47D2864B">
      <w:pPr>
        <w:spacing w:line="360" w:lineRule="exact"/>
        <w:jc w:val="center"/>
        <w:rPr>
          <w:rFonts w:hint="eastAsia" w:ascii="仿宋_GB2312" w:hAnsi="仿宋_GB2312" w:eastAsia="仿宋_GB2312" w:cs="仿宋_GB2312"/>
          <w:color w:val="000000"/>
          <w:sz w:val="24"/>
          <w:szCs w:val="24"/>
          <w:highlight w:val="none"/>
        </w:rPr>
      </w:pPr>
    </w:p>
    <w:p w14:paraId="514FC303">
      <w:pPr>
        <w:spacing w:line="360" w:lineRule="exact"/>
        <w:jc w:val="center"/>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授权代表(签字)：</w:t>
      </w:r>
    </w:p>
    <w:p w14:paraId="44723D97">
      <w:pPr>
        <w:tabs>
          <w:tab w:val="left" w:pos="5580"/>
        </w:tabs>
        <w:adjustRightInd w:val="0"/>
        <w:snapToGrid w:val="0"/>
        <w:spacing w:line="360" w:lineRule="auto"/>
        <w:rPr>
          <w:rFonts w:hint="eastAsia" w:ascii="仿宋_GB2312" w:hAnsi="仿宋_GB2312" w:eastAsia="仿宋_GB2312" w:cs="仿宋_GB2312"/>
          <w:color w:val="000000"/>
          <w:sz w:val="24"/>
          <w:szCs w:val="24"/>
          <w:highlight w:val="none"/>
          <w:lang w:val="en-US" w:eastAsia="zh-CN"/>
        </w:rPr>
      </w:pPr>
    </w:p>
    <w:p w14:paraId="03B1E1D5">
      <w:pPr>
        <w:tabs>
          <w:tab w:val="left" w:pos="5580"/>
        </w:tabs>
        <w:adjustRightInd w:val="0"/>
        <w:snapToGrid w:val="0"/>
        <w:spacing w:line="360" w:lineRule="auto"/>
        <w:ind w:left="1648" w:leftChars="785" w:firstLine="3460" w:firstLineChars="1442"/>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日   期：   年   月   日</w:t>
      </w:r>
    </w:p>
    <w:p w14:paraId="2F728B04">
      <w:pPr>
        <w:tabs>
          <w:tab w:val="left" w:pos="5580"/>
        </w:tabs>
        <w:adjustRightInd w:val="0"/>
        <w:snapToGrid w:val="0"/>
        <w:spacing w:line="360" w:lineRule="auto"/>
        <w:ind w:left="1800" w:hanging="540"/>
        <w:rPr>
          <w:rFonts w:hint="eastAsia" w:ascii="仿宋_GB2312" w:hAnsi="仿宋_GB2312" w:eastAsia="仿宋_GB2312" w:cs="仿宋_GB2312"/>
          <w:color w:val="000000"/>
          <w:sz w:val="28"/>
          <w:szCs w:val="28"/>
          <w:highlight w:val="none"/>
        </w:rPr>
      </w:pPr>
    </w:p>
    <w:p w14:paraId="08240F50">
      <w:pPr>
        <w:tabs>
          <w:tab w:val="left" w:pos="5580"/>
        </w:tabs>
        <w:adjustRightInd w:val="0"/>
        <w:snapToGrid w:val="0"/>
        <w:spacing w:line="360" w:lineRule="auto"/>
        <w:ind w:left="1800" w:hanging="540"/>
        <w:rPr>
          <w:rFonts w:hint="eastAsia" w:ascii="宋体" w:hAnsi="宋体" w:eastAsia="宋体" w:cs="宋体"/>
          <w:color w:val="000000"/>
          <w:sz w:val="28"/>
          <w:szCs w:val="28"/>
          <w:highlight w:val="none"/>
        </w:rPr>
        <w:sectPr>
          <w:pgSz w:w="11906" w:h="16838"/>
          <w:pgMar w:top="1440" w:right="1077" w:bottom="1440" w:left="1077" w:header="851" w:footer="992" w:gutter="0"/>
          <w:pgNumType w:fmt="numberInDash"/>
          <w:cols w:space="720" w:num="1"/>
          <w:docGrid w:type="lines" w:linePitch="312" w:charSpace="0"/>
        </w:sectPr>
      </w:pPr>
    </w:p>
    <w:p w14:paraId="512A4F9F">
      <w:pPr>
        <w:pStyle w:val="3"/>
        <w:numPr>
          <w:ilvl w:val="0"/>
          <w:numId w:val="0"/>
        </w:numP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附件2——资格证明文件</w:t>
      </w:r>
    </w:p>
    <w:p w14:paraId="66E28EE7">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附件2-1   供应商的营业执照副本的复印件并加盖公章。</w:t>
      </w:r>
    </w:p>
    <w:p w14:paraId="01C4AE1F">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附件2-2   供应商法定代表人身份证复印件加盖公章。</w:t>
      </w:r>
    </w:p>
    <w:p w14:paraId="3C12020B">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附件2-3   供应商法定代表人的授权委托书原件。</w:t>
      </w:r>
    </w:p>
    <w:p w14:paraId="3FD796BB">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附件2-4   被授权人身份证复印件加盖公章。</w:t>
      </w:r>
    </w:p>
    <w:p w14:paraId="79891CC3">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附件2-5   供应商公司简介、财务状况及经营状况（提供证明文件）。</w:t>
      </w:r>
    </w:p>
    <w:p w14:paraId="7E26EAB7">
      <w:pPr>
        <w:adjustRightInd w:val="0"/>
        <w:snapToGrid w:val="0"/>
        <w:spacing w:line="400" w:lineRule="exact"/>
        <w:ind w:left="0" w:leftChars="0"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附件2-6   供应商参加本次采购活动前三年内，在经营活动中没有重大违法记录的声明。</w:t>
      </w:r>
    </w:p>
    <w:p w14:paraId="1745C347">
      <w:pPr>
        <w:adjustRightInd w:val="0"/>
        <w:snapToGrid w:val="0"/>
        <w:spacing w:line="400" w:lineRule="exact"/>
        <w:ind w:firstLine="480" w:firstLineChars="200"/>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color w:val="000000"/>
          <w:sz w:val="24"/>
          <w:szCs w:val="24"/>
          <w:highlight w:val="none"/>
        </w:rPr>
        <w:t xml:space="preserve">附件2-7   </w:t>
      </w:r>
      <w:r>
        <w:rPr>
          <w:rFonts w:hint="eastAsia" w:ascii="仿宋_GB2312" w:hAnsi="仿宋_GB2312" w:eastAsia="仿宋_GB2312" w:cs="仿宋_GB2312"/>
          <w:sz w:val="24"/>
          <w:szCs w:val="24"/>
          <w:highlight w:val="none"/>
          <w:lang w:val="en-US" w:eastAsia="zh-CN"/>
        </w:rPr>
        <w:t>有效的ISO9001国际质量认证体系证书</w:t>
      </w:r>
    </w:p>
    <w:p w14:paraId="1FBC989B">
      <w:pPr>
        <w:adjustRightInd w:val="0"/>
        <w:snapToGrid w:val="0"/>
        <w:spacing w:line="400" w:lineRule="exact"/>
        <w:ind w:left="1679" w:leftChars="228" w:hanging="1200" w:hangingChars="5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附件2-</w:t>
      </w:r>
      <w:r>
        <w:rPr>
          <w:rFonts w:hint="eastAsia" w:ascii="仿宋_GB2312" w:hAnsi="仿宋_GB2312" w:eastAsia="仿宋_GB2312" w:cs="仿宋_GB2312"/>
          <w:color w:val="000000"/>
          <w:sz w:val="24"/>
          <w:szCs w:val="24"/>
          <w:highlight w:val="none"/>
          <w:lang w:val="en-US" w:eastAsia="zh-CN"/>
        </w:rPr>
        <w:t>8</w:t>
      </w:r>
      <w:r>
        <w:rPr>
          <w:rFonts w:hint="eastAsia" w:ascii="仿宋_GB2312" w:hAnsi="仿宋_GB2312" w:eastAsia="仿宋_GB2312" w:cs="仿宋_GB2312"/>
          <w:color w:val="000000"/>
          <w:sz w:val="24"/>
          <w:szCs w:val="24"/>
          <w:highlight w:val="none"/>
        </w:rPr>
        <w:t xml:space="preserve">   依法缴纳税收和社会保障资金的良好记录</w:t>
      </w:r>
    </w:p>
    <w:p w14:paraId="439598FF">
      <w:pPr>
        <w:adjustRightInd w:val="0"/>
        <w:snapToGrid w:val="0"/>
        <w:spacing w:line="400" w:lineRule="exact"/>
        <w:ind w:firstLine="480" w:firstLineChars="2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附件2-</w:t>
      </w:r>
      <w:r>
        <w:rPr>
          <w:rFonts w:hint="eastAsia" w:ascii="仿宋_GB2312" w:hAnsi="仿宋_GB2312" w:eastAsia="仿宋_GB2312" w:cs="仿宋_GB2312"/>
          <w:color w:val="000000"/>
          <w:sz w:val="24"/>
          <w:szCs w:val="24"/>
          <w:highlight w:val="none"/>
          <w:lang w:val="en-US" w:eastAsia="zh-CN"/>
        </w:rPr>
        <w:t>9</w:t>
      </w:r>
      <w:r>
        <w:rPr>
          <w:rFonts w:hint="eastAsia" w:ascii="仿宋_GB2312" w:hAnsi="仿宋_GB2312" w:eastAsia="仿宋_GB2312" w:cs="仿宋_GB2312"/>
          <w:color w:val="000000"/>
          <w:sz w:val="24"/>
          <w:szCs w:val="24"/>
          <w:highlight w:val="none"/>
        </w:rPr>
        <w:t xml:space="preserve">   响应人认为有必要提交的其他资格证明文件</w:t>
      </w:r>
    </w:p>
    <w:p w14:paraId="5D3338F1">
      <w:pPr>
        <w:tabs>
          <w:tab w:val="left" w:pos="5580"/>
        </w:tabs>
        <w:adjustRightInd w:val="0"/>
        <w:snapToGrid w:val="0"/>
        <w:spacing w:line="360" w:lineRule="auto"/>
        <w:ind w:left="1800" w:hanging="540"/>
        <w:rPr>
          <w:rFonts w:hint="eastAsia" w:ascii="仿宋_GB2312" w:hAnsi="仿宋_GB2312" w:eastAsia="仿宋_GB2312" w:cs="仿宋_GB2312"/>
          <w:color w:val="000000"/>
          <w:sz w:val="24"/>
          <w:szCs w:val="24"/>
          <w:highlight w:val="none"/>
        </w:rPr>
      </w:pPr>
    </w:p>
    <w:p w14:paraId="2D2E86FC">
      <w:pPr>
        <w:tabs>
          <w:tab w:val="left" w:pos="5580"/>
        </w:tabs>
        <w:adjustRightInd w:val="0"/>
        <w:snapToGrid w:val="0"/>
        <w:spacing w:line="360" w:lineRule="auto"/>
        <w:ind w:left="1800" w:hanging="540"/>
        <w:rPr>
          <w:rFonts w:hint="eastAsia" w:ascii="宋体" w:hAnsi="宋体" w:eastAsia="宋体" w:cs="宋体"/>
          <w:color w:val="000000"/>
          <w:sz w:val="28"/>
          <w:szCs w:val="28"/>
          <w:highlight w:val="none"/>
        </w:rPr>
      </w:pPr>
    </w:p>
    <w:p w14:paraId="5AB9160F">
      <w:pPr>
        <w:tabs>
          <w:tab w:val="left" w:pos="5580"/>
        </w:tabs>
        <w:adjustRightInd w:val="0"/>
        <w:snapToGrid w:val="0"/>
        <w:spacing w:line="360" w:lineRule="auto"/>
        <w:ind w:left="1800" w:hanging="540"/>
        <w:rPr>
          <w:rFonts w:hint="eastAsia" w:ascii="宋体" w:hAnsi="宋体" w:eastAsia="宋体" w:cs="宋体"/>
          <w:color w:val="000000"/>
          <w:sz w:val="28"/>
          <w:szCs w:val="28"/>
          <w:highlight w:val="none"/>
        </w:rPr>
      </w:pPr>
    </w:p>
    <w:p w14:paraId="3C2A022C">
      <w:pPr>
        <w:tabs>
          <w:tab w:val="left" w:pos="5580"/>
        </w:tabs>
        <w:adjustRightInd w:val="0"/>
        <w:snapToGrid w:val="0"/>
        <w:spacing w:line="360" w:lineRule="auto"/>
        <w:ind w:left="1800" w:hanging="540"/>
        <w:rPr>
          <w:rFonts w:hint="eastAsia" w:ascii="宋体" w:hAnsi="宋体" w:eastAsia="宋体" w:cs="宋体"/>
          <w:color w:val="000000"/>
          <w:sz w:val="28"/>
          <w:szCs w:val="28"/>
          <w:highlight w:val="none"/>
        </w:rPr>
      </w:pPr>
    </w:p>
    <w:p w14:paraId="2AFF1281">
      <w:pPr>
        <w:tabs>
          <w:tab w:val="left" w:pos="5580"/>
        </w:tabs>
        <w:adjustRightInd w:val="0"/>
        <w:snapToGrid w:val="0"/>
        <w:spacing w:line="360" w:lineRule="auto"/>
        <w:ind w:left="1800" w:hanging="540"/>
        <w:rPr>
          <w:rFonts w:hint="eastAsia" w:ascii="宋体" w:hAnsi="宋体" w:eastAsia="宋体" w:cs="宋体"/>
          <w:color w:val="000000"/>
          <w:sz w:val="28"/>
          <w:szCs w:val="28"/>
          <w:highlight w:val="none"/>
        </w:rPr>
      </w:pPr>
    </w:p>
    <w:p w14:paraId="6F34F51B">
      <w:pPr>
        <w:tabs>
          <w:tab w:val="left" w:pos="5580"/>
        </w:tabs>
        <w:adjustRightInd w:val="0"/>
        <w:snapToGrid w:val="0"/>
        <w:spacing w:line="360" w:lineRule="auto"/>
        <w:ind w:left="1800" w:hanging="540"/>
        <w:rPr>
          <w:rFonts w:hint="eastAsia" w:ascii="宋体" w:hAnsi="宋体" w:eastAsia="宋体" w:cs="宋体"/>
          <w:color w:val="000000"/>
          <w:sz w:val="28"/>
          <w:szCs w:val="28"/>
          <w:highlight w:val="none"/>
        </w:rPr>
      </w:pPr>
    </w:p>
    <w:p w14:paraId="6A3FA190">
      <w:pPr>
        <w:tabs>
          <w:tab w:val="left" w:pos="5580"/>
        </w:tabs>
        <w:adjustRightInd w:val="0"/>
        <w:snapToGrid w:val="0"/>
        <w:spacing w:line="360" w:lineRule="auto"/>
        <w:ind w:left="1800" w:hanging="540"/>
        <w:rPr>
          <w:rFonts w:hint="eastAsia" w:ascii="宋体" w:hAnsi="宋体" w:eastAsia="宋体" w:cs="宋体"/>
          <w:color w:val="000000"/>
          <w:sz w:val="28"/>
          <w:szCs w:val="28"/>
          <w:highlight w:val="none"/>
        </w:rPr>
      </w:pPr>
    </w:p>
    <w:p w14:paraId="21E4EA60">
      <w:pPr>
        <w:tabs>
          <w:tab w:val="left" w:pos="5580"/>
        </w:tabs>
        <w:adjustRightInd w:val="0"/>
        <w:snapToGrid w:val="0"/>
        <w:spacing w:line="360" w:lineRule="auto"/>
        <w:ind w:left="1800" w:hanging="540"/>
        <w:rPr>
          <w:rFonts w:hint="eastAsia" w:ascii="宋体" w:hAnsi="宋体" w:eastAsia="宋体" w:cs="宋体"/>
          <w:color w:val="000000"/>
          <w:sz w:val="28"/>
          <w:szCs w:val="28"/>
          <w:highlight w:val="none"/>
        </w:rPr>
      </w:pPr>
    </w:p>
    <w:p w14:paraId="543C8310">
      <w:pPr>
        <w:tabs>
          <w:tab w:val="left" w:pos="5580"/>
        </w:tabs>
        <w:adjustRightInd w:val="0"/>
        <w:snapToGrid w:val="0"/>
        <w:spacing w:line="360" w:lineRule="auto"/>
        <w:ind w:left="1800" w:hanging="540"/>
        <w:rPr>
          <w:rFonts w:hint="eastAsia" w:ascii="宋体" w:hAnsi="宋体" w:eastAsia="宋体" w:cs="宋体"/>
          <w:color w:val="000000"/>
          <w:sz w:val="28"/>
          <w:szCs w:val="28"/>
          <w:highlight w:val="none"/>
        </w:rPr>
      </w:pPr>
    </w:p>
    <w:p w14:paraId="32228D9F">
      <w:pPr>
        <w:tabs>
          <w:tab w:val="left" w:pos="5580"/>
        </w:tabs>
        <w:adjustRightInd w:val="0"/>
        <w:snapToGrid w:val="0"/>
        <w:spacing w:line="360" w:lineRule="auto"/>
        <w:ind w:left="1800" w:hanging="540"/>
        <w:rPr>
          <w:rFonts w:hint="eastAsia" w:ascii="宋体" w:hAnsi="宋体" w:eastAsia="宋体" w:cs="宋体"/>
          <w:color w:val="000000"/>
          <w:sz w:val="28"/>
          <w:szCs w:val="28"/>
          <w:highlight w:val="none"/>
        </w:rPr>
        <w:sectPr>
          <w:pgSz w:w="11906" w:h="16838"/>
          <w:pgMar w:top="1440" w:right="1077" w:bottom="1440" w:left="1077" w:header="851" w:footer="992" w:gutter="0"/>
          <w:pgNumType w:fmt="numberInDash"/>
          <w:cols w:space="720" w:num="1"/>
          <w:docGrid w:type="lines" w:linePitch="312" w:charSpace="0"/>
        </w:sectPr>
      </w:pPr>
    </w:p>
    <w:p w14:paraId="30E9697E">
      <w:pPr>
        <w:pStyle w:val="3"/>
        <w:numPr>
          <w:ilvl w:val="0"/>
          <w:numId w:val="0"/>
        </w:numPr>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t>附件3——</w:t>
      </w:r>
      <w:r>
        <w:rPr>
          <w:rFonts w:hint="eastAsia" w:ascii="宋体" w:hAnsi="宋体" w:eastAsia="宋体" w:cs="宋体"/>
          <w:color w:val="000000"/>
          <w:sz w:val="28"/>
          <w:szCs w:val="28"/>
          <w:highlight w:val="none"/>
          <w:lang w:val="en-US"/>
        </w:rPr>
        <w:t>类似项目业绩</w:t>
      </w:r>
    </w:p>
    <w:p w14:paraId="602F7CFB">
      <w:pPr>
        <w:spacing w:line="400" w:lineRule="exact"/>
        <w:ind w:firstLine="480" w:firstLineChars="200"/>
        <w:jc w:val="both"/>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zh-CN"/>
        </w:rPr>
        <w:t>本部分由响应人自行设计</w:t>
      </w:r>
      <w:r>
        <w:rPr>
          <w:rFonts w:hint="eastAsia" w:ascii="仿宋_GB2312" w:hAnsi="仿宋_GB2312" w:eastAsia="仿宋_GB2312" w:cs="仿宋_GB2312"/>
          <w:sz w:val="24"/>
          <w:szCs w:val="24"/>
          <w:highlight w:val="none"/>
        </w:rPr>
        <w:t>）</w:t>
      </w:r>
    </w:p>
    <w:p w14:paraId="7A74BB68">
      <w:pPr>
        <w:numPr>
          <w:ilvl w:val="0"/>
          <w:numId w:val="1"/>
        </w:numPr>
        <w:spacing w:line="400" w:lineRule="exact"/>
        <w:ind w:firstLine="48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类似项目业绩：近五年内具有与本项目类似的大型国际体育赛事或国际级相关外事活动</w:t>
      </w:r>
      <w:r>
        <w:rPr>
          <w:rFonts w:hint="eastAsia" w:ascii="仿宋_GB2312" w:hAnsi="仿宋_GB2312" w:eastAsia="仿宋_GB2312" w:cs="仿宋_GB2312"/>
          <w:color w:val="000000"/>
          <w:sz w:val="24"/>
          <w:szCs w:val="24"/>
          <w:highlight w:val="none"/>
          <w:lang w:eastAsia="zh-CN"/>
        </w:rPr>
        <w:t>的</w:t>
      </w:r>
      <w:r>
        <w:rPr>
          <w:rFonts w:hint="eastAsia" w:ascii="仿宋_GB2312" w:hAnsi="仿宋_GB2312" w:eastAsia="仿宋_GB2312" w:cs="仿宋_GB2312"/>
          <w:color w:val="000000"/>
          <w:sz w:val="24"/>
          <w:szCs w:val="24"/>
          <w:highlight w:val="none"/>
        </w:rPr>
        <w:t>服务经验</w:t>
      </w:r>
      <w:r>
        <w:rPr>
          <w:rFonts w:hint="eastAsia" w:ascii="仿宋_GB2312" w:hAnsi="仿宋_GB2312" w:eastAsia="仿宋_GB2312" w:cs="仿宋_GB2312"/>
          <w:color w:val="000000"/>
          <w:sz w:val="24"/>
          <w:szCs w:val="24"/>
          <w:highlight w:val="none"/>
          <w:lang w:eastAsia="zh-CN"/>
        </w:rPr>
        <w:t>，</w:t>
      </w:r>
      <w:r>
        <w:rPr>
          <w:rFonts w:hint="eastAsia" w:ascii="仿宋_GB2312" w:hAnsi="仿宋_GB2312" w:eastAsia="仿宋_GB2312" w:cs="仿宋_GB2312"/>
          <w:color w:val="000000"/>
          <w:sz w:val="24"/>
          <w:szCs w:val="24"/>
          <w:highlight w:val="none"/>
        </w:rPr>
        <w:t>如有</w:t>
      </w:r>
      <w:r>
        <w:rPr>
          <w:rFonts w:hint="eastAsia" w:ascii="仿宋_GB2312" w:hAnsi="仿宋_GB2312" w:eastAsia="仿宋_GB2312" w:cs="仿宋_GB2312"/>
          <w:color w:val="000000"/>
          <w:sz w:val="24"/>
          <w:szCs w:val="24"/>
          <w:highlight w:val="none"/>
          <w:lang w:eastAsia="zh-CN"/>
        </w:rPr>
        <w:t>，</w:t>
      </w:r>
      <w:r>
        <w:rPr>
          <w:rFonts w:hint="eastAsia" w:ascii="仿宋_GB2312" w:hAnsi="仿宋_GB2312" w:eastAsia="仿宋_GB2312" w:cs="仿宋_GB2312"/>
          <w:color w:val="000000"/>
          <w:sz w:val="24"/>
          <w:szCs w:val="24"/>
          <w:highlight w:val="none"/>
        </w:rPr>
        <w:t>须提供相关证明文件，如合同、中标通知书、用户评价等复印件并加盖公章。</w:t>
      </w:r>
    </w:p>
    <w:p w14:paraId="34451509">
      <w:pPr>
        <w:tabs>
          <w:tab w:val="left" w:pos="5580"/>
        </w:tabs>
        <w:adjustRightInd w:val="0"/>
        <w:snapToGrid w:val="0"/>
        <w:spacing w:line="360" w:lineRule="auto"/>
        <w:rPr>
          <w:rFonts w:hint="eastAsia" w:ascii="宋体" w:hAnsi="宋体" w:eastAsia="宋体" w:cs="宋体"/>
          <w:color w:val="000000"/>
          <w:sz w:val="28"/>
          <w:szCs w:val="28"/>
          <w:highlight w:val="none"/>
        </w:rPr>
      </w:pPr>
    </w:p>
    <w:p w14:paraId="4F5B29C7">
      <w:pPr>
        <w:tabs>
          <w:tab w:val="left" w:pos="5580"/>
        </w:tabs>
        <w:adjustRightInd w:val="0"/>
        <w:snapToGrid w:val="0"/>
        <w:spacing w:line="360" w:lineRule="auto"/>
        <w:rPr>
          <w:rFonts w:hint="eastAsia" w:ascii="宋体" w:hAnsi="宋体" w:eastAsia="宋体" w:cs="宋体"/>
          <w:color w:val="000000"/>
          <w:sz w:val="28"/>
          <w:szCs w:val="28"/>
          <w:highlight w:val="none"/>
        </w:rPr>
      </w:pPr>
    </w:p>
    <w:p w14:paraId="151687DF">
      <w:pPr>
        <w:tabs>
          <w:tab w:val="left" w:pos="5580"/>
        </w:tabs>
        <w:spacing w:before="120" w:line="360" w:lineRule="auto"/>
        <w:rPr>
          <w:rFonts w:hint="eastAsia" w:ascii="宋体" w:hAnsi="宋体" w:eastAsia="宋体" w:cs="宋体"/>
          <w:color w:val="000000"/>
          <w:sz w:val="28"/>
          <w:szCs w:val="28"/>
          <w:highlight w:val="none"/>
        </w:rPr>
      </w:pPr>
    </w:p>
    <w:p w14:paraId="257ADA4C">
      <w:pPr>
        <w:tabs>
          <w:tab w:val="left" w:pos="5580"/>
        </w:tabs>
        <w:spacing w:before="120" w:line="360" w:lineRule="auto"/>
        <w:ind w:left="1258"/>
        <w:rPr>
          <w:rFonts w:hint="eastAsia" w:ascii="宋体" w:hAnsi="宋体" w:eastAsia="宋体" w:cs="宋体"/>
          <w:color w:val="000000"/>
          <w:sz w:val="28"/>
          <w:szCs w:val="28"/>
          <w:highlight w:val="none"/>
        </w:rPr>
      </w:pPr>
    </w:p>
    <w:p w14:paraId="11CC3DAE">
      <w:pPr>
        <w:tabs>
          <w:tab w:val="left" w:pos="5580"/>
        </w:tabs>
        <w:spacing w:before="120" w:line="360" w:lineRule="auto"/>
        <w:ind w:left="1258"/>
        <w:rPr>
          <w:rFonts w:hint="eastAsia" w:ascii="宋体" w:hAnsi="宋体" w:eastAsia="宋体" w:cs="宋体"/>
          <w:color w:val="000000"/>
          <w:sz w:val="28"/>
          <w:szCs w:val="28"/>
          <w:highlight w:val="none"/>
        </w:rPr>
      </w:pPr>
    </w:p>
    <w:p w14:paraId="4226DA06">
      <w:pPr>
        <w:tabs>
          <w:tab w:val="left" w:pos="5580"/>
        </w:tabs>
        <w:spacing w:before="120" w:line="360" w:lineRule="auto"/>
        <w:ind w:left="1258"/>
        <w:rPr>
          <w:rFonts w:hint="eastAsia" w:ascii="宋体" w:hAnsi="宋体" w:eastAsia="宋体" w:cs="宋体"/>
          <w:color w:val="000000"/>
          <w:sz w:val="28"/>
          <w:szCs w:val="28"/>
          <w:highlight w:val="none"/>
        </w:rPr>
      </w:pPr>
    </w:p>
    <w:p w14:paraId="62FCCB23">
      <w:pPr>
        <w:tabs>
          <w:tab w:val="left" w:pos="5580"/>
        </w:tabs>
        <w:spacing w:before="120" w:line="360" w:lineRule="auto"/>
        <w:ind w:left="1258"/>
        <w:rPr>
          <w:rFonts w:hint="eastAsia" w:ascii="宋体" w:hAnsi="宋体" w:eastAsia="宋体" w:cs="宋体"/>
          <w:color w:val="000000"/>
          <w:sz w:val="28"/>
          <w:szCs w:val="28"/>
          <w:highlight w:val="none"/>
        </w:rPr>
      </w:pPr>
    </w:p>
    <w:p w14:paraId="5EAB81FB">
      <w:pPr>
        <w:tabs>
          <w:tab w:val="left" w:pos="5580"/>
        </w:tabs>
        <w:spacing w:before="120" w:line="360" w:lineRule="auto"/>
        <w:ind w:left="1258"/>
        <w:rPr>
          <w:rFonts w:hint="eastAsia" w:ascii="宋体" w:hAnsi="宋体" w:eastAsia="宋体" w:cs="宋体"/>
          <w:color w:val="000000"/>
          <w:sz w:val="28"/>
          <w:szCs w:val="28"/>
          <w:highlight w:val="none"/>
        </w:rPr>
      </w:pPr>
    </w:p>
    <w:p w14:paraId="69031A49">
      <w:pPr>
        <w:tabs>
          <w:tab w:val="left" w:pos="5580"/>
        </w:tabs>
        <w:spacing w:before="120" w:line="360" w:lineRule="auto"/>
        <w:ind w:left="1258"/>
        <w:rPr>
          <w:rFonts w:hint="eastAsia" w:ascii="宋体" w:hAnsi="宋体" w:eastAsia="宋体" w:cs="宋体"/>
          <w:color w:val="000000"/>
          <w:sz w:val="28"/>
          <w:szCs w:val="28"/>
          <w:highlight w:val="none"/>
        </w:rPr>
      </w:pPr>
    </w:p>
    <w:p w14:paraId="135DEBA4">
      <w:pPr>
        <w:tabs>
          <w:tab w:val="left" w:pos="5580"/>
        </w:tabs>
        <w:spacing w:before="120" w:line="360" w:lineRule="auto"/>
        <w:ind w:left="1258"/>
        <w:rPr>
          <w:rFonts w:hint="eastAsia" w:ascii="宋体" w:hAnsi="宋体" w:eastAsia="宋体" w:cs="宋体"/>
          <w:color w:val="000000"/>
          <w:sz w:val="28"/>
          <w:szCs w:val="28"/>
          <w:highlight w:val="none"/>
        </w:rPr>
        <w:sectPr>
          <w:pgSz w:w="11906" w:h="16838"/>
          <w:pgMar w:top="1701" w:right="1474" w:bottom="1418" w:left="1474" w:header="851" w:footer="992" w:gutter="0"/>
          <w:pgNumType w:fmt="numberInDash"/>
          <w:cols w:space="720" w:num="1"/>
          <w:docGrid w:type="lines" w:linePitch="312" w:charSpace="0"/>
        </w:sectPr>
      </w:pPr>
    </w:p>
    <w:p w14:paraId="02A639CE">
      <w:pPr>
        <w:pStyle w:val="3"/>
        <w:numPr>
          <w:ilvl w:val="0"/>
          <w:numId w:val="0"/>
        </w:numPr>
        <w:spacing w:line="400" w:lineRule="exact"/>
        <w:rPr>
          <w:rFonts w:hint="eastAsia" w:ascii="宋体" w:hAnsi="宋体" w:eastAsia="宋体" w:cs="宋体"/>
          <w:b/>
          <w:bCs/>
          <w:color w:val="000000"/>
          <w:sz w:val="28"/>
          <w:szCs w:val="28"/>
          <w:highlight w:val="none"/>
          <w:lang w:val="en-US"/>
        </w:rPr>
      </w:pPr>
      <w:r>
        <w:rPr>
          <w:rFonts w:hint="eastAsia" w:ascii="宋体" w:hAnsi="宋体" w:eastAsia="宋体" w:cs="宋体"/>
          <w:b/>
          <w:bCs/>
          <w:color w:val="000000"/>
          <w:sz w:val="28"/>
          <w:szCs w:val="28"/>
          <w:highlight w:val="none"/>
          <w:lang w:val="en-US"/>
        </w:rPr>
        <w:t>附件</w:t>
      </w:r>
      <w:r>
        <w:rPr>
          <w:rFonts w:hint="eastAsia" w:ascii="宋体" w:hAnsi="宋体" w:eastAsia="宋体" w:cs="宋体"/>
          <w:b/>
          <w:bCs/>
          <w:color w:val="000000"/>
          <w:sz w:val="28"/>
          <w:szCs w:val="28"/>
          <w:highlight w:val="none"/>
          <w:lang w:val="en-US" w:eastAsia="zh-CN"/>
        </w:rPr>
        <w:t>4</w:t>
      </w:r>
      <w:r>
        <w:rPr>
          <w:rFonts w:hint="eastAsia" w:ascii="宋体" w:hAnsi="宋体" w:eastAsia="宋体" w:cs="宋体"/>
          <w:b/>
          <w:bCs/>
          <w:color w:val="000000"/>
          <w:sz w:val="28"/>
          <w:szCs w:val="28"/>
          <w:highlight w:val="none"/>
          <w:lang w:val="en-US"/>
        </w:rPr>
        <w:t>——本项目的实施计划</w:t>
      </w:r>
    </w:p>
    <w:p w14:paraId="770538CC">
      <w:pPr>
        <w:spacing w:line="400" w:lineRule="exact"/>
        <w:jc w:val="center"/>
        <w:rPr>
          <w:rFonts w:hint="eastAsia" w:ascii="仿宋_GB2312" w:hAnsi="仿宋_GB2312" w:eastAsia="仿宋_GB2312" w:cs="仿宋_GB2312"/>
          <w:sz w:val="24"/>
          <w:szCs w:val="24"/>
          <w:highlight w:val="none"/>
          <w:lang w:val="zh-CN"/>
        </w:rPr>
      </w:pPr>
      <w:r>
        <w:rPr>
          <w:rFonts w:hint="eastAsia" w:ascii="仿宋_GB2312" w:hAnsi="仿宋_GB2312" w:eastAsia="仿宋_GB2312" w:cs="仿宋_GB2312"/>
          <w:sz w:val="24"/>
          <w:szCs w:val="24"/>
          <w:highlight w:val="none"/>
          <w:lang w:val="zh-CN"/>
        </w:rPr>
        <w:t>（本部分由响应人自行设计）</w:t>
      </w:r>
    </w:p>
    <w:p w14:paraId="318B5219">
      <w:pPr>
        <w:spacing w:line="400" w:lineRule="exact"/>
        <w:rPr>
          <w:rFonts w:hint="eastAsia" w:ascii="仿宋_GB2312" w:hAnsi="仿宋_GB2312" w:eastAsia="仿宋_GB2312" w:cs="仿宋_GB2312"/>
          <w:sz w:val="24"/>
          <w:szCs w:val="24"/>
          <w:highlight w:val="none"/>
          <w:lang w:val="en-US"/>
        </w:rPr>
      </w:pPr>
      <w:r>
        <w:rPr>
          <w:rFonts w:hint="eastAsia" w:ascii="仿宋_GB2312" w:hAnsi="仿宋_GB2312" w:eastAsia="仿宋_GB2312" w:cs="仿宋_GB2312"/>
          <w:b/>
          <w:sz w:val="24"/>
          <w:szCs w:val="24"/>
          <w:highlight w:val="none"/>
          <w:lang w:val="zh-CN"/>
        </w:rPr>
        <w:t>包括（但不仅限于）以下内容：</w:t>
      </w:r>
    </w:p>
    <w:p w14:paraId="5AF9DEDD">
      <w:pPr>
        <w:spacing w:line="400" w:lineRule="exact"/>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按照 “采购需求”</w:t>
      </w:r>
      <w:r>
        <w:rPr>
          <w:rFonts w:hint="eastAsia" w:ascii="仿宋_GB2312" w:hAnsi="仿宋_GB2312" w:eastAsia="仿宋_GB2312" w:cs="仿宋_GB2312"/>
          <w:sz w:val="24"/>
          <w:szCs w:val="24"/>
          <w:highlight w:val="none"/>
          <w:lang w:val="zh-CN"/>
        </w:rPr>
        <w:t>中的要求提出项目服务</w:t>
      </w:r>
      <w:r>
        <w:rPr>
          <w:rFonts w:hint="eastAsia" w:ascii="仿宋_GB2312" w:hAnsi="仿宋_GB2312" w:eastAsia="仿宋_GB2312" w:cs="仿宋_GB2312"/>
          <w:sz w:val="24"/>
          <w:szCs w:val="24"/>
          <w:highlight w:val="none"/>
        </w:rPr>
        <w:t>及保障措施</w:t>
      </w:r>
      <w:r>
        <w:rPr>
          <w:rFonts w:hint="eastAsia" w:ascii="仿宋_GB2312" w:hAnsi="仿宋_GB2312" w:eastAsia="仿宋_GB2312" w:cs="仿宋_GB2312"/>
          <w:sz w:val="24"/>
          <w:szCs w:val="24"/>
          <w:highlight w:val="none"/>
          <w:lang w:val="zh-CN"/>
        </w:rPr>
        <w:t>方案，主要包括：</w:t>
      </w:r>
    </w:p>
    <w:p w14:paraId="5E0880C4">
      <w:pPr>
        <w:pStyle w:val="5"/>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rPr>
        <w:t>1.专业团队组建</w:t>
      </w:r>
      <w:r>
        <w:rPr>
          <w:rFonts w:hint="eastAsia" w:ascii="仿宋_GB2312" w:hAnsi="仿宋_GB2312" w:eastAsia="仿宋_GB2312" w:cs="仿宋_GB2312"/>
          <w:color w:val="000000"/>
          <w:sz w:val="24"/>
          <w:szCs w:val="24"/>
          <w:highlight w:val="none"/>
          <w:lang w:val="en-US" w:eastAsia="zh-CN"/>
        </w:rPr>
        <w:t>方案</w:t>
      </w:r>
      <w:r>
        <w:rPr>
          <w:rFonts w:hint="eastAsia" w:ascii="仿宋_GB2312" w:hAnsi="仿宋_GB2312" w:eastAsia="仿宋_GB2312" w:cs="仿宋_GB2312"/>
          <w:color w:val="000000"/>
          <w:sz w:val="24"/>
          <w:szCs w:val="24"/>
          <w:highlight w:val="none"/>
          <w:lang w:eastAsia="zh-CN"/>
        </w:rPr>
        <w:t>，</w:t>
      </w:r>
      <w:r>
        <w:rPr>
          <w:rFonts w:hint="eastAsia" w:ascii="仿宋_GB2312" w:hAnsi="仿宋_GB2312" w:eastAsia="仿宋_GB2312" w:cs="仿宋_GB2312"/>
          <w:color w:val="000000"/>
          <w:sz w:val="24"/>
          <w:szCs w:val="24"/>
          <w:highlight w:val="none"/>
          <w:lang w:val="en-US" w:eastAsia="zh-CN"/>
        </w:rPr>
        <w:t>配备人员的资历、服务经验等，须提供无犯罪记录承诺函、服务合同、获奖证书、赛事证件等相关证明材料</w:t>
      </w:r>
    </w:p>
    <w:p w14:paraId="7E82275F">
      <w:pPr>
        <w:pStyle w:val="5"/>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2.项目进度方案</w:t>
      </w:r>
    </w:p>
    <w:p w14:paraId="53D033FA">
      <w:pPr>
        <w:pStyle w:val="5"/>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3.人员组织管理方案</w:t>
      </w:r>
    </w:p>
    <w:p w14:paraId="3A03AADF">
      <w:pPr>
        <w:pStyle w:val="5"/>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4.车辆及人员数量阐述</w:t>
      </w:r>
    </w:p>
    <w:p w14:paraId="1C7D8E1D">
      <w:pPr>
        <w:pStyle w:val="5"/>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5.车辆租赁条件方案</w:t>
      </w:r>
    </w:p>
    <w:p w14:paraId="4F290A58">
      <w:pPr>
        <w:pStyle w:val="5"/>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6.应急方案</w:t>
      </w:r>
    </w:p>
    <w:p w14:paraId="71D7C860">
      <w:pPr>
        <w:pStyle w:val="5"/>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7.响应速度方案</w:t>
      </w:r>
    </w:p>
    <w:p w14:paraId="3EA85880">
      <w:pPr>
        <w:pStyle w:val="5"/>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8.服务质量方案</w:t>
      </w:r>
    </w:p>
    <w:p w14:paraId="2411774D">
      <w:pPr>
        <w:pStyle w:val="5"/>
        <w:rPr>
          <w:rFonts w:hint="default" w:ascii="宋体" w:hAnsi="宋体" w:eastAsia="宋体" w:cs="宋体"/>
          <w:color w:val="000000"/>
          <w:sz w:val="28"/>
          <w:szCs w:val="28"/>
          <w:highlight w:val="none"/>
          <w:lang w:val="en-US" w:eastAsia="zh-CN"/>
        </w:rPr>
      </w:pPr>
      <w:r>
        <w:rPr>
          <w:rFonts w:hint="eastAsia" w:ascii="宋体" w:hAnsi="宋体" w:eastAsia="宋体" w:cs="宋体"/>
          <w:color w:val="000000"/>
          <w:sz w:val="28"/>
          <w:szCs w:val="28"/>
          <w:highlight w:val="none"/>
          <w:lang w:val="en-US" w:eastAsia="zh-CN"/>
        </w:rPr>
        <w:t>所有相关材料均需加盖公章。</w:t>
      </w:r>
    </w:p>
    <w:p w14:paraId="7DE88495">
      <w:pPr>
        <w:rPr>
          <w:rFonts w:hint="eastAsia" w:ascii="宋体" w:hAnsi="宋体" w:eastAsia="宋体" w:cs="宋体"/>
          <w:sz w:val="28"/>
          <w:szCs w:val="28"/>
          <w:highlight w:val="none"/>
        </w:rPr>
      </w:pPr>
    </w:p>
    <w:p w14:paraId="2CB3713E">
      <w:pPr>
        <w:spacing w:line="360" w:lineRule="auto"/>
        <w:rPr>
          <w:rFonts w:hint="eastAsia" w:ascii="宋体" w:hAnsi="宋体" w:eastAsia="宋体" w:cs="宋体"/>
          <w:color w:val="000000"/>
          <w:sz w:val="28"/>
          <w:szCs w:val="28"/>
          <w:highlight w:val="none"/>
        </w:rPr>
        <w:sectPr>
          <w:pgSz w:w="11906" w:h="16838"/>
          <w:pgMar w:top="1701" w:right="1474" w:bottom="1418" w:left="1474" w:header="851" w:footer="992" w:gutter="0"/>
          <w:pgNumType w:fmt="numberInDash"/>
          <w:cols w:space="720" w:num="1"/>
          <w:docGrid w:type="lines" w:linePitch="312" w:charSpace="0"/>
        </w:sectPr>
      </w:pPr>
      <w:bookmarkStart w:id="10" w:name="_Toc5649"/>
    </w:p>
    <w:p w14:paraId="2C69A644">
      <w:pPr>
        <w:pStyle w:val="3"/>
        <w:numPr>
          <w:ilvl w:val="0"/>
          <w:numId w:val="0"/>
        </w:numPr>
        <w:rPr>
          <w:rFonts w:hint="eastAsia" w:ascii="宋体" w:hAnsi="宋体" w:eastAsia="宋体" w:cs="宋体"/>
          <w:b/>
          <w:bCs/>
          <w:color w:val="000000"/>
          <w:sz w:val="28"/>
          <w:szCs w:val="28"/>
          <w:highlight w:val="none"/>
        </w:rPr>
      </w:pPr>
      <w:r>
        <w:rPr>
          <w:rFonts w:hint="eastAsia" w:ascii="宋体" w:hAnsi="宋体" w:eastAsia="宋体" w:cs="宋体"/>
          <w:b/>
          <w:bCs/>
          <w:color w:val="000000"/>
          <w:sz w:val="28"/>
          <w:szCs w:val="28"/>
          <w:highlight w:val="none"/>
        </w:rPr>
        <w:t>附件5——总体报价表</w:t>
      </w:r>
    </w:p>
    <w:p w14:paraId="25CBF2F4">
      <w:pPr>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bCs/>
          <w:color w:val="000000"/>
          <w:sz w:val="24"/>
          <w:szCs w:val="24"/>
          <w:highlight w:val="none"/>
        </w:rPr>
        <w:t>总体报价表</w:t>
      </w:r>
    </w:p>
    <w:p w14:paraId="5D9BD7F0">
      <w:pPr>
        <w:adjustRightInd w:val="0"/>
        <w:snapToGrid w:val="0"/>
        <w:spacing w:line="360" w:lineRule="auto"/>
        <w:ind w:firstLine="632"/>
        <w:rPr>
          <w:rFonts w:hint="eastAsia" w:ascii="仿宋_GB2312" w:hAnsi="仿宋_GB2312" w:eastAsia="仿宋_GB2312" w:cs="仿宋_GB2312"/>
          <w:b/>
          <w:color w:val="000000"/>
          <w:sz w:val="24"/>
          <w:szCs w:val="24"/>
          <w:highlight w:val="none"/>
        </w:rPr>
      </w:pPr>
    </w:p>
    <w:p w14:paraId="6528DCAC">
      <w:pPr>
        <w:adjustRightInd w:val="0"/>
        <w:snapToGrid w:val="0"/>
        <w:spacing w:line="360" w:lineRule="auto"/>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b/>
          <w:bCs/>
          <w:color w:val="000000"/>
          <w:sz w:val="24"/>
          <w:szCs w:val="24"/>
          <w:highlight w:val="none"/>
        </w:rPr>
        <w:t>项目名称：</w:t>
      </w:r>
      <w:r>
        <w:rPr>
          <w:rFonts w:hint="eastAsia" w:ascii="仿宋_GB2312" w:hAnsi="仿宋_GB2312" w:eastAsia="仿宋_GB2312" w:cs="仿宋_GB2312"/>
          <w:b/>
          <w:bCs/>
          <w:color w:val="000000"/>
          <w:sz w:val="24"/>
          <w:szCs w:val="24"/>
          <w:highlight w:val="none"/>
          <w:lang w:eastAsia="zh-CN"/>
        </w:rPr>
        <w:t>2025世界泳联跳水世界杯总决赛（北京）交通服务</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3686"/>
      </w:tblGrid>
      <w:tr w14:paraId="338B7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536" w:type="dxa"/>
            <w:noWrap/>
            <w:vAlign w:val="center"/>
          </w:tcPr>
          <w:p w14:paraId="5ECC2AB6">
            <w:pPr>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单位名称</w:t>
            </w:r>
          </w:p>
        </w:tc>
        <w:tc>
          <w:tcPr>
            <w:tcW w:w="3686" w:type="dxa"/>
            <w:noWrap/>
            <w:vAlign w:val="center"/>
          </w:tcPr>
          <w:p w14:paraId="23EF2D07">
            <w:pPr>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报价</w:t>
            </w:r>
          </w:p>
          <w:p w14:paraId="17F24A32">
            <w:pPr>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（元）</w:t>
            </w:r>
          </w:p>
        </w:tc>
      </w:tr>
      <w:tr w14:paraId="2D4DB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trPr>
        <w:tc>
          <w:tcPr>
            <w:tcW w:w="4536" w:type="dxa"/>
            <w:noWrap/>
            <w:vAlign w:val="center"/>
          </w:tcPr>
          <w:p w14:paraId="2685DCD1">
            <w:pPr>
              <w:jc w:val="center"/>
              <w:rPr>
                <w:rFonts w:hint="eastAsia" w:ascii="仿宋_GB2312" w:hAnsi="仿宋_GB2312" w:eastAsia="仿宋_GB2312" w:cs="仿宋_GB2312"/>
                <w:color w:val="000000"/>
                <w:sz w:val="24"/>
                <w:szCs w:val="24"/>
                <w:highlight w:val="none"/>
              </w:rPr>
            </w:pPr>
          </w:p>
        </w:tc>
        <w:tc>
          <w:tcPr>
            <w:tcW w:w="3686" w:type="dxa"/>
            <w:noWrap/>
            <w:vAlign w:val="center"/>
          </w:tcPr>
          <w:p w14:paraId="2CC09CBC">
            <w:pPr>
              <w:jc w:val="center"/>
              <w:rPr>
                <w:rFonts w:hint="eastAsia" w:ascii="仿宋_GB2312" w:hAnsi="仿宋_GB2312" w:eastAsia="仿宋_GB2312" w:cs="仿宋_GB2312"/>
                <w:b/>
                <w:color w:val="000000"/>
                <w:sz w:val="24"/>
                <w:szCs w:val="24"/>
                <w:highlight w:val="none"/>
              </w:rPr>
            </w:pPr>
          </w:p>
        </w:tc>
      </w:tr>
    </w:tbl>
    <w:p w14:paraId="22423623">
      <w:pPr>
        <w:rPr>
          <w:rFonts w:hint="eastAsia" w:ascii="仿宋_GB2312" w:hAnsi="仿宋_GB2312" w:eastAsia="仿宋_GB2312" w:cs="仿宋_GB2312"/>
          <w:color w:val="000000"/>
          <w:sz w:val="24"/>
          <w:szCs w:val="24"/>
          <w:highlight w:val="none"/>
        </w:rPr>
      </w:pPr>
    </w:p>
    <w:p w14:paraId="63694FF6">
      <w:pPr>
        <w:rPr>
          <w:rFonts w:hint="eastAsia" w:ascii="仿宋_GB2312" w:hAnsi="仿宋_GB2312" w:eastAsia="仿宋_GB2312" w:cs="仿宋_GB2312"/>
          <w:color w:val="000000"/>
          <w:sz w:val="24"/>
          <w:szCs w:val="24"/>
          <w:highlight w:val="none"/>
          <w:u w:val="single"/>
        </w:rPr>
      </w:pPr>
      <w:r>
        <w:rPr>
          <w:rFonts w:hint="eastAsia" w:ascii="仿宋_GB2312" w:hAnsi="仿宋_GB2312" w:eastAsia="仿宋_GB2312" w:cs="仿宋_GB2312"/>
          <w:color w:val="000000"/>
          <w:sz w:val="24"/>
          <w:szCs w:val="24"/>
          <w:highlight w:val="none"/>
        </w:rPr>
        <w:t>人民币大写金额：</w:t>
      </w:r>
    </w:p>
    <w:p w14:paraId="7B096FC3">
      <w:pPr>
        <w:spacing w:line="360" w:lineRule="auto"/>
        <w:rPr>
          <w:rFonts w:hint="eastAsia" w:ascii="仿宋_GB2312" w:hAnsi="仿宋_GB2312" w:eastAsia="仿宋_GB2312" w:cs="仿宋_GB2312"/>
          <w:color w:val="000000"/>
          <w:sz w:val="24"/>
          <w:szCs w:val="24"/>
          <w:highlight w:val="none"/>
        </w:rPr>
      </w:pPr>
    </w:p>
    <w:p w14:paraId="50EA5E52">
      <w:pPr>
        <w:spacing w:line="360" w:lineRule="auto"/>
        <w:rPr>
          <w:rFonts w:hint="eastAsia" w:ascii="仿宋_GB2312" w:hAnsi="仿宋_GB2312" w:eastAsia="仿宋_GB2312" w:cs="仿宋_GB2312"/>
          <w:color w:val="000000"/>
          <w:sz w:val="24"/>
          <w:szCs w:val="24"/>
          <w:highlight w:val="none"/>
        </w:rPr>
      </w:pPr>
    </w:p>
    <w:p w14:paraId="745974EB">
      <w:pPr>
        <w:spacing w:line="360" w:lineRule="auto"/>
        <w:rPr>
          <w:rFonts w:hint="eastAsia" w:ascii="仿宋_GB2312" w:hAnsi="仿宋_GB2312" w:eastAsia="仿宋_GB2312" w:cs="仿宋_GB2312"/>
          <w:color w:val="000000"/>
          <w:sz w:val="24"/>
          <w:szCs w:val="24"/>
          <w:highlight w:val="none"/>
        </w:rPr>
      </w:pPr>
    </w:p>
    <w:p w14:paraId="34042977">
      <w:pPr>
        <w:spacing w:line="360" w:lineRule="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 xml:space="preserve">                             </w:t>
      </w:r>
    </w:p>
    <w:p w14:paraId="1267BD32">
      <w:pPr>
        <w:ind w:firstLine="2640" w:firstLineChars="110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color w:val="000000"/>
          <w:sz w:val="24"/>
          <w:szCs w:val="24"/>
          <w:highlight w:val="none"/>
        </w:rPr>
        <w:t>响应人（单位盖章）：</w:t>
      </w:r>
    </w:p>
    <w:p w14:paraId="4C16431C">
      <w:pPr>
        <w:rPr>
          <w:rFonts w:hint="eastAsia" w:ascii="仿宋_GB2312" w:hAnsi="仿宋_GB2312" w:eastAsia="仿宋_GB2312" w:cs="仿宋_GB2312"/>
          <w:color w:val="000000"/>
          <w:sz w:val="24"/>
          <w:szCs w:val="24"/>
          <w:highlight w:val="none"/>
        </w:rPr>
      </w:pPr>
    </w:p>
    <w:p w14:paraId="77B451EA">
      <w:pPr>
        <w:ind w:firstLine="336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授权代表（签字）：</w:t>
      </w:r>
    </w:p>
    <w:p w14:paraId="6997E54A">
      <w:pPr>
        <w:ind w:firstLine="3360"/>
        <w:rPr>
          <w:rFonts w:hint="eastAsia" w:ascii="仿宋_GB2312" w:hAnsi="仿宋_GB2312" w:eastAsia="仿宋_GB2312" w:cs="仿宋_GB2312"/>
          <w:color w:val="000000"/>
          <w:sz w:val="24"/>
          <w:szCs w:val="24"/>
          <w:highlight w:val="none"/>
        </w:rPr>
      </w:pPr>
    </w:p>
    <w:p w14:paraId="63AD42B2">
      <w:pPr>
        <w:ind w:firstLine="336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 xml:space="preserve"> 日   期：   年   月   日</w:t>
      </w:r>
    </w:p>
    <w:bookmarkEnd w:id="10"/>
    <w:p w14:paraId="41A58670">
      <w:pPr>
        <w:pStyle w:val="3"/>
        <w:numPr>
          <w:ilvl w:val="0"/>
          <w:numId w:val="0"/>
        </w:numPr>
        <w:rPr>
          <w:rFonts w:hint="eastAsia" w:ascii="仿宋_GB2312" w:hAnsi="仿宋_GB2312" w:eastAsia="仿宋_GB2312" w:cs="仿宋_GB2312"/>
          <w:color w:val="000000"/>
          <w:sz w:val="24"/>
          <w:szCs w:val="24"/>
          <w:highlight w:val="none"/>
        </w:rPr>
        <w:sectPr>
          <w:pgSz w:w="11906" w:h="16838"/>
          <w:pgMar w:top="1701" w:right="1474" w:bottom="1418" w:left="1474" w:header="851" w:footer="992" w:gutter="0"/>
          <w:pgNumType w:fmt="numberInDash"/>
          <w:cols w:space="720" w:num="1"/>
          <w:docGrid w:type="lines" w:linePitch="312" w:charSpace="0"/>
        </w:sectPr>
      </w:pPr>
      <w:bookmarkStart w:id="11" w:name="_Toc7265"/>
      <w:bookmarkStart w:id="12" w:name="_Toc400810936"/>
    </w:p>
    <w:p w14:paraId="76E79B26">
      <w:pPr>
        <w:rPr>
          <w:rFonts w:hint="eastAsia"/>
          <w:highlight w:val="none"/>
        </w:rPr>
      </w:pPr>
    </w:p>
    <w:p w14:paraId="274E4F76">
      <w:pPr>
        <w:pStyle w:val="3"/>
        <w:numPr>
          <w:ilvl w:val="0"/>
          <w:numId w:val="0"/>
        </w:numP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附件</w:t>
      </w:r>
      <w:r>
        <w:rPr>
          <w:rFonts w:hint="eastAsia" w:ascii="宋体" w:hAnsi="宋体" w:eastAsia="宋体" w:cs="宋体"/>
          <w:color w:val="000000"/>
          <w:sz w:val="28"/>
          <w:szCs w:val="28"/>
          <w:highlight w:val="none"/>
          <w:lang w:val="en-US" w:eastAsia="zh-CN"/>
        </w:rPr>
        <w:t>6</w:t>
      </w:r>
      <w:r>
        <w:rPr>
          <w:rFonts w:hint="eastAsia" w:ascii="宋体" w:hAnsi="宋体" w:eastAsia="宋体" w:cs="宋体"/>
          <w:color w:val="000000"/>
          <w:sz w:val="28"/>
          <w:szCs w:val="28"/>
          <w:highlight w:val="none"/>
        </w:rPr>
        <w:t>——报价明细表</w:t>
      </w:r>
      <w:bookmarkEnd w:id="11"/>
      <w:bookmarkEnd w:id="12"/>
    </w:p>
    <w:p w14:paraId="0ACB8AC7">
      <w:pPr>
        <w:jc w:val="center"/>
        <w:rPr>
          <w:rFonts w:hint="eastAsia" w:ascii="仿宋_GB2312" w:hAnsi="仿宋_GB2312" w:eastAsia="仿宋_GB2312" w:cs="仿宋_GB2312"/>
          <w:b/>
          <w:color w:val="000000"/>
          <w:sz w:val="24"/>
          <w:szCs w:val="24"/>
          <w:highlight w:val="none"/>
        </w:rPr>
      </w:pPr>
      <w:r>
        <w:rPr>
          <w:rFonts w:hint="eastAsia" w:ascii="仿宋_GB2312" w:hAnsi="仿宋_GB2312" w:eastAsia="仿宋_GB2312" w:cs="仿宋_GB2312"/>
          <w:b/>
          <w:color w:val="000000"/>
          <w:sz w:val="24"/>
          <w:szCs w:val="24"/>
          <w:highlight w:val="none"/>
        </w:rPr>
        <w:t>报价明细表</w:t>
      </w:r>
    </w:p>
    <w:p w14:paraId="638469D7">
      <w:pPr>
        <w:adjustRightInd w:val="0"/>
        <w:snapToGrid w:val="0"/>
        <w:spacing w:line="360" w:lineRule="auto"/>
        <w:rPr>
          <w:rFonts w:hint="eastAsia" w:ascii="仿宋_GB2312" w:hAnsi="仿宋_GB2312" w:eastAsia="仿宋_GB2312" w:cs="仿宋_GB2312"/>
          <w:b/>
          <w:bCs/>
          <w:color w:val="000000"/>
          <w:sz w:val="24"/>
          <w:szCs w:val="24"/>
          <w:highlight w:val="none"/>
        </w:rPr>
      </w:pPr>
      <w:r>
        <w:rPr>
          <w:rFonts w:hint="eastAsia" w:ascii="仿宋_GB2312" w:hAnsi="仿宋_GB2312" w:eastAsia="仿宋_GB2312" w:cs="仿宋_GB2312"/>
          <w:color w:val="000000"/>
          <w:spacing w:val="12"/>
          <w:sz w:val="24"/>
          <w:szCs w:val="24"/>
          <w:highlight w:val="none"/>
        </w:rPr>
        <w:t>项目名称:2025世界泳联跳水世界杯总决赛（北京）</w:t>
      </w:r>
      <w:r>
        <w:rPr>
          <w:rFonts w:hint="eastAsia" w:ascii="仿宋_GB2312" w:hAnsi="仿宋_GB2312" w:eastAsia="仿宋_GB2312" w:cs="仿宋_GB2312"/>
          <w:b w:val="0"/>
          <w:bCs w:val="0"/>
          <w:color w:val="000000"/>
          <w:sz w:val="24"/>
          <w:szCs w:val="24"/>
          <w:highlight w:val="none"/>
          <w:lang w:eastAsia="zh-CN"/>
        </w:rPr>
        <w:t>交通服务</w:t>
      </w:r>
    </w:p>
    <w:p w14:paraId="4F961220">
      <w:pPr>
        <w:snapToGrid w:val="0"/>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报价单位：人民币元</w:t>
      </w:r>
    </w:p>
    <w:p w14:paraId="338C4657">
      <w:pPr>
        <w:snapToGrid w:val="0"/>
        <w:ind w:firstLine="528" w:firstLineChars="200"/>
        <w:jc w:val="center"/>
        <w:rPr>
          <w:rFonts w:hint="eastAsia" w:ascii="仿宋_GB2312" w:hAnsi="仿宋_GB2312" w:eastAsia="仿宋_GB2312" w:cs="仿宋_GB2312"/>
          <w:color w:val="000000"/>
          <w:spacing w:val="12"/>
          <w:sz w:val="24"/>
          <w:szCs w:val="24"/>
          <w:highlight w:val="yellow"/>
        </w:rPr>
      </w:pPr>
    </w:p>
    <w:tbl>
      <w:tblPr>
        <w:tblStyle w:val="7"/>
        <w:tblW w:w="5749" w:type="pct"/>
        <w:tblInd w:w="-6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1694"/>
        <w:gridCol w:w="1612"/>
        <w:gridCol w:w="1239"/>
        <w:gridCol w:w="989"/>
        <w:gridCol w:w="1116"/>
        <w:gridCol w:w="868"/>
        <w:gridCol w:w="1873"/>
      </w:tblGrid>
      <w:tr w14:paraId="5E075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pct"/>
            <w:tcBorders>
              <w:top w:val="single" w:color="auto" w:sz="4" w:space="0"/>
              <w:left w:val="single" w:color="auto" w:sz="4" w:space="0"/>
              <w:bottom w:val="single" w:color="auto" w:sz="4" w:space="0"/>
              <w:right w:val="single" w:color="auto" w:sz="4" w:space="0"/>
            </w:tcBorders>
            <w:noWrap w:val="0"/>
            <w:vAlign w:val="center"/>
          </w:tcPr>
          <w:p w14:paraId="78213EA1">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sz w:val="24"/>
                <w:szCs w:val="24"/>
                <w:highlight w:val="none"/>
                <w:lang w:val="en-US"/>
              </w:rPr>
            </w:pPr>
            <w:bookmarkStart w:id="13" w:name="OLE_LINK2" w:colFirst="0" w:colLast="5"/>
            <w:r>
              <w:rPr>
                <w:rFonts w:hint="eastAsia" w:ascii="仿宋_GB2312" w:hAnsi="仿宋_GB2312" w:eastAsia="仿宋_GB2312" w:cs="仿宋_GB2312"/>
                <w:b/>
                <w:bCs/>
                <w:kern w:val="2"/>
                <w:sz w:val="24"/>
                <w:szCs w:val="24"/>
                <w:highlight w:val="none"/>
                <w:lang w:val="en-US" w:eastAsia="zh-CN" w:bidi="ar"/>
              </w:rPr>
              <w:t>序号</w:t>
            </w:r>
          </w:p>
        </w:tc>
        <w:tc>
          <w:tcPr>
            <w:tcW w:w="812" w:type="pct"/>
            <w:tcBorders>
              <w:top w:val="single" w:color="auto" w:sz="4" w:space="0"/>
              <w:left w:val="single" w:color="auto" w:sz="4" w:space="0"/>
              <w:bottom w:val="single" w:color="auto" w:sz="4" w:space="0"/>
              <w:right w:val="single" w:color="auto" w:sz="4" w:space="0"/>
            </w:tcBorders>
            <w:noWrap w:val="0"/>
            <w:vAlign w:val="center"/>
          </w:tcPr>
          <w:p w14:paraId="6C957735">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sz w:val="24"/>
                <w:szCs w:val="24"/>
                <w:highlight w:val="none"/>
                <w:lang w:val="en-US"/>
              </w:rPr>
            </w:pPr>
            <w:r>
              <w:rPr>
                <w:rFonts w:hint="eastAsia" w:ascii="仿宋_GB2312" w:hAnsi="仿宋_GB2312" w:eastAsia="仿宋_GB2312" w:cs="仿宋_GB2312"/>
                <w:b/>
                <w:bCs/>
                <w:kern w:val="2"/>
                <w:sz w:val="24"/>
                <w:szCs w:val="24"/>
                <w:highlight w:val="none"/>
                <w:lang w:val="en-US" w:eastAsia="zh-CN" w:bidi="ar"/>
              </w:rPr>
              <w:t>服务内容</w:t>
            </w:r>
          </w:p>
        </w:tc>
        <w:tc>
          <w:tcPr>
            <w:tcW w:w="773" w:type="pct"/>
            <w:tcBorders>
              <w:top w:val="single" w:color="auto" w:sz="4" w:space="0"/>
              <w:left w:val="single" w:color="auto" w:sz="4" w:space="0"/>
              <w:bottom w:val="single" w:color="auto" w:sz="4" w:space="0"/>
              <w:right w:val="single" w:color="auto" w:sz="4" w:space="0"/>
            </w:tcBorders>
            <w:noWrap w:val="0"/>
            <w:vAlign w:val="center"/>
          </w:tcPr>
          <w:p w14:paraId="1169D8C7">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sz w:val="24"/>
                <w:szCs w:val="24"/>
                <w:highlight w:val="none"/>
                <w:lang w:val="en-US"/>
              </w:rPr>
            </w:pPr>
            <w:r>
              <w:rPr>
                <w:rFonts w:hint="eastAsia" w:ascii="仿宋_GB2312" w:hAnsi="仿宋_GB2312" w:eastAsia="仿宋_GB2312" w:cs="仿宋_GB2312"/>
                <w:b/>
                <w:bCs/>
                <w:kern w:val="2"/>
                <w:sz w:val="24"/>
                <w:szCs w:val="24"/>
                <w:highlight w:val="none"/>
                <w:lang w:val="en-US" w:eastAsia="zh-CN" w:bidi="ar"/>
              </w:rPr>
              <w:t>分项名称</w:t>
            </w:r>
          </w:p>
        </w:tc>
        <w:tc>
          <w:tcPr>
            <w:tcW w:w="594" w:type="pct"/>
            <w:tcBorders>
              <w:top w:val="single" w:color="auto" w:sz="4" w:space="0"/>
              <w:left w:val="single" w:color="auto" w:sz="4" w:space="0"/>
              <w:bottom w:val="single" w:color="auto" w:sz="4" w:space="0"/>
              <w:right w:val="single" w:color="auto" w:sz="4" w:space="0"/>
            </w:tcBorders>
            <w:noWrap w:val="0"/>
            <w:vAlign w:val="center"/>
          </w:tcPr>
          <w:p w14:paraId="667F61C6">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sz w:val="24"/>
                <w:szCs w:val="24"/>
                <w:highlight w:val="none"/>
                <w:lang w:val="en-US"/>
              </w:rPr>
            </w:pPr>
            <w:r>
              <w:rPr>
                <w:rFonts w:hint="eastAsia" w:ascii="仿宋_GB2312" w:hAnsi="仿宋_GB2312" w:eastAsia="仿宋_GB2312" w:cs="仿宋_GB2312"/>
                <w:b/>
                <w:bCs/>
                <w:kern w:val="2"/>
                <w:sz w:val="24"/>
                <w:szCs w:val="24"/>
                <w:highlight w:val="none"/>
                <w:lang w:val="en-US" w:eastAsia="zh-CN" w:bidi="ar"/>
              </w:rPr>
              <w:t>计量</w:t>
            </w:r>
          </w:p>
          <w:p w14:paraId="323C59E4">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sz w:val="24"/>
                <w:szCs w:val="24"/>
                <w:highlight w:val="none"/>
                <w:lang w:val="en-US"/>
              </w:rPr>
            </w:pPr>
            <w:r>
              <w:rPr>
                <w:rFonts w:hint="eastAsia" w:ascii="仿宋_GB2312" w:hAnsi="仿宋_GB2312" w:eastAsia="仿宋_GB2312" w:cs="仿宋_GB2312"/>
                <w:b/>
                <w:bCs/>
                <w:kern w:val="2"/>
                <w:sz w:val="24"/>
                <w:szCs w:val="24"/>
                <w:highlight w:val="none"/>
                <w:lang w:val="en-US" w:eastAsia="zh-CN" w:bidi="ar"/>
              </w:rPr>
              <w:t>单位</w:t>
            </w:r>
          </w:p>
        </w:tc>
        <w:tc>
          <w:tcPr>
            <w:tcW w:w="474" w:type="pct"/>
            <w:tcBorders>
              <w:top w:val="single" w:color="auto" w:sz="4" w:space="0"/>
              <w:left w:val="single" w:color="auto" w:sz="4" w:space="0"/>
              <w:bottom w:val="single" w:color="auto" w:sz="4" w:space="0"/>
              <w:right w:val="single" w:color="auto" w:sz="4" w:space="0"/>
            </w:tcBorders>
            <w:noWrap w:val="0"/>
            <w:vAlign w:val="center"/>
          </w:tcPr>
          <w:p w14:paraId="64C423EC">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sz w:val="24"/>
                <w:szCs w:val="24"/>
                <w:highlight w:val="none"/>
                <w:lang w:val="en-US"/>
              </w:rPr>
            </w:pPr>
            <w:r>
              <w:rPr>
                <w:rFonts w:hint="eastAsia" w:ascii="仿宋_GB2312" w:hAnsi="仿宋_GB2312" w:eastAsia="仿宋_GB2312" w:cs="仿宋_GB2312"/>
                <w:b/>
                <w:bCs/>
                <w:kern w:val="2"/>
                <w:sz w:val="24"/>
                <w:szCs w:val="24"/>
                <w:highlight w:val="none"/>
                <w:lang w:val="en-US" w:eastAsia="zh-CN" w:bidi="ar"/>
              </w:rPr>
              <w:t>总量</w:t>
            </w:r>
          </w:p>
          <w:p w14:paraId="03533847">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sz w:val="24"/>
                <w:szCs w:val="24"/>
                <w:highlight w:val="none"/>
                <w:lang w:val="en-US"/>
              </w:rPr>
            </w:pPr>
            <w:r>
              <w:rPr>
                <w:rFonts w:hint="eastAsia" w:ascii="仿宋_GB2312" w:hAnsi="仿宋_GB2312" w:eastAsia="仿宋_GB2312" w:cs="仿宋_GB2312"/>
                <w:b/>
                <w:bCs/>
                <w:kern w:val="2"/>
                <w:sz w:val="24"/>
                <w:szCs w:val="24"/>
                <w:highlight w:val="none"/>
                <w:lang w:val="en-US" w:eastAsia="zh-CN" w:bidi="ar"/>
              </w:rPr>
              <w:t>需求</w:t>
            </w:r>
          </w:p>
        </w:tc>
        <w:tc>
          <w:tcPr>
            <w:tcW w:w="535" w:type="pct"/>
            <w:tcBorders>
              <w:top w:val="single" w:color="auto" w:sz="4" w:space="0"/>
              <w:left w:val="single" w:color="auto" w:sz="4" w:space="0"/>
              <w:bottom w:val="single" w:color="auto" w:sz="4" w:space="0"/>
              <w:right w:val="single" w:color="auto" w:sz="4" w:space="0"/>
            </w:tcBorders>
            <w:noWrap w:val="0"/>
            <w:vAlign w:val="center"/>
          </w:tcPr>
          <w:p w14:paraId="7BB1BB54">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kern w:val="2"/>
                <w:sz w:val="24"/>
                <w:szCs w:val="24"/>
                <w:highlight w:val="none"/>
                <w:lang w:val="en-US" w:eastAsia="zh-CN" w:bidi="ar"/>
              </w:rPr>
            </w:pPr>
            <w:r>
              <w:rPr>
                <w:rFonts w:hint="eastAsia" w:ascii="仿宋_GB2312" w:hAnsi="仿宋_GB2312" w:eastAsia="仿宋_GB2312" w:cs="仿宋_GB2312"/>
                <w:b/>
                <w:bCs/>
                <w:kern w:val="2"/>
                <w:sz w:val="24"/>
                <w:szCs w:val="24"/>
                <w:highlight w:val="none"/>
                <w:lang w:val="en-US" w:eastAsia="zh-CN" w:bidi="ar"/>
              </w:rPr>
              <w:t>单价</w:t>
            </w:r>
          </w:p>
        </w:tc>
        <w:tc>
          <w:tcPr>
            <w:tcW w:w="416" w:type="pct"/>
            <w:tcBorders>
              <w:top w:val="single" w:color="auto" w:sz="4" w:space="0"/>
              <w:left w:val="single" w:color="auto" w:sz="4" w:space="0"/>
              <w:bottom w:val="single" w:color="auto" w:sz="4" w:space="0"/>
              <w:right w:val="single" w:color="auto" w:sz="4" w:space="0"/>
            </w:tcBorders>
            <w:noWrap w:val="0"/>
            <w:vAlign w:val="center"/>
          </w:tcPr>
          <w:p w14:paraId="250F7494">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kern w:val="2"/>
                <w:sz w:val="24"/>
                <w:szCs w:val="24"/>
                <w:highlight w:val="none"/>
                <w:lang w:val="en-US" w:eastAsia="zh-CN" w:bidi="ar"/>
              </w:rPr>
            </w:pPr>
            <w:r>
              <w:rPr>
                <w:rFonts w:hint="eastAsia" w:ascii="仿宋_GB2312" w:hAnsi="仿宋_GB2312" w:eastAsia="仿宋_GB2312" w:cs="仿宋_GB2312"/>
                <w:b/>
                <w:bCs/>
                <w:kern w:val="2"/>
                <w:sz w:val="24"/>
                <w:szCs w:val="24"/>
                <w:highlight w:val="none"/>
                <w:lang w:val="en-US" w:eastAsia="zh-CN" w:bidi="ar"/>
              </w:rPr>
              <w:t>合计</w:t>
            </w:r>
          </w:p>
          <w:p w14:paraId="2AF53A3A">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sz w:val="24"/>
                <w:szCs w:val="24"/>
                <w:highlight w:val="none"/>
                <w:lang w:val="en-US"/>
              </w:rPr>
            </w:pPr>
            <w:r>
              <w:rPr>
                <w:rFonts w:hint="eastAsia" w:ascii="仿宋_GB2312" w:hAnsi="仿宋_GB2312" w:eastAsia="仿宋_GB2312" w:cs="仿宋_GB2312"/>
                <w:b/>
                <w:bCs/>
                <w:kern w:val="2"/>
                <w:sz w:val="24"/>
                <w:szCs w:val="24"/>
                <w:highlight w:val="none"/>
                <w:lang w:val="en-US" w:eastAsia="zh-CN" w:bidi="ar"/>
              </w:rPr>
              <w:t>金额</w:t>
            </w:r>
          </w:p>
        </w:tc>
        <w:tc>
          <w:tcPr>
            <w:tcW w:w="898" w:type="pct"/>
            <w:tcBorders>
              <w:top w:val="single" w:color="auto" w:sz="4" w:space="0"/>
              <w:left w:val="single" w:color="auto" w:sz="4" w:space="0"/>
              <w:bottom w:val="single" w:color="auto" w:sz="4" w:space="0"/>
              <w:right w:val="single" w:color="auto" w:sz="4" w:space="0"/>
            </w:tcBorders>
            <w:noWrap w:val="0"/>
            <w:vAlign w:val="center"/>
          </w:tcPr>
          <w:p w14:paraId="7C772756">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sz w:val="24"/>
                <w:szCs w:val="24"/>
                <w:highlight w:val="none"/>
                <w:lang w:val="en-US"/>
              </w:rPr>
            </w:pPr>
            <w:r>
              <w:rPr>
                <w:rFonts w:hint="eastAsia" w:ascii="仿宋_GB2312" w:hAnsi="仿宋_GB2312" w:eastAsia="仿宋_GB2312" w:cs="仿宋_GB2312"/>
                <w:b/>
                <w:bCs/>
                <w:kern w:val="2"/>
                <w:sz w:val="24"/>
                <w:szCs w:val="24"/>
                <w:highlight w:val="none"/>
                <w:lang w:val="en-US" w:eastAsia="zh-CN" w:bidi="ar"/>
              </w:rPr>
              <w:t>备注</w:t>
            </w:r>
          </w:p>
        </w:tc>
      </w:tr>
      <w:tr w14:paraId="3EEB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93" w:type="pct"/>
            <w:vMerge w:val="restart"/>
            <w:tcBorders>
              <w:top w:val="single" w:color="auto" w:sz="4" w:space="0"/>
              <w:left w:val="single" w:color="auto" w:sz="4" w:space="0"/>
              <w:right w:val="single" w:color="auto" w:sz="4" w:space="0"/>
            </w:tcBorders>
            <w:noWrap w:val="0"/>
            <w:vAlign w:val="center"/>
          </w:tcPr>
          <w:p w14:paraId="76AEFCE9">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none"/>
                <w:lang w:val="en-US"/>
              </w:rPr>
            </w:pPr>
            <w:r>
              <w:rPr>
                <w:rFonts w:hint="eastAsia" w:ascii="仿宋_GB2312" w:hAnsi="仿宋_GB2312" w:eastAsia="仿宋_GB2312" w:cs="仿宋_GB2312"/>
                <w:kern w:val="2"/>
                <w:sz w:val="24"/>
                <w:szCs w:val="24"/>
                <w:highlight w:val="none"/>
                <w:lang w:val="en-US" w:eastAsia="zh-CN" w:bidi="ar"/>
              </w:rPr>
              <w:t>1</w:t>
            </w:r>
          </w:p>
        </w:tc>
        <w:tc>
          <w:tcPr>
            <w:tcW w:w="812" w:type="pct"/>
            <w:vMerge w:val="restart"/>
            <w:tcBorders>
              <w:top w:val="single" w:color="auto" w:sz="4" w:space="0"/>
              <w:left w:val="single" w:color="auto" w:sz="4" w:space="0"/>
              <w:right w:val="single" w:color="auto" w:sz="4" w:space="0"/>
            </w:tcBorders>
            <w:noWrap w:val="0"/>
            <w:vAlign w:val="center"/>
          </w:tcPr>
          <w:p w14:paraId="7F0D13F3">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none"/>
                <w:lang w:val="en-US"/>
              </w:rPr>
            </w:pPr>
            <w:r>
              <w:rPr>
                <w:rFonts w:hint="eastAsia" w:ascii="仿宋_GB2312" w:hAnsi="仿宋_GB2312" w:eastAsia="仿宋_GB2312" w:cs="仿宋_GB2312"/>
                <w:kern w:val="2"/>
                <w:sz w:val="24"/>
                <w:szCs w:val="24"/>
                <w:highlight w:val="none"/>
                <w:lang w:val="en-US" w:eastAsia="zh-CN" w:bidi="ar"/>
              </w:rPr>
              <w:t>接送机</w:t>
            </w:r>
          </w:p>
        </w:tc>
        <w:tc>
          <w:tcPr>
            <w:tcW w:w="773" w:type="pct"/>
            <w:tcBorders>
              <w:top w:val="single" w:color="auto" w:sz="4" w:space="0"/>
              <w:left w:val="single" w:color="auto" w:sz="4" w:space="0"/>
              <w:right w:val="single" w:color="auto" w:sz="4" w:space="0"/>
            </w:tcBorders>
            <w:noWrap w:val="0"/>
            <w:vAlign w:val="center"/>
          </w:tcPr>
          <w:p w14:paraId="080F694C">
            <w:pPr>
              <w:keepNext w:val="0"/>
              <w:keepLines w:val="0"/>
              <w:widowControl w:val="0"/>
              <w:suppressLineNumbers w:val="0"/>
              <w:spacing w:before="0" w:beforeAutospacing="0" w:after="0" w:afterAutospacing="0"/>
              <w:ind w:left="0" w:right="0"/>
              <w:jc w:val="center"/>
              <w:rPr>
                <w:rFonts w:hint="eastAsia"/>
                <w:highlight w:val="none"/>
                <w:lang w:val="en-US" w:eastAsia="zh-CN"/>
              </w:rPr>
            </w:pPr>
            <w:r>
              <w:rPr>
                <w:rFonts w:hint="eastAsia" w:ascii="仿宋_GB2312" w:hAnsi="仿宋_GB2312" w:eastAsia="仿宋_GB2312" w:cs="仿宋_GB2312"/>
                <w:kern w:val="2"/>
                <w:sz w:val="24"/>
                <w:szCs w:val="24"/>
                <w:highlight w:val="none"/>
                <w:lang w:val="en-US" w:eastAsia="zh-CN" w:bidi="ar"/>
              </w:rPr>
              <w:t>大巴（50座）</w:t>
            </w:r>
          </w:p>
        </w:tc>
        <w:tc>
          <w:tcPr>
            <w:tcW w:w="594" w:type="pct"/>
            <w:tcBorders>
              <w:top w:val="single" w:color="auto" w:sz="4" w:space="0"/>
              <w:left w:val="single" w:color="auto" w:sz="4" w:space="0"/>
              <w:bottom w:val="single" w:color="auto" w:sz="4" w:space="0"/>
              <w:right w:val="single" w:color="auto" w:sz="4" w:space="0"/>
            </w:tcBorders>
            <w:noWrap w:val="0"/>
            <w:vAlign w:val="center"/>
          </w:tcPr>
          <w:p w14:paraId="605DAB70">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none"/>
                <w:lang w:val="en-US"/>
              </w:rPr>
            </w:pPr>
            <w:r>
              <w:rPr>
                <w:rFonts w:hint="eastAsia" w:ascii="仿宋_GB2312" w:hAnsi="仿宋_GB2312" w:eastAsia="仿宋_GB2312" w:cs="仿宋_GB2312"/>
                <w:kern w:val="2"/>
                <w:sz w:val="24"/>
                <w:szCs w:val="24"/>
                <w:highlight w:val="none"/>
                <w:lang w:val="en-US" w:eastAsia="zh-CN" w:bidi="ar"/>
              </w:rPr>
              <w:t>趟/次</w:t>
            </w:r>
          </w:p>
        </w:tc>
        <w:tc>
          <w:tcPr>
            <w:tcW w:w="474" w:type="pct"/>
            <w:tcBorders>
              <w:top w:val="single" w:color="auto" w:sz="4" w:space="0"/>
              <w:left w:val="single" w:color="auto" w:sz="4" w:space="0"/>
              <w:right w:val="single" w:color="auto" w:sz="4" w:space="0"/>
            </w:tcBorders>
            <w:noWrap w:val="0"/>
            <w:vAlign w:val="center"/>
          </w:tcPr>
          <w:p w14:paraId="3F52CF87">
            <w:pPr>
              <w:keepNext w:val="0"/>
              <w:keepLines w:val="0"/>
              <w:widowControl w:val="0"/>
              <w:suppressLineNumbers w:val="0"/>
              <w:spacing w:before="0" w:beforeAutospacing="0" w:after="0" w:afterAutospacing="0"/>
              <w:ind w:left="0" w:leftChars="0" w:right="0" w:rightChars="0"/>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20</w:t>
            </w:r>
          </w:p>
        </w:tc>
        <w:tc>
          <w:tcPr>
            <w:tcW w:w="535" w:type="pct"/>
            <w:tcBorders>
              <w:top w:val="single" w:color="auto" w:sz="4" w:space="0"/>
              <w:left w:val="single" w:color="auto" w:sz="4" w:space="0"/>
              <w:bottom w:val="single" w:color="auto" w:sz="4" w:space="0"/>
              <w:right w:val="single" w:color="auto" w:sz="4" w:space="0"/>
            </w:tcBorders>
            <w:noWrap w:val="0"/>
            <w:vAlign w:val="top"/>
          </w:tcPr>
          <w:p w14:paraId="4BA39ECB">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highlight w:val="none"/>
                <w:lang w:val="en-US"/>
              </w:rPr>
            </w:pPr>
          </w:p>
        </w:tc>
        <w:tc>
          <w:tcPr>
            <w:tcW w:w="416" w:type="pct"/>
            <w:tcBorders>
              <w:top w:val="single" w:color="auto" w:sz="4" w:space="0"/>
              <w:left w:val="single" w:color="auto" w:sz="4" w:space="0"/>
              <w:right w:val="single" w:color="auto" w:sz="4" w:space="0"/>
            </w:tcBorders>
            <w:noWrap w:val="0"/>
            <w:vAlign w:val="top"/>
          </w:tcPr>
          <w:p w14:paraId="56B84910">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highlight w:val="none"/>
                <w:lang w:val="en-US"/>
              </w:rPr>
            </w:pPr>
          </w:p>
        </w:tc>
        <w:tc>
          <w:tcPr>
            <w:tcW w:w="898" w:type="pct"/>
            <w:vMerge w:val="restart"/>
            <w:tcBorders>
              <w:top w:val="single" w:color="auto" w:sz="4" w:space="0"/>
              <w:left w:val="single" w:color="auto" w:sz="4" w:space="0"/>
              <w:right w:val="single" w:color="auto" w:sz="4" w:space="0"/>
            </w:tcBorders>
            <w:noWrap w:val="0"/>
            <w:vAlign w:val="center"/>
          </w:tcPr>
          <w:p w14:paraId="3E2A8A87">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kern w:val="2"/>
                <w:sz w:val="24"/>
                <w:szCs w:val="24"/>
                <w:highlight w:val="none"/>
                <w:lang w:val="en-US" w:eastAsia="zh-CN" w:bidi="ar"/>
              </w:rPr>
            </w:pPr>
            <w:r>
              <w:rPr>
                <w:rFonts w:hint="eastAsia" w:ascii="仿宋_GB2312" w:hAnsi="仿宋_GB2312" w:eastAsia="仿宋_GB2312" w:cs="仿宋_GB2312"/>
                <w:kern w:val="2"/>
                <w:sz w:val="24"/>
                <w:szCs w:val="24"/>
                <w:highlight w:val="none"/>
                <w:lang w:val="en-US" w:eastAsia="zh-CN" w:bidi="ar"/>
              </w:rPr>
              <w:t>含司机。</w:t>
            </w:r>
          </w:p>
          <w:p w14:paraId="79BE9640">
            <w:pPr>
              <w:keepNext w:val="0"/>
              <w:keepLines w:val="0"/>
              <w:widowControl w:val="0"/>
              <w:suppressLineNumbers w:val="0"/>
              <w:spacing w:before="0" w:beforeAutospacing="0" w:after="0" w:afterAutospacing="0"/>
              <w:ind w:left="0" w:right="0"/>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报价时请综合考虑首都机场和大兴机场接送机情况，后续均以此报价执行服务。</w:t>
            </w:r>
          </w:p>
        </w:tc>
      </w:tr>
      <w:tr w14:paraId="02C68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93" w:type="pct"/>
            <w:vMerge w:val="continue"/>
            <w:tcBorders>
              <w:left w:val="single" w:color="auto" w:sz="4" w:space="0"/>
              <w:right w:val="single" w:color="auto" w:sz="4" w:space="0"/>
            </w:tcBorders>
            <w:noWrap w:val="0"/>
            <w:vAlign w:val="center"/>
          </w:tcPr>
          <w:p w14:paraId="1A01151C">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highlight w:val="none"/>
              </w:rPr>
            </w:pPr>
          </w:p>
        </w:tc>
        <w:tc>
          <w:tcPr>
            <w:tcW w:w="812" w:type="pct"/>
            <w:vMerge w:val="continue"/>
            <w:tcBorders>
              <w:left w:val="single" w:color="auto" w:sz="4" w:space="0"/>
              <w:right w:val="single" w:color="auto" w:sz="4" w:space="0"/>
            </w:tcBorders>
            <w:noWrap w:val="0"/>
            <w:vAlign w:val="center"/>
          </w:tcPr>
          <w:p w14:paraId="5CF2A477">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highlight w:val="none"/>
              </w:rPr>
            </w:pPr>
          </w:p>
        </w:tc>
        <w:tc>
          <w:tcPr>
            <w:tcW w:w="773" w:type="pct"/>
            <w:tcBorders>
              <w:top w:val="single" w:color="auto" w:sz="4" w:space="0"/>
              <w:left w:val="single" w:color="auto" w:sz="4" w:space="0"/>
              <w:right w:val="single" w:color="auto" w:sz="4" w:space="0"/>
            </w:tcBorders>
            <w:noWrap w:val="0"/>
            <w:vAlign w:val="center"/>
          </w:tcPr>
          <w:p w14:paraId="41075658">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4"/>
                <w:szCs w:val="24"/>
                <w:highlight w:val="none"/>
                <w:lang w:val="en-US" w:eastAsia="zh-CN" w:bidi="ar"/>
              </w:rPr>
            </w:pPr>
            <w:r>
              <w:rPr>
                <w:rFonts w:hint="eastAsia" w:ascii="仿宋_GB2312" w:hAnsi="仿宋_GB2312" w:eastAsia="仿宋_GB2312" w:cs="仿宋_GB2312"/>
                <w:kern w:val="2"/>
                <w:sz w:val="24"/>
                <w:szCs w:val="24"/>
                <w:highlight w:val="none"/>
                <w:lang w:val="en-US" w:eastAsia="zh-CN" w:bidi="ar"/>
              </w:rPr>
              <w:t>中巴（38座）</w:t>
            </w:r>
          </w:p>
        </w:tc>
        <w:tc>
          <w:tcPr>
            <w:tcW w:w="594" w:type="pct"/>
            <w:tcBorders>
              <w:top w:val="single" w:color="auto" w:sz="4" w:space="0"/>
              <w:left w:val="single" w:color="auto" w:sz="4" w:space="0"/>
              <w:bottom w:val="single" w:color="auto" w:sz="4" w:space="0"/>
              <w:right w:val="single" w:color="auto" w:sz="4" w:space="0"/>
            </w:tcBorders>
            <w:noWrap w:val="0"/>
            <w:vAlign w:val="center"/>
          </w:tcPr>
          <w:p w14:paraId="443DC5EB">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4"/>
                <w:szCs w:val="24"/>
                <w:highlight w:val="none"/>
                <w:lang w:val="en-US" w:eastAsia="zh-CN" w:bidi="ar"/>
              </w:rPr>
            </w:pPr>
            <w:r>
              <w:rPr>
                <w:rFonts w:hint="eastAsia" w:ascii="仿宋_GB2312" w:hAnsi="仿宋_GB2312" w:eastAsia="仿宋_GB2312" w:cs="仿宋_GB2312"/>
                <w:kern w:val="2"/>
                <w:sz w:val="24"/>
                <w:szCs w:val="24"/>
                <w:highlight w:val="none"/>
                <w:lang w:val="en-US" w:eastAsia="zh-CN" w:bidi="ar"/>
              </w:rPr>
              <w:t>趟/次</w:t>
            </w:r>
          </w:p>
        </w:tc>
        <w:tc>
          <w:tcPr>
            <w:tcW w:w="474" w:type="pct"/>
            <w:tcBorders>
              <w:left w:val="single" w:color="auto" w:sz="4" w:space="0"/>
              <w:bottom w:val="single" w:color="auto" w:sz="4" w:space="0"/>
              <w:right w:val="single" w:color="auto" w:sz="4" w:space="0"/>
            </w:tcBorders>
            <w:noWrap w:val="0"/>
            <w:vAlign w:val="center"/>
          </w:tcPr>
          <w:p w14:paraId="12D0C3AC">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w:t>
            </w:r>
          </w:p>
        </w:tc>
        <w:tc>
          <w:tcPr>
            <w:tcW w:w="535" w:type="pct"/>
            <w:tcBorders>
              <w:top w:val="single" w:color="auto" w:sz="4" w:space="0"/>
              <w:left w:val="single" w:color="auto" w:sz="4" w:space="0"/>
              <w:bottom w:val="single" w:color="auto" w:sz="4" w:space="0"/>
              <w:right w:val="single" w:color="auto" w:sz="4" w:space="0"/>
            </w:tcBorders>
            <w:noWrap w:val="0"/>
            <w:vAlign w:val="top"/>
          </w:tcPr>
          <w:p w14:paraId="0834A355">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highlight w:val="none"/>
                <w:lang w:val="en-US"/>
              </w:rPr>
            </w:pPr>
          </w:p>
        </w:tc>
        <w:tc>
          <w:tcPr>
            <w:tcW w:w="416" w:type="pct"/>
            <w:tcBorders>
              <w:left w:val="single" w:color="auto" w:sz="4" w:space="0"/>
              <w:bottom w:val="single" w:color="auto" w:sz="4" w:space="0"/>
              <w:right w:val="single" w:color="auto" w:sz="4" w:space="0"/>
            </w:tcBorders>
            <w:noWrap w:val="0"/>
            <w:vAlign w:val="top"/>
          </w:tcPr>
          <w:p w14:paraId="35DC7528">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highlight w:val="none"/>
                <w:lang w:val="en-US"/>
              </w:rPr>
            </w:pPr>
          </w:p>
        </w:tc>
        <w:tc>
          <w:tcPr>
            <w:tcW w:w="898" w:type="pct"/>
            <w:vMerge w:val="continue"/>
            <w:tcBorders>
              <w:left w:val="single" w:color="auto" w:sz="4" w:space="0"/>
              <w:right w:val="single" w:color="auto" w:sz="4" w:space="0"/>
            </w:tcBorders>
            <w:noWrap w:val="0"/>
            <w:vAlign w:val="center"/>
          </w:tcPr>
          <w:p w14:paraId="2EA492AC">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none"/>
                <w:lang w:val="en-US"/>
              </w:rPr>
            </w:pPr>
          </w:p>
        </w:tc>
      </w:tr>
      <w:tr w14:paraId="61565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493" w:type="pct"/>
            <w:vMerge w:val="continue"/>
            <w:tcBorders>
              <w:left w:val="single" w:color="auto" w:sz="4" w:space="0"/>
              <w:right w:val="single" w:color="auto" w:sz="4" w:space="0"/>
            </w:tcBorders>
            <w:noWrap w:val="0"/>
            <w:vAlign w:val="center"/>
          </w:tcPr>
          <w:p w14:paraId="3F2D91B2">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highlight w:val="none"/>
              </w:rPr>
            </w:pPr>
          </w:p>
        </w:tc>
        <w:tc>
          <w:tcPr>
            <w:tcW w:w="812" w:type="pct"/>
            <w:vMerge w:val="continue"/>
            <w:tcBorders>
              <w:left w:val="single" w:color="auto" w:sz="4" w:space="0"/>
              <w:right w:val="single" w:color="auto" w:sz="4" w:space="0"/>
            </w:tcBorders>
            <w:noWrap w:val="0"/>
            <w:vAlign w:val="center"/>
          </w:tcPr>
          <w:p w14:paraId="3525BE3A">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highlight w:val="none"/>
              </w:rPr>
            </w:pPr>
          </w:p>
        </w:tc>
        <w:tc>
          <w:tcPr>
            <w:tcW w:w="773" w:type="pct"/>
            <w:tcBorders>
              <w:top w:val="single" w:color="auto" w:sz="4" w:space="0"/>
              <w:left w:val="single" w:color="auto" w:sz="4" w:space="0"/>
              <w:right w:val="single" w:color="auto" w:sz="4" w:space="0"/>
            </w:tcBorders>
            <w:shd w:val="clear" w:color="auto" w:fill="auto"/>
            <w:noWrap w:val="0"/>
            <w:vAlign w:val="center"/>
          </w:tcPr>
          <w:p w14:paraId="6744C4FB">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4"/>
                <w:szCs w:val="24"/>
                <w:highlight w:val="none"/>
                <w:lang w:val="en-US" w:eastAsia="zh-CN" w:bidi="ar"/>
              </w:rPr>
            </w:pPr>
            <w:r>
              <w:rPr>
                <w:rFonts w:hint="eastAsia" w:ascii="仿宋_GB2312" w:hAnsi="仿宋_GB2312" w:eastAsia="仿宋_GB2312" w:cs="仿宋_GB2312"/>
                <w:kern w:val="2"/>
                <w:sz w:val="24"/>
                <w:szCs w:val="24"/>
                <w:highlight w:val="none"/>
                <w:lang w:val="en-US" w:eastAsia="zh-CN" w:bidi="ar"/>
              </w:rPr>
              <w:t>小巴（19座）</w:t>
            </w:r>
          </w:p>
        </w:tc>
        <w:tc>
          <w:tcPr>
            <w:tcW w:w="59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CB39A58">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4"/>
                <w:szCs w:val="24"/>
                <w:highlight w:val="none"/>
                <w:lang w:val="en-US" w:eastAsia="zh-CN" w:bidi="ar"/>
              </w:rPr>
            </w:pPr>
            <w:r>
              <w:rPr>
                <w:rFonts w:hint="eastAsia" w:ascii="仿宋_GB2312" w:hAnsi="仿宋_GB2312" w:eastAsia="仿宋_GB2312" w:cs="仿宋_GB2312"/>
                <w:kern w:val="2"/>
                <w:sz w:val="24"/>
                <w:szCs w:val="24"/>
                <w:highlight w:val="none"/>
                <w:lang w:val="en-US" w:eastAsia="zh-CN" w:bidi="ar"/>
              </w:rPr>
              <w:t>趟/次</w:t>
            </w:r>
          </w:p>
        </w:tc>
        <w:tc>
          <w:tcPr>
            <w:tcW w:w="474" w:type="pct"/>
            <w:tcBorders>
              <w:left w:val="single" w:color="auto" w:sz="4" w:space="0"/>
              <w:bottom w:val="single" w:color="auto" w:sz="4" w:space="0"/>
              <w:right w:val="single" w:color="auto" w:sz="4" w:space="0"/>
            </w:tcBorders>
            <w:shd w:val="clear" w:color="auto" w:fill="auto"/>
            <w:noWrap w:val="0"/>
            <w:vAlign w:val="center"/>
          </w:tcPr>
          <w:p w14:paraId="266CF3A1">
            <w:pPr>
              <w:keepNext w:val="0"/>
              <w:keepLines w:val="0"/>
              <w:widowControl w:val="0"/>
              <w:suppressLineNumbers w:val="0"/>
              <w:spacing w:before="0" w:beforeAutospacing="0" w:after="0" w:afterAutospacing="0"/>
              <w:ind w:left="0" w:leftChars="0" w:right="0" w:rightChars="0"/>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7</w:t>
            </w:r>
          </w:p>
        </w:tc>
        <w:tc>
          <w:tcPr>
            <w:tcW w:w="535" w:type="pct"/>
            <w:tcBorders>
              <w:top w:val="single" w:color="auto" w:sz="4" w:space="0"/>
              <w:left w:val="single" w:color="auto" w:sz="4" w:space="0"/>
              <w:bottom w:val="single" w:color="auto" w:sz="4" w:space="0"/>
              <w:right w:val="single" w:color="auto" w:sz="4" w:space="0"/>
            </w:tcBorders>
            <w:noWrap w:val="0"/>
            <w:vAlign w:val="top"/>
          </w:tcPr>
          <w:p w14:paraId="2931E315">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highlight w:val="none"/>
                <w:lang w:val="en-US"/>
              </w:rPr>
            </w:pPr>
          </w:p>
        </w:tc>
        <w:tc>
          <w:tcPr>
            <w:tcW w:w="416" w:type="pct"/>
            <w:tcBorders>
              <w:left w:val="single" w:color="auto" w:sz="4" w:space="0"/>
              <w:bottom w:val="single" w:color="auto" w:sz="4" w:space="0"/>
              <w:right w:val="single" w:color="auto" w:sz="4" w:space="0"/>
            </w:tcBorders>
            <w:noWrap w:val="0"/>
            <w:vAlign w:val="top"/>
          </w:tcPr>
          <w:p w14:paraId="40B61969">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highlight w:val="none"/>
                <w:lang w:val="en-US"/>
              </w:rPr>
            </w:pPr>
          </w:p>
        </w:tc>
        <w:tc>
          <w:tcPr>
            <w:tcW w:w="898" w:type="pct"/>
            <w:vMerge w:val="continue"/>
            <w:tcBorders>
              <w:left w:val="single" w:color="auto" w:sz="4" w:space="0"/>
              <w:right w:val="single" w:color="auto" w:sz="4" w:space="0"/>
            </w:tcBorders>
            <w:noWrap w:val="0"/>
            <w:vAlign w:val="center"/>
          </w:tcPr>
          <w:p w14:paraId="698160BF">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none"/>
                <w:lang w:val="en-US"/>
              </w:rPr>
            </w:pPr>
          </w:p>
        </w:tc>
      </w:tr>
      <w:tr w14:paraId="12D5E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493" w:type="pct"/>
            <w:vMerge w:val="continue"/>
            <w:tcBorders>
              <w:left w:val="single" w:color="auto" w:sz="4" w:space="0"/>
              <w:bottom w:val="single" w:color="auto" w:sz="4" w:space="0"/>
              <w:right w:val="single" w:color="auto" w:sz="4" w:space="0"/>
            </w:tcBorders>
            <w:noWrap w:val="0"/>
            <w:vAlign w:val="center"/>
          </w:tcPr>
          <w:p w14:paraId="5DDB0F37">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highlight w:val="none"/>
              </w:rPr>
            </w:pPr>
          </w:p>
        </w:tc>
        <w:tc>
          <w:tcPr>
            <w:tcW w:w="812" w:type="pct"/>
            <w:vMerge w:val="continue"/>
            <w:tcBorders>
              <w:left w:val="single" w:color="auto" w:sz="4" w:space="0"/>
              <w:bottom w:val="single" w:color="auto" w:sz="4" w:space="0"/>
              <w:right w:val="single" w:color="auto" w:sz="4" w:space="0"/>
            </w:tcBorders>
            <w:noWrap w:val="0"/>
            <w:vAlign w:val="center"/>
          </w:tcPr>
          <w:p w14:paraId="55D46F0A">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center"/>
          </w:tcPr>
          <w:p w14:paraId="1D58C6A7">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4"/>
                <w:szCs w:val="24"/>
                <w:highlight w:val="none"/>
                <w:lang w:val="en-US" w:eastAsia="zh-CN" w:bidi="ar"/>
              </w:rPr>
            </w:pPr>
            <w:r>
              <w:rPr>
                <w:rFonts w:hint="eastAsia" w:ascii="仿宋_GB2312" w:hAnsi="仿宋_GB2312" w:eastAsia="仿宋_GB2312" w:cs="仿宋_GB2312"/>
                <w:kern w:val="2"/>
                <w:sz w:val="24"/>
                <w:szCs w:val="24"/>
                <w:highlight w:val="none"/>
                <w:lang w:val="en-US" w:eastAsia="zh-CN" w:bidi="ar"/>
              </w:rPr>
              <w:t>商务车（7座）</w:t>
            </w:r>
          </w:p>
        </w:tc>
        <w:tc>
          <w:tcPr>
            <w:tcW w:w="594" w:type="pct"/>
            <w:tcBorders>
              <w:top w:val="single" w:color="auto" w:sz="4" w:space="0"/>
              <w:left w:val="single" w:color="auto" w:sz="4" w:space="0"/>
              <w:bottom w:val="single" w:color="auto" w:sz="4" w:space="0"/>
              <w:right w:val="single" w:color="auto" w:sz="4" w:space="0"/>
            </w:tcBorders>
            <w:noWrap w:val="0"/>
            <w:vAlign w:val="center"/>
          </w:tcPr>
          <w:p w14:paraId="37464BE6">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4"/>
                <w:szCs w:val="24"/>
                <w:highlight w:val="none"/>
                <w:lang w:val="en-US" w:eastAsia="zh-CN" w:bidi="ar"/>
              </w:rPr>
            </w:pPr>
            <w:r>
              <w:rPr>
                <w:rFonts w:hint="eastAsia" w:ascii="仿宋_GB2312" w:hAnsi="仿宋_GB2312" w:eastAsia="仿宋_GB2312" w:cs="仿宋_GB2312"/>
                <w:kern w:val="2"/>
                <w:sz w:val="24"/>
                <w:szCs w:val="24"/>
                <w:highlight w:val="none"/>
                <w:lang w:val="en-US" w:eastAsia="zh-CN" w:bidi="ar"/>
              </w:rPr>
              <w:t>趟/次</w:t>
            </w:r>
          </w:p>
        </w:tc>
        <w:tc>
          <w:tcPr>
            <w:tcW w:w="474" w:type="pct"/>
            <w:tcBorders>
              <w:left w:val="single" w:color="auto" w:sz="4" w:space="0"/>
              <w:bottom w:val="single" w:color="auto" w:sz="4" w:space="0"/>
              <w:right w:val="single" w:color="auto" w:sz="4" w:space="0"/>
            </w:tcBorders>
            <w:noWrap w:val="0"/>
            <w:vAlign w:val="center"/>
          </w:tcPr>
          <w:p w14:paraId="3199670C">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7</w:t>
            </w:r>
          </w:p>
        </w:tc>
        <w:tc>
          <w:tcPr>
            <w:tcW w:w="535" w:type="pct"/>
            <w:tcBorders>
              <w:top w:val="single" w:color="auto" w:sz="4" w:space="0"/>
              <w:left w:val="single" w:color="auto" w:sz="4" w:space="0"/>
              <w:bottom w:val="single" w:color="auto" w:sz="4" w:space="0"/>
              <w:right w:val="single" w:color="auto" w:sz="4" w:space="0"/>
            </w:tcBorders>
            <w:noWrap w:val="0"/>
            <w:vAlign w:val="top"/>
          </w:tcPr>
          <w:p w14:paraId="351AF112">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none"/>
                <w:lang w:val="en-US"/>
              </w:rPr>
            </w:pPr>
          </w:p>
        </w:tc>
        <w:tc>
          <w:tcPr>
            <w:tcW w:w="416" w:type="pct"/>
            <w:tcBorders>
              <w:left w:val="single" w:color="auto" w:sz="4" w:space="0"/>
              <w:bottom w:val="single" w:color="auto" w:sz="4" w:space="0"/>
              <w:right w:val="single" w:color="auto" w:sz="4" w:space="0"/>
            </w:tcBorders>
            <w:noWrap w:val="0"/>
            <w:vAlign w:val="top"/>
          </w:tcPr>
          <w:p w14:paraId="3B007371">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none"/>
                <w:lang w:val="en-US"/>
              </w:rPr>
            </w:pPr>
          </w:p>
        </w:tc>
        <w:tc>
          <w:tcPr>
            <w:tcW w:w="898" w:type="pct"/>
            <w:vMerge w:val="continue"/>
            <w:tcBorders>
              <w:left w:val="single" w:color="auto" w:sz="4" w:space="0"/>
              <w:right w:val="single" w:color="auto" w:sz="4" w:space="0"/>
            </w:tcBorders>
            <w:noWrap w:val="0"/>
            <w:vAlign w:val="center"/>
          </w:tcPr>
          <w:p w14:paraId="287E59BC">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none"/>
                <w:lang w:val="en-US"/>
              </w:rPr>
            </w:pPr>
          </w:p>
        </w:tc>
      </w:tr>
      <w:tr w14:paraId="21DDD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pct"/>
            <w:vMerge w:val="restart"/>
            <w:tcBorders>
              <w:top w:val="single" w:color="auto" w:sz="4" w:space="0"/>
              <w:left w:val="single" w:color="auto" w:sz="4" w:space="0"/>
              <w:bottom w:val="single" w:color="auto" w:sz="4" w:space="0"/>
              <w:right w:val="single" w:color="auto" w:sz="4" w:space="0"/>
            </w:tcBorders>
            <w:noWrap w:val="0"/>
            <w:vAlign w:val="center"/>
          </w:tcPr>
          <w:p w14:paraId="2496EF47">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none"/>
                <w:lang w:val="en-US"/>
              </w:rPr>
            </w:pPr>
            <w:r>
              <w:rPr>
                <w:rFonts w:hint="eastAsia" w:ascii="仿宋_GB2312" w:hAnsi="仿宋_GB2312" w:eastAsia="仿宋_GB2312" w:cs="仿宋_GB2312"/>
                <w:kern w:val="2"/>
                <w:sz w:val="24"/>
                <w:szCs w:val="24"/>
                <w:highlight w:val="none"/>
                <w:lang w:val="en-US" w:eastAsia="zh-CN" w:bidi="ar"/>
              </w:rPr>
              <w:t>2</w:t>
            </w:r>
          </w:p>
        </w:tc>
        <w:tc>
          <w:tcPr>
            <w:tcW w:w="812" w:type="pct"/>
            <w:vMerge w:val="restart"/>
            <w:tcBorders>
              <w:top w:val="single" w:color="auto" w:sz="4" w:space="0"/>
              <w:left w:val="single" w:color="auto" w:sz="4" w:space="0"/>
              <w:bottom w:val="single" w:color="auto" w:sz="4" w:space="0"/>
              <w:right w:val="single" w:color="auto" w:sz="4" w:space="0"/>
            </w:tcBorders>
            <w:noWrap w:val="0"/>
            <w:vAlign w:val="center"/>
          </w:tcPr>
          <w:p w14:paraId="76258E54">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市内用车</w:t>
            </w:r>
          </w:p>
        </w:tc>
        <w:tc>
          <w:tcPr>
            <w:tcW w:w="773" w:type="pct"/>
            <w:tcBorders>
              <w:top w:val="single" w:color="auto" w:sz="4" w:space="0"/>
              <w:left w:val="single" w:color="auto" w:sz="4" w:space="0"/>
              <w:bottom w:val="single" w:color="auto" w:sz="4" w:space="0"/>
              <w:right w:val="single" w:color="auto" w:sz="4" w:space="0"/>
            </w:tcBorders>
            <w:noWrap w:val="0"/>
            <w:vAlign w:val="top"/>
          </w:tcPr>
          <w:p w14:paraId="66AF9755">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highlight w:val="none"/>
                <w:lang w:val="en-US"/>
              </w:rPr>
            </w:pPr>
            <w:r>
              <w:rPr>
                <w:rFonts w:hint="eastAsia" w:ascii="仿宋_GB2312" w:hAnsi="仿宋_GB2312" w:eastAsia="仿宋_GB2312" w:cs="仿宋_GB2312"/>
                <w:kern w:val="2"/>
                <w:sz w:val="24"/>
                <w:szCs w:val="24"/>
                <w:highlight w:val="none"/>
                <w:lang w:val="en-US" w:eastAsia="zh-CN" w:bidi="ar"/>
              </w:rPr>
              <w:t>大巴（50座）</w:t>
            </w:r>
          </w:p>
        </w:tc>
        <w:tc>
          <w:tcPr>
            <w:tcW w:w="594" w:type="pct"/>
            <w:tcBorders>
              <w:top w:val="single" w:color="auto" w:sz="4" w:space="0"/>
              <w:left w:val="single" w:color="auto" w:sz="4" w:space="0"/>
              <w:bottom w:val="single" w:color="auto" w:sz="4" w:space="0"/>
              <w:right w:val="single" w:color="auto" w:sz="4" w:space="0"/>
            </w:tcBorders>
            <w:noWrap w:val="0"/>
            <w:vAlign w:val="top"/>
          </w:tcPr>
          <w:p w14:paraId="392F04D4">
            <w:pPr>
              <w:keepNext w:val="0"/>
              <w:keepLines w:val="0"/>
              <w:widowControl w:val="0"/>
              <w:suppressLineNumbers w:val="0"/>
              <w:spacing w:before="0" w:beforeAutospacing="0" w:after="0" w:afterAutospacing="0"/>
              <w:ind w:left="0" w:right="0"/>
              <w:jc w:val="center"/>
              <w:rPr>
                <w:rFonts w:hint="default" w:ascii="仿宋_GB2312" w:hAnsi="仿宋_GB2312" w:eastAsia="仿宋_GB2312" w:cs="仿宋_GB2312"/>
                <w:sz w:val="24"/>
                <w:szCs w:val="24"/>
                <w:highlight w:val="none"/>
                <w:lang w:val="en-US"/>
              </w:rPr>
            </w:pPr>
            <w:r>
              <w:rPr>
                <w:rFonts w:hint="eastAsia" w:ascii="仿宋_GB2312" w:hAnsi="仿宋_GB2312" w:eastAsia="仿宋_GB2312" w:cs="仿宋_GB2312"/>
                <w:kern w:val="2"/>
                <w:sz w:val="24"/>
                <w:szCs w:val="24"/>
                <w:highlight w:val="none"/>
                <w:lang w:val="en-US" w:eastAsia="zh-CN" w:bidi="ar"/>
              </w:rPr>
              <w:t>辆/班次</w:t>
            </w:r>
          </w:p>
        </w:tc>
        <w:tc>
          <w:tcPr>
            <w:tcW w:w="474" w:type="pct"/>
            <w:tcBorders>
              <w:top w:val="single" w:color="auto" w:sz="4" w:space="0"/>
              <w:left w:val="single" w:color="auto" w:sz="4" w:space="0"/>
              <w:bottom w:val="single" w:color="auto" w:sz="4" w:space="0"/>
              <w:right w:val="single" w:color="auto" w:sz="4" w:space="0"/>
            </w:tcBorders>
            <w:noWrap w:val="0"/>
            <w:vAlign w:val="center"/>
          </w:tcPr>
          <w:p w14:paraId="45B65C41">
            <w:pPr>
              <w:keepNext w:val="0"/>
              <w:keepLines w:val="0"/>
              <w:widowControl w:val="0"/>
              <w:suppressLineNumbers w:val="0"/>
              <w:spacing w:before="0" w:beforeAutospacing="0" w:after="0" w:afterAutospacing="0"/>
              <w:ind w:left="0" w:leftChars="0" w:right="0" w:rightChars="0"/>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48</w:t>
            </w:r>
          </w:p>
        </w:tc>
        <w:tc>
          <w:tcPr>
            <w:tcW w:w="535" w:type="pct"/>
            <w:tcBorders>
              <w:top w:val="single" w:color="auto" w:sz="4" w:space="0"/>
              <w:left w:val="single" w:color="auto" w:sz="4" w:space="0"/>
              <w:bottom w:val="single" w:color="auto" w:sz="4" w:space="0"/>
              <w:right w:val="single" w:color="auto" w:sz="4" w:space="0"/>
            </w:tcBorders>
            <w:noWrap w:val="0"/>
            <w:vAlign w:val="top"/>
          </w:tcPr>
          <w:p w14:paraId="25157F1B">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highlight w:val="none"/>
                <w:lang w:val="en-US"/>
              </w:rPr>
            </w:pPr>
          </w:p>
        </w:tc>
        <w:tc>
          <w:tcPr>
            <w:tcW w:w="416" w:type="pct"/>
            <w:tcBorders>
              <w:top w:val="single" w:color="auto" w:sz="4" w:space="0"/>
              <w:left w:val="single" w:color="auto" w:sz="4" w:space="0"/>
              <w:bottom w:val="single" w:color="auto" w:sz="4" w:space="0"/>
              <w:right w:val="single" w:color="auto" w:sz="4" w:space="0"/>
            </w:tcBorders>
            <w:noWrap w:val="0"/>
            <w:vAlign w:val="top"/>
          </w:tcPr>
          <w:p w14:paraId="08CFFE26">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highlight w:val="none"/>
                <w:lang w:val="en-US"/>
              </w:rPr>
            </w:pPr>
          </w:p>
        </w:tc>
        <w:tc>
          <w:tcPr>
            <w:tcW w:w="898" w:type="pct"/>
            <w:vMerge w:val="restart"/>
            <w:tcBorders>
              <w:left w:val="single" w:color="auto" w:sz="4" w:space="0"/>
              <w:right w:val="single" w:color="auto" w:sz="4" w:space="0"/>
            </w:tcBorders>
            <w:noWrap w:val="0"/>
            <w:vAlign w:val="center"/>
          </w:tcPr>
          <w:p w14:paraId="5934C9B2">
            <w:pPr>
              <w:keepNext w:val="0"/>
              <w:keepLines w:val="0"/>
              <w:widowControl w:val="0"/>
              <w:suppressLineNumbers w:val="0"/>
              <w:spacing w:before="0" w:beforeAutospacing="0" w:after="0" w:afterAutospacing="0"/>
              <w:ind w:left="0" w:right="0"/>
              <w:jc w:val="left"/>
              <w:rPr>
                <w:rFonts w:hint="eastAsia"/>
                <w:highlight w:val="none"/>
                <w:lang w:val="en-US" w:eastAsia="zh-CN"/>
              </w:rPr>
            </w:pPr>
            <w:r>
              <w:rPr>
                <w:rFonts w:hint="eastAsia" w:ascii="仿宋_GB2312" w:hAnsi="仿宋_GB2312" w:eastAsia="仿宋_GB2312" w:cs="仿宋_GB2312"/>
                <w:sz w:val="24"/>
                <w:szCs w:val="24"/>
                <w:highlight w:val="none"/>
                <w:lang w:val="en-US" w:eastAsia="zh-CN"/>
              </w:rPr>
              <w:t>含司机</w:t>
            </w:r>
          </w:p>
        </w:tc>
      </w:tr>
      <w:tr w14:paraId="510F9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93" w:type="pct"/>
            <w:vMerge w:val="continue"/>
            <w:tcBorders>
              <w:left w:val="single" w:color="auto" w:sz="4" w:space="0"/>
              <w:right w:val="single" w:color="auto" w:sz="4" w:space="0"/>
            </w:tcBorders>
            <w:noWrap w:val="0"/>
            <w:vAlign w:val="center"/>
          </w:tcPr>
          <w:p w14:paraId="18F90092">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4"/>
                <w:szCs w:val="24"/>
                <w:highlight w:val="none"/>
                <w:lang w:val="en-US" w:eastAsia="zh-CN" w:bidi="ar"/>
              </w:rPr>
            </w:pPr>
          </w:p>
        </w:tc>
        <w:tc>
          <w:tcPr>
            <w:tcW w:w="812" w:type="pct"/>
            <w:vMerge w:val="continue"/>
            <w:tcBorders>
              <w:left w:val="single" w:color="auto" w:sz="4" w:space="0"/>
              <w:right w:val="single" w:color="auto" w:sz="4" w:space="0"/>
            </w:tcBorders>
            <w:noWrap w:val="0"/>
            <w:vAlign w:val="center"/>
          </w:tcPr>
          <w:p w14:paraId="5A2FED83">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4"/>
                <w:szCs w:val="24"/>
                <w:highlight w:val="none"/>
                <w:lang w:val="en-US" w:eastAsia="zh-CN" w:bidi="ar"/>
              </w:rPr>
            </w:pPr>
          </w:p>
        </w:tc>
        <w:tc>
          <w:tcPr>
            <w:tcW w:w="773"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19D7A24A">
            <w:pPr>
              <w:keepNext w:val="0"/>
              <w:keepLines w:val="0"/>
              <w:widowControl w:val="0"/>
              <w:suppressLineNumbers w:val="0"/>
              <w:spacing w:before="0" w:beforeAutospacing="0" w:after="0" w:afterAutospacing="0"/>
              <w:ind w:left="0" w:leftChars="0" w:right="0" w:rightChars="0"/>
              <w:jc w:val="both"/>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
              </w:rPr>
              <w:t>中巴（38座）</w:t>
            </w:r>
          </w:p>
        </w:tc>
        <w:tc>
          <w:tcPr>
            <w:tcW w:w="594" w:type="pct"/>
            <w:tcBorders>
              <w:top w:val="single" w:color="auto" w:sz="4" w:space="0"/>
              <w:left w:val="single" w:color="auto" w:sz="4" w:space="0"/>
              <w:bottom w:val="single" w:color="auto" w:sz="4" w:space="0"/>
              <w:right w:val="single" w:color="auto" w:sz="4" w:space="0"/>
            </w:tcBorders>
            <w:shd w:val="clear" w:color="auto" w:fill="auto"/>
            <w:noWrap w:val="0"/>
            <w:vAlign w:val="top"/>
          </w:tcPr>
          <w:p w14:paraId="5141E527">
            <w:pPr>
              <w:keepNext w:val="0"/>
              <w:keepLines w:val="0"/>
              <w:widowControl w:val="0"/>
              <w:suppressLineNumbers w:val="0"/>
              <w:spacing w:before="0" w:beforeAutospacing="0" w:after="0" w:afterAutospacing="0"/>
              <w:ind w:left="0" w:leftChars="0" w:right="0" w:rightChars="0"/>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
              </w:rPr>
              <w:t>辆/班次</w:t>
            </w:r>
          </w:p>
        </w:tc>
        <w:tc>
          <w:tcPr>
            <w:tcW w:w="47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1084349">
            <w:pPr>
              <w:keepNext w:val="0"/>
              <w:keepLines w:val="0"/>
              <w:widowControl w:val="0"/>
              <w:suppressLineNumbers w:val="0"/>
              <w:spacing w:before="0" w:beforeAutospacing="0" w:after="0" w:afterAutospacing="0"/>
              <w:ind w:left="0" w:leftChars="0" w:right="0" w:rightChars="0"/>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w:t>
            </w:r>
          </w:p>
        </w:tc>
        <w:tc>
          <w:tcPr>
            <w:tcW w:w="535" w:type="pct"/>
            <w:tcBorders>
              <w:top w:val="single" w:color="auto" w:sz="4" w:space="0"/>
              <w:left w:val="single" w:color="auto" w:sz="4" w:space="0"/>
              <w:bottom w:val="single" w:color="auto" w:sz="4" w:space="0"/>
              <w:right w:val="single" w:color="auto" w:sz="4" w:space="0"/>
            </w:tcBorders>
            <w:noWrap w:val="0"/>
            <w:vAlign w:val="top"/>
          </w:tcPr>
          <w:p w14:paraId="677A70BE">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highlight w:val="none"/>
                <w:lang w:val="en-US"/>
              </w:rPr>
            </w:pPr>
          </w:p>
        </w:tc>
        <w:tc>
          <w:tcPr>
            <w:tcW w:w="416" w:type="pct"/>
            <w:tcBorders>
              <w:top w:val="single" w:color="auto" w:sz="4" w:space="0"/>
              <w:left w:val="single" w:color="auto" w:sz="4" w:space="0"/>
              <w:bottom w:val="single" w:color="auto" w:sz="4" w:space="0"/>
              <w:right w:val="single" w:color="auto" w:sz="4" w:space="0"/>
            </w:tcBorders>
            <w:noWrap w:val="0"/>
            <w:vAlign w:val="top"/>
          </w:tcPr>
          <w:p w14:paraId="1D9893F5">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highlight w:val="none"/>
                <w:lang w:val="en-US"/>
              </w:rPr>
            </w:pPr>
          </w:p>
        </w:tc>
        <w:tc>
          <w:tcPr>
            <w:tcW w:w="898" w:type="pct"/>
            <w:vMerge w:val="continue"/>
            <w:tcBorders>
              <w:left w:val="single" w:color="auto" w:sz="4" w:space="0"/>
              <w:right w:val="single" w:color="auto" w:sz="4" w:space="0"/>
            </w:tcBorders>
            <w:noWrap w:val="0"/>
            <w:vAlign w:val="top"/>
          </w:tcPr>
          <w:p w14:paraId="3AF693AB">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highlight w:val="none"/>
                <w:lang w:val="en-US"/>
              </w:rPr>
            </w:pPr>
          </w:p>
        </w:tc>
      </w:tr>
      <w:tr w14:paraId="69B02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493" w:type="pct"/>
            <w:vMerge w:val="continue"/>
            <w:tcBorders>
              <w:left w:val="single" w:color="auto" w:sz="4" w:space="0"/>
              <w:right w:val="single" w:color="auto" w:sz="4" w:space="0"/>
            </w:tcBorders>
            <w:noWrap w:val="0"/>
            <w:vAlign w:val="center"/>
          </w:tcPr>
          <w:p w14:paraId="771D203C">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4"/>
                <w:szCs w:val="24"/>
                <w:highlight w:val="none"/>
                <w:lang w:val="en-US" w:eastAsia="zh-CN" w:bidi="ar"/>
              </w:rPr>
            </w:pPr>
          </w:p>
        </w:tc>
        <w:tc>
          <w:tcPr>
            <w:tcW w:w="812" w:type="pct"/>
            <w:vMerge w:val="continue"/>
            <w:tcBorders>
              <w:left w:val="single" w:color="auto" w:sz="4" w:space="0"/>
              <w:right w:val="single" w:color="auto" w:sz="4" w:space="0"/>
            </w:tcBorders>
            <w:noWrap w:val="0"/>
            <w:vAlign w:val="center"/>
          </w:tcPr>
          <w:p w14:paraId="7D9293A1">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kern w:val="2"/>
                <w:sz w:val="24"/>
                <w:szCs w:val="24"/>
                <w:highlight w:val="none"/>
                <w:lang w:val="en-US" w:eastAsia="zh-CN" w:bidi="ar"/>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41AB8FE7">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24"/>
                <w:szCs w:val="24"/>
                <w:highlight w:val="none"/>
                <w:lang w:val="en-US" w:eastAsia="zh-CN" w:bidi="ar"/>
              </w:rPr>
            </w:pPr>
            <w:r>
              <w:rPr>
                <w:rFonts w:hint="eastAsia" w:ascii="仿宋_GB2312" w:hAnsi="仿宋_GB2312" w:eastAsia="仿宋_GB2312" w:cs="仿宋_GB2312"/>
                <w:kern w:val="2"/>
                <w:sz w:val="24"/>
                <w:szCs w:val="24"/>
                <w:highlight w:val="none"/>
                <w:lang w:val="en-US" w:eastAsia="zh-CN" w:bidi="ar"/>
              </w:rPr>
              <w:t>小巴（19座）</w:t>
            </w:r>
          </w:p>
        </w:tc>
        <w:tc>
          <w:tcPr>
            <w:tcW w:w="594" w:type="pct"/>
            <w:tcBorders>
              <w:top w:val="single" w:color="auto" w:sz="4" w:space="0"/>
              <w:left w:val="single" w:color="auto" w:sz="4" w:space="0"/>
              <w:bottom w:val="single" w:color="auto" w:sz="4" w:space="0"/>
              <w:right w:val="single" w:color="auto" w:sz="4" w:space="0"/>
            </w:tcBorders>
            <w:noWrap w:val="0"/>
            <w:vAlign w:val="top"/>
          </w:tcPr>
          <w:p w14:paraId="1D439C25">
            <w:pPr>
              <w:keepNext w:val="0"/>
              <w:keepLines w:val="0"/>
              <w:widowControl w:val="0"/>
              <w:suppressLineNumbers w:val="0"/>
              <w:spacing w:before="0" w:beforeAutospacing="0" w:after="0" w:afterAutospacing="0"/>
              <w:ind w:left="0" w:right="0"/>
              <w:jc w:val="center"/>
              <w:rPr>
                <w:rFonts w:hint="default" w:ascii="仿宋_GB2312" w:hAnsi="仿宋_GB2312" w:eastAsia="仿宋_GB2312" w:cs="仿宋_GB2312"/>
                <w:kern w:val="2"/>
                <w:sz w:val="24"/>
                <w:szCs w:val="24"/>
                <w:highlight w:val="none"/>
                <w:lang w:val="en-US" w:eastAsia="zh-CN" w:bidi="ar"/>
              </w:rPr>
            </w:pPr>
            <w:r>
              <w:rPr>
                <w:rFonts w:hint="eastAsia" w:ascii="仿宋_GB2312" w:hAnsi="仿宋_GB2312" w:eastAsia="仿宋_GB2312" w:cs="仿宋_GB2312"/>
                <w:kern w:val="2"/>
                <w:sz w:val="24"/>
                <w:szCs w:val="24"/>
                <w:highlight w:val="none"/>
                <w:lang w:val="en-US" w:eastAsia="zh-CN" w:bidi="ar"/>
              </w:rPr>
              <w:t>辆/班次</w:t>
            </w:r>
          </w:p>
        </w:tc>
        <w:tc>
          <w:tcPr>
            <w:tcW w:w="474" w:type="pct"/>
            <w:tcBorders>
              <w:top w:val="single" w:color="auto" w:sz="4" w:space="0"/>
              <w:left w:val="single" w:color="auto" w:sz="4" w:space="0"/>
              <w:bottom w:val="single" w:color="auto" w:sz="4" w:space="0"/>
              <w:right w:val="single" w:color="auto" w:sz="4" w:space="0"/>
            </w:tcBorders>
            <w:noWrap w:val="0"/>
            <w:vAlign w:val="center"/>
          </w:tcPr>
          <w:p w14:paraId="4FBB4933">
            <w:pPr>
              <w:keepNext w:val="0"/>
              <w:keepLines w:val="0"/>
              <w:widowControl w:val="0"/>
              <w:suppressLineNumbers w:val="0"/>
              <w:spacing w:before="0" w:beforeAutospacing="0" w:after="0" w:afterAutospacing="0"/>
              <w:ind w:left="0" w:leftChars="0" w:right="0" w:rightChars="0"/>
              <w:jc w:val="center"/>
              <w:rPr>
                <w:rFonts w:hint="default"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28</w:t>
            </w:r>
          </w:p>
        </w:tc>
        <w:tc>
          <w:tcPr>
            <w:tcW w:w="535" w:type="pct"/>
            <w:tcBorders>
              <w:top w:val="single" w:color="auto" w:sz="4" w:space="0"/>
              <w:left w:val="single" w:color="auto" w:sz="4" w:space="0"/>
              <w:bottom w:val="single" w:color="auto" w:sz="4" w:space="0"/>
              <w:right w:val="single" w:color="auto" w:sz="4" w:space="0"/>
            </w:tcBorders>
            <w:noWrap w:val="0"/>
            <w:vAlign w:val="top"/>
          </w:tcPr>
          <w:p w14:paraId="3F103723">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highlight w:val="none"/>
                <w:lang w:val="en-US"/>
              </w:rPr>
            </w:pPr>
          </w:p>
        </w:tc>
        <w:tc>
          <w:tcPr>
            <w:tcW w:w="416" w:type="pct"/>
            <w:tcBorders>
              <w:top w:val="single" w:color="auto" w:sz="4" w:space="0"/>
              <w:left w:val="single" w:color="auto" w:sz="4" w:space="0"/>
              <w:bottom w:val="single" w:color="auto" w:sz="4" w:space="0"/>
              <w:right w:val="single" w:color="auto" w:sz="4" w:space="0"/>
            </w:tcBorders>
            <w:noWrap w:val="0"/>
            <w:vAlign w:val="top"/>
          </w:tcPr>
          <w:p w14:paraId="65A8C183">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highlight w:val="none"/>
                <w:lang w:val="en-US"/>
              </w:rPr>
            </w:pPr>
          </w:p>
        </w:tc>
        <w:tc>
          <w:tcPr>
            <w:tcW w:w="898" w:type="pct"/>
            <w:vMerge w:val="continue"/>
            <w:tcBorders>
              <w:left w:val="single" w:color="auto" w:sz="4" w:space="0"/>
              <w:right w:val="single" w:color="auto" w:sz="4" w:space="0"/>
            </w:tcBorders>
            <w:noWrap w:val="0"/>
            <w:vAlign w:val="top"/>
          </w:tcPr>
          <w:p w14:paraId="5E663095">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highlight w:val="none"/>
                <w:lang w:val="en-US"/>
              </w:rPr>
            </w:pPr>
          </w:p>
        </w:tc>
      </w:tr>
      <w:tr w14:paraId="06319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pct"/>
            <w:vMerge w:val="continue"/>
            <w:tcBorders>
              <w:top w:val="single" w:color="auto" w:sz="4" w:space="0"/>
              <w:left w:val="single" w:color="auto" w:sz="4" w:space="0"/>
              <w:bottom w:val="single" w:color="auto" w:sz="4" w:space="0"/>
              <w:right w:val="single" w:color="auto" w:sz="4" w:space="0"/>
            </w:tcBorders>
            <w:noWrap w:val="0"/>
            <w:vAlign w:val="center"/>
          </w:tcPr>
          <w:p w14:paraId="6D96C55B">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highlight w:val="none"/>
              </w:rPr>
            </w:pPr>
          </w:p>
        </w:tc>
        <w:tc>
          <w:tcPr>
            <w:tcW w:w="812" w:type="pct"/>
            <w:vMerge w:val="continue"/>
            <w:tcBorders>
              <w:top w:val="single" w:color="auto" w:sz="4" w:space="0"/>
              <w:left w:val="single" w:color="auto" w:sz="4" w:space="0"/>
              <w:bottom w:val="single" w:color="auto" w:sz="4" w:space="0"/>
              <w:right w:val="single" w:color="auto" w:sz="4" w:space="0"/>
            </w:tcBorders>
            <w:noWrap w:val="0"/>
            <w:vAlign w:val="center"/>
          </w:tcPr>
          <w:p w14:paraId="5CB11DA2">
            <w:pPr>
              <w:keepNext w:val="0"/>
              <w:keepLines w:val="0"/>
              <w:suppressLineNumbers w:val="0"/>
              <w:spacing w:before="0" w:beforeAutospacing="0" w:after="0" w:afterAutospacing="0"/>
              <w:ind w:left="0" w:right="0"/>
              <w:rPr>
                <w:rFonts w:hint="eastAsia" w:ascii="仿宋_GB2312" w:hAnsi="仿宋_GB2312" w:eastAsia="仿宋_GB2312" w:cs="仿宋_GB2312"/>
                <w:kern w:val="2"/>
                <w:sz w:val="24"/>
                <w:szCs w:val="24"/>
                <w:highlight w:val="none"/>
              </w:rPr>
            </w:pPr>
          </w:p>
        </w:tc>
        <w:tc>
          <w:tcPr>
            <w:tcW w:w="773" w:type="pct"/>
            <w:tcBorders>
              <w:top w:val="single" w:color="auto" w:sz="4" w:space="0"/>
              <w:left w:val="single" w:color="auto" w:sz="4" w:space="0"/>
              <w:bottom w:val="single" w:color="auto" w:sz="4" w:space="0"/>
              <w:right w:val="single" w:color="auto" w:sz="4" w:space="0"/>
            </w:tcBorders>
            <w:noWrap w:val="0"/>
            <w:vAlign w:val="top"/>
          </w:tcPr>
          <w:p w14:paraId="7332B4CD">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highlight w:val="none"/>
                <w:lang w:val="en-US"/>
              </w:rPr>
            </w:pPr>
            <w:r>
              <w:rPr>
                <w:rFonts w:hint="eastAsia" w:ascii="仿宋_GB2312" w:hAnsi="仿宋_GB2312" w:eastAsia="仿宋_GB2312" w:cs="仿宋_GB2312"/>
                <w:kern w:val="2"/>
                <w:sz w:val="24"/>
                <w:szCs w:val="24"/>
                <w:highlight w:val="none"/>
                <w:lang w:val="en-US" w:eastAsia="zh-CN" w:bidi="ar"/>
              </w:rPr>
              <w:t>商务车（7座）</w:t>
            </w:r>
          </w:p>
        </w:tc>
        <w:tc>
          <w:tcPr>
            <w:tcW w:w="594" w:type="pct"/>
            <w:tcBorders>
              <w:top w:val="single" w:color="auto" w:sz="4" w:space="0"/>
              <w:left w:val="single" w:color="auto" w:sz="4" w:space="0"/>
              <w:bottom w:val="single" w:color="auto" w:sz="4" w:space="0"/>
              <w:right w:val="single" w:color="auto" w:sz="4" w:space="0"/>
            </w:tcBorders>
            <w:noWrap w:val="0"/>
            <w:vAlign w:val="top"/>
          </w:tcPr>
          <w:p w14:paraId="60CE7A4F">
            <w:pPr>
              <w:keepNext w:val="0"/>
              <w:keepLines w:val="0"/>
              <w:widowControl w:val="0"/>
              <w:suppressLineNumbers w:val="0"/>
              <w:spacing w:before="0" w:beforeAutospacing="0" w:after="0" w:afterAutospacing="0"/>
              <w:ind w:left="0" w:right="0"/>
              <w:jc w:val="center"/>
              <w:rPr>
                <w:rFonts w:hint="default" w:ascii="仿宋_GB2312" w:hAnsi="仿宋_GB2312" w:eastAsia="仿宋_GB2312" w:cs="仿宋_GB2312"/>
                <w:sz w:val="24"/>
                <w:szCs w:val="24"/>
                <w:highlight w:val="none"/>
                <w:lang w:val="en-US"/>
              </w:rPr>
            </w:pPr>
            <w:r>
              <w:rPr>
                <w:rFonts w:hint="eastAsia" w:ascii="仿宋_GB2312" w:hAnsi="仿宋_GB2312" w:eastAsia="仿宋_GB2312" w:cs="仿宋_GB2312"/>
                <w:kern w:val="2"/>
                <w:sz w:val="24"/>
                <w:szCs w:val="24"/>
                <w:highlight w:val="none"/>
                <w:lang w:val="en-US" w:eastAsia="zh-CN" w:bidi="ar"/>
              </w:rPr>
              <w:t>辆/班次</w:t>
            </w:r>
          </w:p>
        </w:tc>
        <w:tc>
          <w:tcPr>
            <w:tcW w:w="474" w:type="pct"/>
            <w:tcBorders>
              <w:top w:val="single" w:color="auto" w:sz="4" w:space="0"/>
              <w:left w:val="single" w:color="auto" w:sz="4" w:space="0"/>
              <w:bottom w:val="single" w:color="auto" w:sz="4" w:space="0"/>
              <w:right w:val="single" w:color="auto" w:sz="4" w:space="0"/>
            </w:tcBorders>
            <w:noWrap w:val="0"/>
            <w:vAlign w:val="center"/>
          </w:tcPr>
          <w:p w14:paraId="4151DC61">
            <w:pPr>
              <w:keepNext w:val="0"/>
              <w:keepLines w:val="0"/>
              <w:widowControl w:val="0"/>
              <w:suppressLineNumbers w:val="0"/>
              <w:spacing w:before="0" w:beforeAutospacing="0" w:after="0" w:afterAutospacing="0"/>
              <w:ind w:left="0" w:leftChars="0" w:right="0" w:rightChars="0"/>
              <w:jc w:val="center"/>
              <w:rPr>
                <w:rFonts w:hint="eastAsia" w:ascii="仿宋_GB2312" w:hAnsi="仿宋_GB2312" w:eastAsia="仿宋_GB2312" w:cs="仿宋_GB2312"/>
                <w:kern w:val="2"/>
                <w:sz w:val="24"/>
                <w:szCs w:val="24"/>
                <w:highlight w:val="none"/>
                <w:lang w:val="en-US" w:eastAsia="zh-CN" w:bidi="ar-SA"/>
              </w:rPr>
            </w:pPr>
            <w:r>
              <w:rPr>
                <w:rFonts w:hint="eastAsia" w:ascii="仿宋_GB2312" w:hAnsi="仿宋_GB2312" w:eastAsia="仿宋_GB2312" w:cs="仿宋_GB2312"/>
                <w:kern w:val="2"/>
                <w:sz w:val="24"/>
                <w:szCs w:val="24"/>
                <w:highlight w:val="none"/>
                <w:lang w:val="en-US" w:eastAsia="zh-CN" w:bidi="ar-SA"/>
              </w:rPr>
              <w:t>30</w:t>
            </w:r>
          </w:p>
        </w:tc>
        <w:tc>
          <w:tcPr>
            <w:tcW w:w="535" w:type="pct"/>
            <w:tcBorders>
              <w:top w:val="single" w:color="auto" w:sz="4" w:space="0"/>
              <w:left w:val="single" w:color="auto" w:sz="4" w:space="0"/>
              <w:bottom w:val="single" w:color="auto" w:sz="4" w:space="0"/>
              <w:right w:val="single" w:color="auto" w:sz="4" w:space="0"/>
            </w:tcBorders>
            <w:noWrap w:val="0"/>
            <w:vAlign w:val="top"/>
          </w:tcPr>
          <w:p w14:paraId="5122B249">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highlight w:val="none"/>
                <w:lang w:val="en-US"/>
              </w:rPr>
            </w:pPr>
          </w:p>
        </w:tc>
        <w:tc>
          <w:tcPr>
            <w:tcW w:w="416" w:type="pct"/>
            <w:tcBorders>
              <w:top w:val="single" w:color="auto" w:sz="4" w:space="0"/>
              <w:left w:val="single" w:color="auto" w:sz="4" w:space="0"/>
              <w:bottom w:val="single" w:color="auto" w:sz="4" w:space="0"/>
              <w:right w:val="single" w:color="auto" w:sz="4" w:space="0"/>
            </w:tcBorders>
            <w:noWrap w:val="0"/>
            <w:vAlign w:val="top"/>
          </w:tcPr>
          <w:p w14:paraId="355EC45F">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highlight w:val="none"/>
                <w:lang w:val="en-US"/>
              </w:rPr>
            </w:pPr>
          </w:p>
        </w:tc>
        <w:tc>
          <w:tcPr>
            <w:tcW w:w="898" w:type="pct"/>
            <w:vMerge w:val="continue"/>
            <w:tcBorders>
              <w:left w:val="single" w:color="auto" w:sz="4" w:space="0"/>
              <w:bottom w:val="single" w:color="auto" w:sz="4" w:space="0"/>
              <w:right w:val="single" w:color="auto" w:sz="4" w:space="0"/>
            </w:tcBorders>
            <w:noWrap w:val="0"/>
            <w:vAlign w:val="top"/>
          </w:tcPr>
          <w:p w14:paraId="2BC7B2F2">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highlight w:val="none"/>
                <w:lang w:val="en-US"/>
              </w:rPr>
            </w:pPr>
          </w:p>
        </w:tc>
      </w:tr>
      <w:bookmarkEnd w:id="13"/>
    </w:tbl>
    <w:p w14:paraId="30AC0235">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4"/>
          <w:szCs w:val="24"/>
          <w:highlight w:val="none"/>
          <w:lang w:val="en-US"/>
        </w:rPr>
      </w:pPr>
    </w:p>
    <w:p w14:paraId="4A715923">
      <w:pPr>
        <w:spacing w:line="360" w:lineRule="auto"/>
        <w:rPr>
          <w:rFonts w:hint="eastAsia" w:ascii="仿宋_GB2312" w:hAnsi="仿宋_GB2312" w:eastAsia="仿宋_GB2312" w:cs="仿宋_GB2312"/>
          <w:color w:val="000000"/>
          <w:sz w:val="24"/>
          <w:szCs w:val="24"/>
          <w:highlight w:val="none"/>
          <w:u w:val="single"/>
        </w:rPr>
      </w:pPr>
      <w:r>
        <w:rPr>
          <w:rFonts w:hint="eastAsia" w:ascii="仿宋_GB2312" w:hAnsi="仿宋_GB2312" w:eastAsia="仿宋_GB2312" w:cs="仿宋_GB2312"/>
          <w:color w:val="000000"/>
          <w:sz w:val="24"/>
          <w:szCs w:val="24"/>
          <w:highlight w:val="none"/>
        </w:rPr>
        <w:t>响应人法定代表人或授权代表（签字或盖章）：</w:t>
      </w:r>
    </w:p>
    <w:p w14:paraId="7A7980B3">
      <w:pPr>
        <w:spacing w:line="360" w:lineRule="auto"/>
        <w:rPr>
          <w:rFonts w:hint="eastAsia" w:ascii="仿宋_GB2312" w:hAnsi="仿宋_GB2312" w:eastAsia="仿宋_GB2312" w:cs="仿宋_GB2312"/>
          <w:color w:val="000000"/>
          <w:sz w:val="24"/>
          <w:szCs w:val="24"/>
          <w:highlight w:val="none"/>
          <w:u w:val="single"/>
        </w:rPr>
      </w:pPr>
      <w:r>
        <w:rPr>
          <w:rFonts w:hint="eastAsia" w:ascii="仿宋_GB2312" w:hAnsi="仿宋_GB2312" w:eastAsia="仿宋_GB2312" w:cs="仿宋_GB2312"/>
          <w:color w:val="000000"/>
          <w:sz w:val="24"/>
          <w:szCs w:val="24"/>
          <w:highlight w:val="none"/>
        </w:rPr>
        <w:t xml:space="preserve">响应人： </w:t>
      </w:r>
      <w:r>
        <w:rPr>
          <w:rFonts w:hint="eastAsia" w:ascii="仿宋_GB2312" w:hAnsi="仿宋_GB2312" w:eastAsia="仿宋_GB2312" w:cs="仿宋_GB2312"/>
          <w:color w:val="000000"/>
          <w:sz w:val="24"/>
          <w:szCs w:val="24"/>
          <w:highlight w:val="none"/>
          <w:u w:val="single"/>
        </w:rPr>
        <w:t>（单位公章）</w:t>
      </w:r>
    </w:p>
    <w:p w14:paraId="1D601B3B">
      <w:pPr>
        <w:spacing w:line="360" w:lineRule="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日   期：   年   月   日</w:t>
      </w:r>
    </w:p>
    <w:p w14:paraId="2A4B78B3">
      <w:pPr>
        <w:spacing w:line="360" w:lineRule="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注：如果不提供详细分项报价将视为没有实质性响应比选文件。</w:t>
      </w:r>
      <w:bookmarkStart w:id="14" w:name="_Toc392267822"/>
      <w:bookmarkEnd w:id="14"/>
      <w:bookmarkStart w:id="15" w:name="_Toc205016936"/>
      <w:bookmarkEnd w:id="15"/>
      <w:bookmarkStart w:id="16" w:name="_Toc219704112"/>
      <w:bookmarkEnd w:id="16"/>
      <w:bookmarkStart w:id="17" w:name="_Toc217895226"/>
      <w:bookmarkEnd w:id="17"/>
    </w:p>
    <w:p w14:paraId="0ADF61B6">
      <w:pPr>
        <w:pStyle w:val="2"/>
        <w:rPr>
          <w:rFonts w:hint="eastAsia"/>
        </w:rPr>
      </w:pPr>
    </w:p>
    <w:p w14:paraId="13F92178">
      <w:pPr>
        <w:pStyle w:val="3"/>
        <w:numPr>
          <w:ilvl w:val="0"/>
          <w:numId w:val="0"/>
        </w:numPr>
        <w:rPr>
          <w:rFonts w:hint="eastAsia" w:ascii="宋体" w:hAnsi="宋体" w:eastAsia="宋体" w:cs="宋体"/>
          <w:color w:val="000000"/>
          <w:sz w:val="28"/>
          <w:szCs w:val="28"/>
          <w:highlight w:val="none"/>
          <w:lang w:val="en-US"/>
        </w:rPr>
      </w:pPr>
      <w:r>
        <w:rPr>
          <w:rFonts w:hint="eastAsia" w:ascii="宋体" w:hAnsi="宋体" w:eastAsia="宋体" w:cs="宋体"/>
          <w:sz w:val="28"/>
          <w:szCs w:val="28"/>
          <w:highlight w:val="none"/>
          <w:lang w:val="en-US" w:eastAsia="zh-CN"/>
        </w:rPr>
        <w:br w:type="page"/>
      </w:r>
      <w:r>
        <w:rPr>
          <w:rFonts w:hint="eastAsia" w:ascii="宋体" w:hAnsi="宋体" w:eastAsia="宋体" w:cs="宋体"/>
          <w:color w:val="000000"/>
          <w:sz w:val="28"/>
          <w:szCs w:val="28"/>
          <w:highlight w:val="none"/>
        </w:rPr>
        <w:t>附件</w:t>
      </w:r>
      <w:r>
        <w:rPr>
          <w:rFonts w:hint="eastAsia" w:ascii="宋体" w:hAnsi="宋体" w:eastAsia="宋体" w:cs="宋体"/>
          <w:color w:val="000000"/>
          <w:sz w:val="28"/>
          <w:szCs w:val="28"/>
          <w:highlight w:val="none"/>
          <w:lang w:val="en-US"/>
        </w:rPr>
        <w:t>7</w:t>
      </w:r>
      <w:r>
        <w:rPr>
          <w:rFonts w:hint="eastAsia" w:ascii="宋体" w:hAnsi="宋体" w:eastAsia="宋体" w:cs="宋体"/>
          <w:color w:val="000000"/>
          <w:sz w:val="28"/>
          <w:szCs w:val="28"/>
          <w:highlight w:val="none"/>
        </w:rPr>
        <w:t>——</w:t>
      </w:r>
      <w:r>
        <w:rPr>
          <w:rFonts w:hint="eastAsia" w:ascii="宋体" w:hAnsi="宋体" w:eastAsia="宋体" w:cs="宋体"/>
          <w:color w:val="000000"/>
          <w:sz w:val="28"/>
          <w:szCs w:val="28"/>
          <w:highlight w:val="none"/>
          <w:lang w:val="en-US" w:eastAsia="zh-Hans"/>
        </w:rPr>
        <w:t>其他资质补充材料</w:t>
      </w:r>
    </w:p>
    <w:p w14:paraId="2C33302A">
      <w:pPr>
        <w:spacing w:line="36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zh-CN"/>
        </w:rPr>
        <w:t>本部分由响应人自行设计，如有则作为评分项</w:t>
      </w:r>
      <w:r>
        <w:rPr>
          <w:rFonts w:hint="eastAsia" w:ascii="仿宋_GB2312" w:hAnsi="仿宋_GB2312" w:eastAsia="仿宋_GB2312" w:cs="仿宋_GB2312"/>
          <w:sz w:val="24"/>
          <w:szCs w:val="24"/>
          <w:highlight w:val="none"/>
        </w:rPr>
        <w:t>）</w:t>
      </w:r>
    </w:p>
    <w:p w14:paraId="326D1359">
      <w:pPr>
        <w:pStyle w:val="2"/>
        <w:rPr>
          <w:rFonts w:hint="eastAsia" w:ascii="仿宋_GB2312" w:hAnsi="仿宋_GB2312" w:eastAsia="仿宋_GB2312" w:cs="仿宋_GB2312"/>
          <w:sz w:val="24"/>
          <w:szCs w:val="24"/>
          <w:highlight w:val="none"/>
        </w:rPr>
      </w:pPr>
    </w:p>
    <w:p w14:paraId="7B65179D">
      <w:pPr>
        <w:pStyle w:val="2"/>
        <w:rPr>
          <w:rFonts w:hint="eastAsia" w:ascii="仿宋_GB2312" w:hAnsi="仿宋_GB2312"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000000"/>
          <w:kern w:val="2"/>
          <w:sz w:val="24"/>
          <w:szCs w:val="24"/>
          <w:highlight w:val="none"/>
          <w:lang w:val="en-US" w:eastAsia="zh-CN" w:bidi="ar-SA"/>
        </w:rPr>
        <w:t>可提供资质证书等，投标文件应胶装制作完整。</w:t>
      </w:r>
    </w:p>
    <w:p w14:paraId="4D271674">
      <w:pPr>
        <w:pStyle w:val="2"/>
        <w:rPr>
          <w:sz w:val="24"/>
          <w:highlight w:val="none"/>
        </w:rPr>
      </w:pPr>
    </w:p>
    <w:p w14:paraId="71C839CA">
      <w:pPr>
        <w:pStyle w:val="2"/>
        <w:rPr>
          <w:sz w:val="24"/>
          <w:highlight w:val="none"/>
        </w:rPr>
      </w:pPr>
    </w:p>
    <w:p w14:paraId="0B086249">
      <w:pPr>
        <w:pStyle w:val="2"/>
        <w:rPr>
          <w:sz w:val="24"/>
          <w:highlight w:val="none"/>
        </w:rPr>
      </w:pPr>
    </w:p>
    <w:p w14:paraId="1351F328">
      <w:pPr>
        <w:pStyle w:val="2"/>
        <w:rPr>
          <w:sz w:val="24"/>
          <w:highlight w:val="none"/>
        </w:rPr>
      </w:pPr>
    </w:p>
    <w:p w14:paraId="6A619B3D"/>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BE3E4F-B886-482E-B800-00C25DD5598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722AD68-AE24-41CC-8FFE-DE8705A4ACC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embedRegular r:id="rId3" w:fontKey="{7AAC9F04-3F25-4F4B-9BCD-56A9FF0F723E}"/>
  </w:font>
  <w:font w:name="仿宋_GB2312">
    <w:panose1 w:val="02010609030101010101"/>
    <w:charset w:val="86"/>
    <w:family w:val="auto"/>
    <w:pitch w:val="default"/>
    <w:sig w:usb0="00000001" w:usb1="080E0000" w:usb2="00000000" w:usb3="00000000" w:csb0="00040000" w:csb1="00000000"/>
    <w:embedRegular r:id="rId4" w:fontKey="{4436F8C4-FFF5-49E1-8E05-262A3F60AC47}"/>
  </w:font>
  <w:font w:name="方正楷体_GB2312">
    <w:panose1 w:val="02000000000000000000"/>
    <w:charset w:val="86"/>
    <w:family w:val="auto"/>
    <w:pitch w:val="default"/>
    <w:sig w:usb0="A00002BF" w:usb1="184F6CFA" w:usb2="00000012" w:usb3="00000000" w:csb0="00040001" w:csb1="00000000"/>
    <w:embedRegular r:id="rId5" w:fontKey="{3BD860BA-AC2A-4F10-8C46-CDB5B59458DD}"/>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1E75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8C6F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B72E58">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3B72E58">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7CF7B6"/>
    <w:multiLevelType w:val="singleLevel"/>
    <w:tmpl w:val="637CF7B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2A3EF3"/>
    <w:rsid w:val="008B2123"/>
    <w:rsid w:val="04A87B02"/>
    <w:rsid w:val="068A4E6D"/>
    <w:rsid w:val="092A3EF3"/>
    <w:rsid w:val="0FAF07F8"/>
    <w:rsid w:val="132F2391"/>
    <w:rsid w:val="168D538B"/>
    <w:rsid w:val="17962667"/>
    <w:rsid w:val="1A4A0A64"/>
    <w:rsid w:val="1FCB16AC"/>
    <w:rsid w:val="236D0B66"/>
    <w:rsid w:val="26255226"/>
    <w:rsid w:val="2E5E3F8A"/>
    <w:rsid w:val="3127383C"/>
    <w:rsid w:val="3A1F2C1F"/>
    <w:rsid w:val="3EF74B85"/>
    <w:rsid w:val="41FF7370"/>
    <w:rsid w:val="479950DE"/>
    <w:rsid w:val="48662A12"/>
    <w:rsid w:val="48715C43"/>
    <w:rsid w:val="4C8C4E6F"/>
    <w:rsid w:val="51843676"/>
    <w:rsid w:val="518C17FA"/>
    <w:rsid w:val="5B084D88"/>
    <w:rsid w:val="5E2D1E40"/>
    <w:rsid w:val="5E816DA1"/>
    <w:rsid w:val="60644EF7"/>
    <w:rsid w:val="66183490"/>
    <w:rsid w:val="67A87126"/>
    <w:rsid w:val="69AC14FD"/>
    <w:rsid w:val="6A174FD6"/>
    <w:rsid w:val="6F993A2D"/>
    <w:rsid w:val="713F665A"/>
    <w:rsid w:val="7A273E95"/>
    <w:rsid w:val="7B0D6374"/>
    <w:rsid w:val="7D7F3B6C"/>
    <w:rsid w:val="7F006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List"/>
    <w:basedOn w:val="1"/>
    <w:qFormat/>
    <w:uiPriority w:val="99"/>
    <w:pPr>
      <w:ind w:left="200" w:hanging="200" w:hangingChars="200"/>
      <w:contextualSpacing/>
    </w:pPr>
    <w:rPr>
      <w:rFonts w:eastAsia="方正仿宋简体"/>
      <w:sz w:val="32"/>
      <w:szCs w:val="22"/>
    </w:rPr>
  </w:style>
  <w:style w:type="paragraph" w:styleId="4">
    <w:name w:val="footer"/>
    <w:basedOn w:val="1"/>
    <w:qFormat/>
    <w:uiPriority w:val="0"/>
    <w:pPr>
      <w:tabs>
        <w:tab w:val="center" w:pos="4153"/>
        <w:tab w:val="right" w:pos="8306"/>
      </w:tabs>
      <w:snapToGrid w:val="0"/>
      <w:jc w:val="left"/>
    </w:pPr>
    <w:rPr>
      <w:sz w:val="18"/>
    </w:rPr>
  </w:style>
  <w:style w:type="paragraph" w:styleId="5">
    <w:name w:val="toc 1"/>
    <w:basedOn w:val="1"/>
    <w:next w:val="1"/>
    <w:unhideWhenUsed/>
    <w:qFormat/>
    <w:uiPriority w:val="39"/>
  </w:style>
  <w:style w:type="table" w:styleId="7">
    <w:name w:val="Table Grid"/>
    <w:basedOn w:val="6"/>
    <w:qFormat/>
    <w:uiPriority w:val="59"/>
    <w:pPr>
      <w:keepNext w:val="0"/>
      <w:keepLines w:val="0"/>
      <w:widowControl/>
      <w:suppressLineNumbers w:val="0"/>
      <w:spacing w:before="0" w:beforeAutospacing="0" w:after="0" w:afterAutospacing="0"/>
      <w:ind w:left="0" w:right="0"/>
    </w:pPr>
    <w:rPr>
      <w:rFonts w:hint="eastAsia" w:ascii="等线" w:hAnsi="等线" w:eastAsia="等线" w:cs="等线"/>
      <w:kern w:val="2"/>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7630</Words>
  <Characters>7951</Characters>
  <Lines>0</Lines>
  <Paragraphs>0</Paragraphs>
  <TotalTime>8</TotalTime>
  <ScaleCrop>false</ScaleCrop>
  <LinksUpToDate>false</LinksUpToDate>
  <CharactersWithSpaces>8209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2025-01-26T12:35:00Z</dcterms:created>
  <dc:creator>admin</dc:creator>
  <cp:lastModifiedBy>rw</cp:lastModifiedBy>
  <cp:lastPrinted>2025-04-06T08:40:00Z</cp:lastPrinted>
  <dcterms:modified xsi:type="dcterms:W3CDTF">2025-04-09T01:25:34Z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F39B003DC5C74BB280CF667D67996ABD_13</vt:lpwstr>
  </property>
  <property fmtid="{D5CDD505-2E9C-101B-9397-08002B2CF9AE}" pid="4" name="KSOTemplateDocerSaveRecord">
    <vt:lpwstr>eyJoZGlkIjoiMDcyMzE1OTA4YzgxZDhkMDc2MmYwNGYwMWY2YjM2YzgiLCJ1c2VySWQiOiIyMzAxMTY1NzgifQ==</vt:lpwstr>
  </property>
</Properties>
</file>