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BCE3E">
      <w:pPr>
        <w:pStyle w:val="2"/>
        <w:keepNext w:val="0"/>
        <w:pageBreakBefore/>
        <w:spacing w:line="360" w:lineRule="auto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bookmarkStart w:id="0" w:name="_Toc75081022"/>
      <w:bookmarkStart w:id="1" w:name="_Hlk122891528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北京市体育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/>
        </w:rPr>
        <w:t>彩票管理中心                      2026年视频监控维保服务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需求</w:t>
      </w:r>
      <w:bookmarkEnd w:id="0"/>
    </w:p>
    <w:p w14:paraId="297DEC4C">
      <w:pPr>
        <w:pStyle w:val="6"/>
        <w:spacing w:line="240" w:lineRule="auto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一、视频监控维保服务公司资格</w:t>
      </w:r>
    </w:p>
    <w:p w14:paraId="60BF0D75">
      <w:pPr>
        <w:pStyle w:val="6"/>
        <w:spacing w:line="240" w:lineRule="auto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1.工商注册：需要在工商行政管理部门注册登记，并取得营业执照。具有独立承担民事责任的能力。</w:t>
      </w:r>
    </w:p>
    <w:p w14:paraId="1136E423">
      <w:pPr>
        <w:pStyle w:val="6"/>
        <w:spacing w:line="240" w:lineRule="auto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2.税务登记：在税务机关进行登记，并按时缴纳税款。有依法缴纳税收和社会保障资金的良好记录。</w:t>
      </w:r>
    </w:p>
    <w:p w14:paraId="205F3F72">
      <w:pPr>
        <w:pStyle w:val="6"/>
        <w:spacing w:line="240" w:lineRule="auto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3.服务标准认证：具有《安全与防范系统技术服务单位》资质证书，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具有履行合同所必需的专业技术能力。</w:t>
      </w:r>
    </w:p>
    <w:p w14:paraId="17CC5389">
      <w:pPr>
        <w:pStyle w:val="6"/>
        <w:spacing w:line="240" w:lineRule="auto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4.具有良好的商业信誉和健全的财务会计制度。</w:t>
      </w:r>
    </w:p>
    <w:p w14:paraId="266F7F27">
      <w:pPr>
        <w:pStyle w:val="6"/>
        <w:spacing w:line="240" w:lineRule="auto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5.法律、行政法规规定的其他条件。</w:t>
      </w:r>
    </w:p>
    <w:p w14:paraId="333695AD">
      <w:pPr>
        <w:pStyle w:val="6"/>
        <w:spacing w:line="240" w:lineRule="auto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二、基本需求</w:t>
      </w:r>
    </w:p>
    <w:p w14:paraId="344C5E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资产情况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9"/>
        <w:gridCol w:w="4737"/>
        <w:gridCol w:w="954"/>
        <w:gridCol w:w="891"/>
      </w:tblGrid>
      <w:tr w14:paraId="491871A1">
        <w:trPr>
          <w:trHeight w:val="568" w:hRule="atLeast"/>
        </w:trPr>
        <w:tc>
          <w:tcPr>
            <w:tcW w:w="2479" w:type="dxa"/>
            <w:noWrap/>
          </w:tcPr>
          <w:p w14:paraId="3B4C35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资产名称</w:t>
            </w:r>
          </w:p>
        </w:tc>
        <w:tc>
          <w:tcPr>
            <w:tcW w:w="4737" w:type="dxa"/>
            <w:noWrap/>
          </w:tcPr>
          <w:p w14:paraId="1358D2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500" w:firstLineChars="5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型号</w:t>
            </w:r>
          </w:p>
        </w:tc>
        <w:tc>
          <w:tcPr>
            <w:tcW w:w="954" w:type="dxa"/>
            <w:noWrap/>
          </w:tcPr>
          <w:p w14:paraId="710EC5C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891" w:type="dxa"/>
            <w:noWrap/>
          </w:tcPr>
          <w:p w14:paraId="6850FF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数量</w:t>
            </w:r>
          </w:p>
        </w:tc>
      </w:tr>
      <w:tr w14:paraId="27C6B1ED">
        <w:trPr>
          <w:trHeight w:val="609" w:hRule="atLeast"/>
        </w:trPr>
        <w:tc>
          <w:tcPr>
            <w:tcW w:w="2479" w:type="dxa"/>
            <w:noWrap/>
          </w:tcPr>
          <w:p w14:paraId="46629F2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服务器</w:t>
            </w:r>
          </w:p>
        </w:tc>
        <w:tc>
          <w:tcPr>
            <w:tcW w:w="4737" w:type="dxa"/>
            <w:noWrap/>
          </w:tcPr>
          <w:p w14:paraId="6194DF1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海康威视文教平台智能扩展模块</w:t>
            </w:r>
          </w:p>
        </w:tc>
        <w:tc>
          <w:tcPr>
            <w:tcW w:w="954" w:type="dxa"/>
            <w:noWrap/>
          </w:tcPr>
          <w:p w14:paraId="2F0EE2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套</w:t>
            </w:r>
          </w:p>
        </w:tc>
        <w:tc>
          <w:tcPr>
            <w:tcW w:w="891" w:type="dxa"/>
            <w:noWrap/>
          </w:tcPr>
          <w:p w14:paraId="4DA9C7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</w:tr>
      <w:tr w14:paraId="6D76A206">
        <w:trPr>
          <w:trHeight w:val="300" w:hRule="atLeast"/>
        </w:trPr>
        <w:tc>
          <w:tcPr>
            <w:tcW w:w="2479" w:type="dxa"/>
            <w:noWrap/>
          </w:tcPr>
          <w:p w14:paraId="3C4CCC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存储磁盘阵列</w:t>
            </w:r>
          </w:p>
        </w:tc>
        <w:tc>
          <w:tcPr>
            <w:tcW w:w="4737" w:type="dxa"/>
            <w:noWrap/>
          </w:tcPr>
          <w:p w14:paraId="091E50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海康威视DS-AT1000ST/BC</w:t>
            </w:r>
          </w:p>
        </w:tc>
        <w:tc>
          <w:tcPr>
            <w:tcW w:w="954" w:type="dxa"/>
            <w:noWrap/>
          </w:tcPr>
          <w:p w14:paraId="737635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891" w:type="dxa"/>
            <w:noWrap/>
          </w:tcPr>
          <w:p w14:paraId="7FB311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</w:tr>
      <w:tr w14:paraId="7882E91B">
        <w:trPr>
          <w:trHeight w:val="300" w:hRule="atLeast"/>
        </w:trPr>
        <w:tc>
          <w:tcPr>
            <w:tcW w:w="2479" w:type="dxa"/>
            <w:noWrap/>
          </w:tcPr>
          <w:p w14:paraId="1760A6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存储磁盘阵列</w:t>
            </w:r>
          </w:p>
        </w:tc>
        <w:tc>
          <w:tcPr>
            <w:tcW w:w="4737" w:type="dxa"/>
            <w:noWrap/>
          </w:tcPr>
          <w:p w14:paraId="39FE60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海康威视DS-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8664N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-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I16</w:t>
            </w:r>
          </w:p>
        </w:tc>
        <w:tc>
          <w:tcPr>
            <w:tcW w:w="954" w:type="dxa"/>
            <w:noWrap/>
          </w:tcPr>
          <w:p w14:paraId="4B7363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891" w:type="dxa"/>
            <w:noWrap/>
          </w:tcPr>
          <w:p w14:paraId="1A684D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</w:tr>
      <w:tr w14:paraId="4BE14A51">
        <w:trPr>
          <w:trHeight w:val="300" w:hRule="atLeast"/>
        </w:trPr>
        <w:tc>
          <w:tcPr>
            <w:tcW w:w="2479" w:type="dxa"/>
            <w:noWrap/>
            <w:vAlign w:val="top"/>
          </w:tcPr>
          <w:p w14:paraId="79E9EE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服务器</w:t>
            </w:r>
          </w:p>
        </w:tc>
        <w:tc>
          <w:tcPr>
            <w:tcW w:w="4737" w:type="dxa"/>
            <w:noWrap/>
            <w:vAlign w:val="top"/>
          </w:tcPr>
          <w:p w14:paraId="140426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海康威视IVMS-7600</w:t>
            </w:r>
          </w:p>
        </w:tc>
        <w:tc>
          <w:tcPr>
            <w:tcW w:w="954" w:type="dxa"/>
            <w:noWrap/>
            <w:vAlign w:val="top"/>
          </w:tcPr>
          <w:p w14:paraId="535CDB6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891" w:type="dxa"/>
            <w:noWrap/>
            <w:vAlign w:val="top"/>
          </w:tcPr>
          <w:p w14:paraId="5E8D89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2</w:t>
            </w:r>
          </w:p>
        </w:tc>
      </w:tr>
      <w:tr w14:paraId="172FAA68">
        <w:trPr>
          <w:trHeight w:val="300" w:hRule="atLeast"/>
        </w:trPr>
        <w:tc>
          <w:tcPr>
            <w:tcW w:w="2479" w:type="dxa"/>
            <w:noWrap/>
            <w:vAlign w:val="top"/>
          </w:tcPr>
          <w:p w14:paraId="208DDD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服务器</w:t>
            </w:r>
          </w:p>
        </w:tc>
        <w:tc>
          <w:tcPr>
            <w:tcW w:w="4737" w:type="dxa"/>
            <w:noWrap/>
            <w:vAlign w:val="top"/>
          </w:tcPr>
          <w:p w14:paraId="231FF3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海康威视DS-VE2208D-BBD</w:t>
            </w:r>
          </w:p>
        </w:tc>
        <w:tc>
          <w:tcPr>
            <w:tcW w:w="954" w:type="dxa"/>
            <w:noWrap/>
            <w:vAlign w:val="top"/>
          </w:tcPr>
          <w:p w14:paraId="2DE9C7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891" w:type="dxa"/>
            <w:noWrap/>
            <w:vAlign w:val="top"/>
          </w:tcPr>
          <w:p w14:paraId="444FBA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1</w:t>
            </w:r>
          </w:p>
        </w:tc>
      </w:tr>
      <w:tr w14:paraId="62898B5B">
        <w:trPr>
          <w:trHeight w:val="300" w:hRule="atLeast"/>
        </w:trPr>
        <w:tc>
          <w:tcPr>
            <w:tcW w:w="2479" w:type="dxa"/>
            <w:noWrap/>
            <w:vAlign w:val="top"/>
          </w:tcPr>
          <w:p w14:paraId="6EE534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高清网络半球机</w:t>
            </w:r>
          </w:p>
        </w:tc>
        <w:tc>
          <w:tcPr>
            <w:tcW w:w="4737" w:type="dxa"/>
            <w:noWrap/>
            <w:vAlign w:val="top"/>
          </w:tcPr>
          <w:p w14:paraId="090024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海康威DS-2CD712XTCD-YF</w:t>
            </w:r>
          </w:p>
        </w:tc>
        <w:tc>
          <w:tcPr>
            <w:tcW w:w="954" w:type="dxa"/>
            <w:noWrap/>
            <w:vAlign w:val="top"/>
          </w:tcPr>
          <w:p w14:paraId="58FE75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891" w:type="dxa"/>
            <w:noWrap/>
            <w:vAlign w:val="top"/>
          </w:tcPr>
          <w:p w14:paraId="2C66C9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0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42</w:t>
            </w:r>
          </w:p>
        </w:tc>
      </w:tr>
      <w:tr w14:paraId="6A75AA66">
        <w:trPr>
          <w:trHeight w:val="468" w:hRule="atLeast"/>
        </w:trPr>
        <w:tc>
          <w:tcPr>
            <w:tcW w:w="2479" w:type="dxa"/>
            <w:noWrap/>
            <w:vAlign w:val="top"/>
          </w:tcPr>
          <w:p w14:paraId="744BDC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高清网络筒机</w:t>
            </w:r>
          </w:p>
        </w:tc>
        <w:tc>
          <w:tcPr>
            <w:tcW w:w="4737" w:type="dxa"/>
            <w:noWrap/>
            <w:vAlign w:val="top"/>
          </w:tcPr>
          <w:p w14:paraId="51D4F92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海康威DS-2CD7A2XTCD-YF</w:t>
            </w:r>
          </w:p>
        </w:tc>
        <w:tc>
          <w:tcPr>
            <w:tcW w:w="954" w:type="dxa"/>
            <w:noWrap/>
            <w:vAlign w:val="top"/>
          </w:tcPr>
          <w:p w14:paraId="24C803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台</w:t>
            </w:r>
          </w:p>
        </w:tc>
        <w:tc>
          <w:tcPr>
            <w:tcW w:w="891" w:type="dxa"/>
            <w:noWrap/>
            <w:vAlign w:val="top"/>
          </w:tcPr>
          <w:p w14:paraId="40E485C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  <w:t>12</w:t>
            </w:r>
          </w:p>
        </w:tc>
      </w:tr>
    </w:tbl>
    <w:p w14:paraId="07B406A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1.故障排除服务</w:t>
      </w:r>
    </w:p>
    <w:p w14:paraId="45FEA02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接到客户的故障排除服务请求后，按照服务等级的约定安排适当的技术资源提供故障分析和诊断、远程支持服务或现场支持服务，持续服务直到问题解决；故障解决后的测试和数据恢复；协助完成应用恢复。</w:t>
      </w:r>
    </w:p>
    <w:p w14:paraId="4BB2404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预防性维护服务</w:t>
      </w:r>
    </w:p>
    <w:p w14:paraId="0F8641E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每季度一次定期检查软件运行情况的数据状态，寻找系统可能存在的问题，并提交分析报告；在获得甲方的确认和批准后，对系统问题进行解决排除；进行测试，对问题解决情况进行确认。</w:t>
      </w:r>
    </w:p>
    <w:p w14:paraId="28CBB32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.支持服务</w:t>
      </w:r>
    </w:p>
    <w:p w14:paraId="4067AB0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升级前调查与版本规划，根据现有系统和应用的环境，确定合适的升级版本以达到与应用环境的协调性、系统的稳定性、延展性；升级前测试，以便验证升级版本的正确性和补丁的适用性；完成系统升级工作。根据甲方系统的实际情况及需求，选择系统闲置时间，进行升级；升级后测试，系统升级后，必须进行详细的软件功能和性能测试。升级工作后，提供系统升级过程完整的工作文件及报告。</w:t>
      </w:r>
    </w:p>
    <w:p w14:paraId="7421483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.系统和数据的备份及恢复</w:t>
      </w:r>
    </w:p>
    <w:p w14:paraId="7D2EA17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按照甲方的需求，结合甲方使用系统的实际情况，选择系统闲置时间提供系统和数据的备份及恢复。</w:t>
      </w:r>
    </w:p>
    <w:p w14:paraId="5B039A6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.设备拆除及安装</w:t>
      </w:r>
    </w:p>
    <w:p w14:paraId="6141225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41"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如办公楼地址发生变更，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按照甲方要求，对原有高清摄像头进行拆除、保存，并配合时间进度安排，完成设备的安装与系统恢复。</w:t>
      </w:r>
    </w:p>
    <w:p w14:paraId="40401AFE">
      <w:pPr>
        <w:pStyle w:val="6"/>
        <w:spacing w:line="240" w:lineRule="auto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三、项目预算</w:t>
      </w:r>
    </w:p>
    <w:p w14:paraId="34CF0604">
      <w:pPr>
        <w:pStyle w:val="6"/>
        <w:spacing w:line="240" w:lineRule="auto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本项目预算金额为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万元，为完成本项目所包含服务内容的全部费用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EB9C7A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四、支付方式</w:t>
      </w:r>
    </w:p>
    <w:p w14:paraId="64F11A9E">
      <w:pPr>
        <w:pStyle w:val="6"/>
        <w:spacing w:beforeLines="0" w:afterLines="0" w:line="240" w:lineRule="auto"/>
        <w:ind w:firstLine="64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本项目款项分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次支付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按照首付款、尾款各50%进行支付。</w:t>
      </w:r>
    </w:p>
    <w:p w14:paraId="63D60CA6">
      <w:pPr>
        <w:pStyle w:val="6"/>
        <w:spacing w:line="240" w:lineRule="auto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、合同履约期</w:t>
      </w:r>
    </w:p>
    <w:p w14:paraId="03CF5EF6">
      <w:pPr>
        <w:pStyle w:val="6"/>
        <w:spacing w:line="240" w:lineRule="auto"/>
        <w:ind w:firstLine="640"/>
        <w:jc w:val="both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2026年1月1日</w:t>
      </w:r>
      <w:r>
        <w:rPr>
          <w:rFonts w:hint="eastAsia" w:ascii="仿宋_GB2312" w:hAnsi="仿宋_GB2312" w:eastAsia="仿宋_GB2312" w:cs="仿宋_GB2312"/>
          <w:sz w:val="32"/>
          <w:szCs w:val="32"/>
        </w:rPr>
        <w:t>起至202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年12月31日。</w:t>
      </w:r>
    </w:p>
    <w:bookmarkEnd w:id="1"/>
    <w:p w14:paraId="222DC0DB">
      <w:pPr>
        <w:spacing w:line="240" w:lineRule="auto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6FF7D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F3919"/>
    <w:rsid w:val="3BE7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902</Words>
  <Characters>1003</Characters>
  <Lines>0</Lines>
  <Paragraphs>0</Paragraphs>
  <TotalTime>1</TotalTime>
  <ScaleCrop>false</ScaleCrop>
  <LinksUpToDate>false</LinksUpToDate>
  <CharactersWithSpaces>1027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2025-12-03T02:20:00Z</dcterms:created>
  <dc:creator>admin</dc:creator>
  <cp:lastModifiedBy>匿名用户</cp:lastModifiedBy>
  <dcterms:modified xsi:type="dcterms:W3CDTF">2025-12-11T01:36:35Z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2A027298E77A4C9E98028C4F55D2A35B</vt:lpwstr>
  </property>
  <property fmtid="{D5CDD505-2E9C-101B-9397-08002B2CF9AE}" pid="4" name="KSOTemplateDocerSaveRecord">
    <vt:lpwstr>eyJoZGlkIjoiZTRmMmVkZThkZmZjNDk0ZWEzNzNkNWRmMDUzYmJiZDEiLCJ1c2VySWQiOiI3NjM2NDA2NTQifQ==</vt:lpwstr>
  </property>
</Properties>
</file>