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C6FA6">
      <w:pPr>
        <w:spacing w:line="560" w:lineRule="exact"/>
        <w:jc w:val="center"/>
        <w:rPr>
          <w:rFonts w:hint="eastAsia" w:ascii="方正小标宋简体" w:hAnsi="宋体" w:eastAsia="方正小标宋简体" w:cs="Times New Roman"/>
          <w:b w:val="0"/>
          <w:bCs w:val="0"/>
          <w:color w:val="000000"/>
          <w:sz w:val="44"/>
          <w:szCs w:val="44"/>
          <w:lang w:val="en-US" w:eastAsia="zh-CN"/>
        </w:rPr>
      </w:pPr>
      <w:r>
        <w:rPr>
          <w:rFonts w:hint="eastAsia" w:ascii="方正小标宋简体" w:hAnsi="宋体" w:eastAsia="方正小标宋简体" w:cs="Times New Roman"/>
          <w:b w:val="0"/>
          <w:bCs w:val="0"/>
          <w:color w:val="000000"/>
          <w:sz w:val="44"/>
          <w:szCs w:val="44"/>
          <w:lang w:val="en-US" w:eastAsia="zh-CN"/>
        </w:rPr>
        <w:t>2026年责任彩票建设项目采购需求</w:t>
      </w:r>
    </w:p>
    <w:p w14:paraId="50EDE8F3">
      <w:pPr>
        <w:widowControl w:val="0"/>
        <w:adjustRightInd w:val="0"/>
        <w:snapToGrid w:val="0"/>
        <w:spacing w:line="560" w:lineRule="exact"/>
        <w:ind w:firstLine="640" w:firstLineChars="200"/>
        <w:rPr>
          <w:rFonts w:hint="eastAsia" w:ascii="黑体" w:hAnsi="黑体" w:eastAsia="黑体" w:cstheme="minorBidi"/>
          <w:sz w:val="32"/>
          <w:szCs w:val="32"/>
          <w:lang w:val="en-US" w:eastAsia="zh-CN"/>
        </w:rPr>
      </w:pPr>
    </w:p>
    <w:p w14:paraId="53C1256A">
      <w:pPr>
        <w:adjustRightInd w:val="0"/>
        <w:snapToGrid w:val="0"/>
        <w:spacing w:line="580" w:lineRule="exact"/>
        <w:ind w:firstLine="64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为进一步落实国家体育总局体育彩票管理中心（以下简称“总局中心”）对责任彩票的工作要求，扎实推进北京地区责任彩票建设工作，我</w:t>
      </w:r>
      <w:r>
        <w:rPr>
          <w:rFonts w:hint="eastAsia" w:ascii="仿宋_GB2312" w:eastAsia="仿宋_GB2312" w:cs="Times New Roman"/>
          <w:kern w:val="2"/>
          <w:sz w:val="32"/>
          <w:szCs w:val="32"/>
          <w:lang w:val="en-US" w:eastAsia="zh-CN" w:bidi="ar-SA"/>
        </w:rPr>
        <w:t>中心拟采用公开比选方式确定</w:t>
      </w:r>
      <w:r>
        <w:rPr>
          <w:rFonts w:hint="eastAsia" w:ascii="仿宋_GB2312" w:hAnsi="Times New Roman" w:eastAsia="仿宋_GB2312" w:cs="Times New Roman"/>
          <w:kern w:val="2"/>
          <w:sz w:val="32"/>
          <w:szCs w:val="32"/>
          <w:lang w:val="en-US" w:eastAsia="zh-CN" w:bidi="ar-SA"/>
        </w:rPr>
        <w:t>202</w:t>
      </w:r>
      <w:r>
        <w:rPr>
          <w:rFonts w:hint="eastAsia" w:ascii="仿宋_GB2312" w:eastAsia="仿宋_GB2312" w:cs="Times New Roman"/>
          <w:kern w:val="2"/>
          <w:sz w:val="32"/>
          <w:szCs w:val="32"/>
          <w:lang w:val="en-US" w:eastAsia="zh-CN" w:bidi="ar-SA"/>
        </w:rPr>
        <w:t>6年责任彩票建设项目服务商</w:t>
      </w:r>
      <w:r>
        <w:rPr>
          <w:rFonts w:hint="eastAsia" w:ascii="仿宋_GB2312" w:hAnsi="Times New Roman" w:eastAsia="仿宋_GB2312" w:cs="Times New Roman"/>
          <w:kern w:val="2"/>
          <w:sz w:val="32"/>
          <w:szCs w:val="32"/>
          <w:lang w:val="en-US" w:eastAsia="zh-CN" w:bidi="ar-SA"/>
        </w:rPr>
        <w:t>。</w:t>
      </w:r>
    </w:p>
    <w:p w14:paraId="72EE3ADF">
      <w:pPr>
        <w:spacing w:line="560" w:lineRule="exact"/>
        <w:ind w:firstLine="640" w:firstLineChars="200"/>
        <w:jc w:val="left"/>
        <w:rPr>
          <w:rFonts w:hint="eastAsia" w:ascii="黑体" w:hAnsi="Times New Roman" w:eastAsia="黑体" w:cs="Times New Roman"/>
          <w:sz w:val="32"/>
          <w:lang w:val="en-US" w:eastAsia="zh-CN"/>
        </w:rPr>
      </w:pPr>
      <w:r>
        <w:rPr>
          <w:rFonts w:hint="eastAsia" w:ascii="黑体" w:hAnsi="Times New Roman" w:eastAsia="黑体" w:cs="Times New Roman"/>
          <w:sz w:val="32"/>
          <w:lang w:val="en-US" w:eastAsia="zh-CN"/>
        </w:rPr>
        <w:t>一、项目名称</w:t>
      </w:r>
    </w:p>
    <w:p w14:paraId="3F2EE8D3">
      <w:pPr>
        <w:adjustRightInd w:val="0"/>
        <w:snapToGrid w:val="0"/>
        <w:spacing w:line="580" w:lineRule="exact"/>
        <w:ind w:firstLine="64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2026年责任彩票建设项目</w:t>
      </w:r>
    </w:p>
    <w:p w14:paraId="7E8223B7">
      <w:pPr>
        <w:spacing w:line="560" w:lineRule="exact"/>
        <w:ind w:firstLine="640" w:firstLineChars="200"/>
        <w:jc w:val="left"/>
        <w:rPr>
          <w:rFonts w:hint="eastAsia" w:ascii="黑体" w:hAnsi="Times New Roman" w:eastAsia="黑体" w:cs="Times New Roman"/>
          <w:sz w:val="32"/>
          <w:lang w:val="en-US" w:eastAsia="zh-CN"/>
        </w:rPr>
      </w:pPr>
      <w:r>
        <w:rPr>
          <w:rFonts w:hint="eastAsia" w:ascii="黑体" w:hAnsi="Times New Roman" w:eastAsia="黑体" w:cs="Times New Roman"/>
          <w:sz w:val="32"/>
          <w:lang w:val="en-US" w:eastAsia="zh-CN"/>
        </w:rPr>
        <w:t>二、项目服务时间</w:t>
      </w:r>
    </w:p>
    <w:p w14:paraId="1196F9F1">
      <w:pPr>
        <w:pStyle w:val="3"/>
        <w:spacing w:line="560" w:lineRule="exact"/>
        <w:ind w:firstLine="605"/>
        <w:rPr>
          <w:rFonts w:hint="eastAsia"/>
          <w:highlight w:val="none"/>
          <w:lang w:val="en-US" w:eastAsia="zh-CN"/>
        </w:rPr>
      </w:pPr>
      <w:r>
        <w:rPr>
          <w:rFonts w:hint="eastAsia" w:ascii="仿宋_GB2312" w:hAnsi="Times New Roman" w:eastAsia="仿宋_GB2312" w:cs="Times New Roman"/>
          <w:kern w:val="2"/>
          <w:sz w:val="32"/>
          <w:szCs w:val="32"/>
          <w:lang w:val="en-US" w:eastAsia="zh-CN" w:bidi="ar-SA"/>
        </w:rPr>
        <w:t>自合同签订之日起</w:t>
      </w:r>
      <w:r>
        <w:rPr>
          <w:rFonts w:hint="eastAsia" w:hAnsi="Times New Roman" w:cs="Times New Roman"/>
          <w:kern w:val="2"/>
          <w:sz w:val="32"/>
          <w:szCs w:val="32"/>
          <w:lang w:val="en-US" w:eastAsia="zh-CN" w:bidi="ar-SA"/>
        </w:rPr>
        <w:t>（2026年1月）</w:t>
      </w:r>
      <w:r>
        <w:rPr>
          <w:rFonts w:hint="eastAsia" w:ascii="仿宋_GB2312" w:hAnsi="Times New Roman" w:eastAsia="仿宋_GB2312" w:cs="Times New Roman"/>
          <w:kern w:val="2"/>
          <w:sz w:val="32"/>
          <w:szCs w:val="32"/>
          <w:lang w:val="en-US" w:eastAsia="zh-CN" w:bidi="ar-SA"/>
        </w:rPr>
        <w:t>至</w:t>
      </w:r>
      <w:r>
        <w:rPr>
          <w:rFonts w:hint="eastAsia" w:ascii="仿宋_GB2312" w:hAnsi="Times New Roman" w:eastAsia="仿宋_GB2312" w:cs="Times New Roman"/>
          <w:kern w:val="2"/>
          <w:sz w:val="32"/>
          <w:szCs w:val="32"/>
          <w:highlight w:val="none"/>
          <w:lang w:val="en-US" w:eastAsia="zh-CN" w:bidi="ar-SA"/>
        </w:rPr>
        <w:t>2026年</w:t>
      </w:r>
      <w:r>
        <w:rPr>
          <w:rFonts w:hint="eastAsia" w:hAnsi="Times New Roman" w:cs="Times New Roman"/>
          <w:kern w:val="2"/>
          <w:sz w:val="32"/>
          <w:szCs w:val="32"/>
          <w:highlight w:val="none"/>
          <w:lang w:val="en-US" w:eastAsia="zh-CN" w:bidi="ar-SA"/>
        </w:rPr>
        <w:t>12</w:t>
      </w:r>
      <w:r>
        <w:rPr>
          <w:rFonts w:hint="eastAsia" w:ascii="仿宋_GB2312" w:hAnsi="Times New Roman" w:eastAsia="仿宋_GB2312" w:cs="Times New Roman"/>
          <w:kern w:val="2"/>
          <w:sz w:val="32"/>
          <w:szCs w:val="32"/>
          <w:highlight w:val="none"/>
          <w:lang w:val="en-US" w:eastAsia="zh-CN" w:bidi="ar-SA"/>
        </w:rPr>
        <w:t>月</w:t>
      </w:r>
      <w:r>
        <w:rPr>
          <w:rFonts w:hint="eastAsia" w:hAnsi="Times New Roman" w:cs="Times New Roman"/>
          <w:kern w:val="2"/>
          <w:sz w:val="32"/>
          <w:szCs w:val="32"/>
          <w:highlight w:val="none"/>
          <w:lang w:val="en-US" w:eastAsia="zh-CN" w:bidi="ar-SA"/>
        </w:rPr>
        <w:t>1</w:t>
      </w:r>
      <w:r>
        <w:rPr>
          <w:rFonts w:hint="eastAsia" w:ascii="仿宋_GB2312" w:hAnsi="Times New Roman" w:eastAsia="仿宋_GB2312" w:cs="Times New Roman"/>
          <w:kern w:val="2"/>
          <w:sz w:val="32"/>
          <w:szCs w:val="32"/>
          <w:highlight w:val="none"/>
          <w:lang w:val="en-US" w:eastAsia="zh-CN" w:bidi="ar-SA"/>
        </w:rPr>
        <w:t>0日。</w:t>
      </w:r>
    </w:p>
    <w:p w14:paraId="70CC6177">
      <w:pPr>
        <w:spacing w:line="560" w:lineRule="exact"/>
        <w:ind w:firstLine="640" w:firstLineChars="200"/>
        <w:jc w:val="left"/>
        <w:rPr>
          <w:rFonts w:hint="default" w:ascii="黑体" w:hAnsi="Times New Roman" w:eastAsia="黑体" w:cs="Times New Roman"/>
          <w:sz w:val="32"/>
          <w:lang w:val="en-US" w:eastAsia="zh-CN"/>
        </w:rPr>
      </w:pPr>
      <w:r>
        <w:rPr>
          <w:rFonts w:hint="eastAsia" w:ascii="黑体" w:hAnsi="Times New Roman" w:eastAsia="黑体" w:cs="Times New Roman"/>
          <w:sz w:val="32"/>
          <w:lang w:val="en-US" w:eastAsia="zh-CN"/>
        </w:rPr>
        <w:t>三、项目预算</w:t>
      </w:r>
      <w:r>
        <w:rPr>
          <w:rFonts w:hint="eastAsia" w:ascii="黑体" w:eastAsia="黑体" w:cs="Times New Roman"/>
          <w:sz w:val="32"/>
          <w:lang w:val="en-US" w:eastAsia="zh-CN"/>
        </w:rPr>
        <w:t>及付款方式</w:t>
      </w:r>
    </w:p>
    <w:p w14:paraId="737AC877">
      <w:pPr>
        <w:pStyle w:val="3"/>
        <w:spacing w:line="560" w:lineRule="exact"/>
        <w:ind w:firstLine="605"/>
        <w:rPr>
          <w:rFonts w:hint="eastAsia" w:hAnsi="Times New Roman" w:cs="Times New Roman"/>
          <w:szCs w:val="32"/>
          <w:lang w:val="en-US" w:eastAsia="zh-CN"/>
        </w:rPr>
      </w:pPr>
      <w:r>
        <w:rPr>
          <w:rFonts w:hint="eastAsia" w:cs="Times New Roman"/>
          <w:szCs w:val="32"/>
          <w:lang w:val="en-US" w:eastAsia="zh-CN"/>
        </w:rPr>
        <w:t>1.</w:t>
      </w:r>
      <w:r>
        <w:rPr>
          <w:rFonts w:hint="eastAsia" w:hAnsi="Times New Roman" w:cs="Times New Roman"/>
          <w:szCs w:val="32"/>
          <w:lang w:val="en-US" w:eastAsia="zh-CN"/>
        </w:rPr>
        <w:t>本项目预算金额为人民币29.781万元</w:t>
      </w:r>
      <w:r>
        <w:rPr>
          <w:rFonts w:hint="eastAsia" w:cs="Times New Roman"/>
          <w:szCs w:val="32"/>
          <w:lang w:val="en-US" w:eastAsia="zh-CN"/>
        </w:rPr>
        <w:t>，此</w:t>
      </w:r>
      <w:r>
        <w:rPr>
          <w:rFonts w:hint="eastAsia" w:ascii="仿宋_GB2312" w:hAnsi="仿宋" w:eastAsia="仿宋_GB2312"/>
          <w:sz w:val="32"/>
          <w:szCs w:val="32"/>
        </w:rPr>
        <w:t>为我中心为此项目支付的</w:t>
      </w:r>
      <w:r>
        <w:rPr>
          <w:rFonts w:hint="eastAsia" w:hAnsi="仿宋"/>
          <w:sz w:val="32"/>
          <w:szCs w:val="32"/>
          <w:lang w:val="en-US" w:eastAsia="zh-CN"/>
        </w:rPr>
        <w:t>最高</w:t>
      </w:r>
      <w:r>
        <w:rPr>
          <w:rFonts w:hint="eastAsia" w:ascii="仿宋_GB2312" w:hAnsi="仿宋" w:eastAsia="仿宋_GB2312"/>
          <w:sz w:val="32"/>
          <w:szCs w:val="32"/>
        </w:rPr>
        <w:t>费用。</w:t>
      </w:r>
    </w:p>
    <w:p w14:paraId="0C238585">
      <w:pPr>
        <w:pStyle w:val="3"/>
        <w:spacing w:line="560" w:lineRule="exact"/>
        <w:ind w:firstLine="605"/>
        <w:rPr>
          <w:rFonts w:hint="eastAsia" w:eastAsia="仿宋_GB2312"/>
          <w:lang w:val="en-US" w:eastAsia="zh-CN"/>
        </w:rPr>
      </w:pPr>
      <w:r>
        <w:rPr>
          <w:rFonts w:hint="eastAsia" w:hAnsi="Times New Roman" w:cs="Times New Roman"/>
          <w:szCs w:val="32"/>
          <w:lang w:val="en-US" w:eastAsia="zh-CN"/>
        </w:rPr>
        <w:t>2.</w:t>
      </w:r>
      <w:r>
        <w:rPr>
          <w:rFonts w:hint="eastAsia" w:hAnsi="Times New Roman" w:cs="Times New Roman"/>
          <w:szCs w:val="32"/>
          <w:highlight w:val="none"/>
          <w:lang w:val="en-US" w:eastAsia="zh-CN"/>
        </w:rPr>
        <w:t>本项目202</w:t>
      </w:r>
      <w:r>
        <w:rPr>
          <w:rFonts w:hint="eastAsia" w:cs="Times New Roman"/>
          <w:szCs w:val="32"/>
          <w:highlight w:val="none"/>
          <w:lang w:val="en-US" w:eastAsia="zh-CN"/>
        </w:rPr>
        <w:t>6</w:t>
      </w:r>
      <w:r>
        <w:rPr>
          <w:rFonts w:hint="eastAsia" w:hAnsi="Times New Roman" w:cs="Times New Roman"/>
          <w:szCs w:val="32"/>
          <w:highlight w:val="none"/>
          <w:lang w:val="en-US" w:eastAsia="zh-CN"/>
        </w:rPr>
        <w:t>年预算资金获得上级主管部门审核通过后</w:t>
      </w:r>
      <w:r>
        <w:rPr>
          <w:rFonts w:hint="eastAsia" w:cs="Times New Roman"/>
          <w:szCs w:val="32"/>
          <w:highlight w:val="none"/>
          <w:lang w:val="en-US" w:eastAsia="zh-CN"/>
        </w:rPr>
        <w:t>，</w:t>
      </w:r>
      <w:r>
        <w:rPr>
          <w:rFonts w:hint="eastAsia" w:hAnsi="Times New Roman" w:cs="Times New Roman"/>
          <w:szCs w:val="32"/>
          <w:highlight w:val="none"/>
          <w:lang w:val="en-US" w:eastAsia="zh-CN"/>
        </w:rPr>
        <w:t>按</w:t>
      </w:r>
      <w:r>
        <w:rPr>
          <w:rFonts w:hint="eastAsia" w:hAnsi="Times New Roman" w:cs="Times New Roman"/>
          <w:szCs w:val="32"/>
          <w:lang w:val="en-US" w:eastAsia="zh-CN"/>
        </w:rPr>
        <w:t>首付款、尾款各50%进行支出。在我中心每次付款前服务方应提供等额且符合要求的正式发票。如</w:t>
      </w:r>
      <w:r>
        <w:rPr>
          <w:rFonts w:hint="eastAsia" w:hAnsi="宋体" w:cs="宋体"/>
          <w:color w:val="000000" w:themeColor="text1"/>
          <w:szCs w:val="24"/>
          <w14:textFill>
            <w14:solidFill>
              <w14:schemeClr w14:val="tx1"/>
            </w14:solidFill>
          </w14:textFill>
        </w:rPr>
        <w:t>财政</w:t>
      </w:r>
      <w:r>
        <w:rPr>
          <w:rFonts w:hint="eastAsia" w:hAnsi="宋体" w:cs="宋体"/>
          <w:color w:val="000000" w:themeColor="text1"/>
          <w:szCs w:val="24"/>
          <w:lang w:val="en-US" w:eastAsia="zh-CN"/>
          <w14:textFill>
            <w14:solidFill>
              <w14:schemeClr w14:val="tx1"/>
            </w14:solidFill>
          </w14:textFill>
        </w:rPr>
        <w:t>进行</w:t>
      </w:r>
      <w:r>
        <w:rPr>
          <w:rFonts w:hint="eastAsia" w:hAnsi="宋体" w:cs="宋体"/>
          <w:color w:val="000000" w:themeColor="text1"/>
          <w:szCs w:val="24"/>
          <w14:textFill>
            <w14:solidFill>
              <w14:schemeClr w14:val="tx1"/>
            </w14:solidFill>
          </w14:textFill>
        </w:rPr>
        <w:t>评审</w:t>
      </w:r>
      <w:r>
        <w:rPr>
          <w:rFonts w:hint="eastAsia" w:hAnsi="宋体" w:cs="宋体"/>
          <w:color w:val="000000" w:themeColor="text1"/>
          <w:szCs w:val="24"/>
          <w:lang w:eastAsia="zh-CN"/>
          <w14:textFill>
            <w14:solidFill>
              <w14:schemeClr w14:val="tx1"/>
            </w14:solidFill>
          </w14:textFill>
        </w:rPr>
        <w:t>，</w:t>
      </w:r>
      <w:r>
        <w:rPr>
          <w:rFonts w:hint="eastAsia" w:hAnsi="宋体" w:cs="宋体"/>
          <w:color w:val="000000" w:themeColor="text1"/>
          <w:szCs w:val="24"/>
          <w:lang w:val="en-US" w:eastAsia="zh-CN"/>
          <w14:textFill>
            <w14:solidFill>
              <w14:schemeClr w14:val="tx1"/>
            </w14:solidFill>
          </w14:textFill>
        </w:rPr>
        <w:t>则</w:t>
      </w:r>
      <w:r>
        <w:rPr>
          <w:rFonts w:hint="eastAsia" w:hAnsi="宋体" w:cs="宋体"/>
          <w:color w:val="000000" w:themeColor="text1"/>
          <w:szCs w:val="24"/>
          <w14:textFill>
            <w14:solidFill>
              <w14:schemeClr w14:val="tx1"/>
            </w14:solidFill>
          </w14:textFill>
        </w:rPr>
        <w:t>实际结算金额以财政评审结果为准</w:t>
      </w:r>
      <w:r>
        <w:rPr>
          <w:rFonts w:hint="eastAsia" w:hAnsi="宋体" w:cs="宋体"/>
          <w:color w:val="000000" w:themeColor="text1"/>
          <w:szCs w:val="24"/>
          <w:lang w:eastAsia="zh-CN"/>
          <w14:textFill>
            <w14:solidFill>
              <w14:schemeClr w14:val="tx1"/>
            </w14:solidFill>
          </w14:textFill>
        </w:rPr>
        <w:t>。</w:t>
      </w:r>
    </w:p>
    <w:p w14:paraId="368FED12">
      <w:pPr>
        <w:spacing w:line="560" w:lineRule="exact"/>
        <w:ind w:firstLine="640" w:firstLineChars="200"/>
        <w:jc w:val="left"/>
        <w:rPr>
          <w:rFonts w:hint="eastAsia" w:ascii="黑体" w:eastAsia="黑体" w:cs="Times New Roman"/>
          <w:sz w:val="32"/>
          <w:lang w:val="en-US" w:eastAsia="zh-CN"/>
        </w:rPr>
      </w:pPr>
      <w:r>
        <w:rPr>
          <w:rFonts w:hint="eastAsia" w:ascii="黑体" w:eastAsia="黑体" w:cs="Times New Roman"/>
          <w:sz w:val="32"/>
          <w:lang w:val="en-US" w:eastAsia="zh-CN"/>
        </w:rPr>
        <w:t>四、项目服务内容</w:t>
      </w:r>
    </w:p>
    <w:p w14:paraId="530F1829">
      <w:pPr>
        <w:pStyle w:val="3"/>
        <w:spacing w:line="560" w:lineRule="exact"/>
        <w:ind w:firstLine="605"/>
        <w:rPr>
          <w:rFonts w:hint="eastAsia" w:hAnsi="Times New Roman" w:cs="Times New Roman"/>
          <w:szCs w:val="32"/>
          <w:lang w:val="en-US" w:eastAsia="zh-CN"/>
        </w:rPr>
      </w:pPr>
      <w:r>
        <w:rPr>
          <w:rFonts w:hint="eastAsia" w:hAnsi="Times New Roman" w:cs="Times New Roman"/>
          <w:szCs w:val="32"/>
          <w:lang w:val="en-US" w:eastAsia="zh-CN"/>
        </w:rPr>
        <w:t>根据总局中心工作要求及我中心责任彩票工作实际情况，2026年责任彩票建设项目主要包括2025年度社会责任落实汇编及等级评定执行、责任测评，具体包含以下内容：</w:t>
      </w:r>
    </w:p>
    <w:p w14:paraId="01793EF3">
      <w:pPr>
        <w:pStyle w:val="3"/>
        <w:spacing w:line="560" w:lineRule="exact"/>
        <w:ind w:firstLine="605"/>
        <w:rPr>
          <w:rFonts w:hint="default" w:hAnsi="Times New Roman" w:cs="Times New Roman"/>
          <w:b/>
          <w:bCs/>
          <w:szCs w:val="32"/>
          <w:lang w:val="en-US" w:eastAsia="zh-CN"/>
        </w:rPr>
      </w:pPr>
      <w:r>
        <w:rPr>
          <w:rFonts w:hint="eastAsia" w:hAnsi="Times New Roman" w:cs="Times New Roman"/>
          <w:b/>
          <w:bCs/>
          <w:szCs w:val="32"/>
          <w:lang w:val="en-US" w:eastAsia="zh-CN"/>
        </w:rPr>
        <w:t>（一）2025年度社会责任落实汇编设计及宣传</w:t>
      </w:r>
    </w:p>
    <w:p w14:paraId="0B0F0455">
      <w:pPr>
        <w:pStyle w:val="3"/>
        <w:spacing w:line="560" w:lineRule="exact"/>
        <w:ind w:firstLine="605"/>
        <w:rPr>
          <w:rFonts w:hint="eastAsia" w:hAnsi="Times New Roman" w:cs="Times New Roman"/>
          <w:szCs w:val="32"/>
          <w:lang w:val="en-US" w:eastAsia="zh-CN"/>
        </w:rPr>
      </w:pPr>
      <w:r>
        <w:rPr>
          <w:rFonts w:hint="eastAsia" w:hAnsi="Times New Roman" w:cs="Times New Roman"/>
          <w:szCs w:val="32"/>
          <w:lang w:val="en-US" w:eastAsia="zh-CN"/>
        </w:rPr>
        <w:t>在我中心自主开展2025年度社会责任落实汇编编制工作的基础上，服务方需对责任落实汇编文字稿进行设计排版、制作相关宣传视频等。</w:t>
      </w:r>
    </w:p>
    <w:p w14:paraId="7712B88F">
      <w:pPr>
        <w:pStyle w:val="3"/>
        <w:spacing w:line="560" w:lineRule="exact"/>
        <w:ind w:firstLine="605"/>
        <w:rPr>
          <w:rFonts w:hint="eastAsia" w:hAnsi="Times New Roman" w:cs="Times New Roman"/>
          <w:szCs w:val="32"/>
          <w:lang w:val="en-US" w:eastAsia="zh-CN"/>
        </w:rPr>
      </w:pPr>
      <w:r>
        <w:rPr>
          <w:rFonts w:hint="eastAsia" w:hAnsi="Times New Roman" w:cs="Times New Roman"/>
          <w:szCs w:val="32"/>
          <w:lang w:val="en-US" w:eastAsia="zh-CN"/>
        </w:rPr>
        <w:t>1.根据北京体彩特色设计2版封面，并根据彩票行业属性和北京体彩的特色进行内页设计排版，对图片进行调整处理、汇编内容按章节进行梳理，确保设计精美、生动，图片和设计需契合汇编内容，图片需真实并符合知识产权要求，设计稿篇幅不少于70页。</w:t>
      </w:r>
    </w:p>
    <w:p w14:paraId="2E86AB80">
      <w:pPr>
        <w:pStyle w:val="3"/>
        <w:spacing w:line="560" w:lineRule="exact"/>
        <w:ind w:firstLine="605"/>
        <w:rPr>
          <w:rFonts w:hint="default" w:hAnsi="Times New Roman" w:cs="Times New Roman"/>
          <w:szCs w:val="32"/>
          <w:lang w:val="en-US" w:eastAsia="zh-CN"/>
        </w:rPr>
      </w:pPr>
      <w:r>
        <w:rPr>
          <w:rFonts w:hint="eastAsia" w:hAnsi="Times New Roman" w:cs="Times New Roman"/>
          <w:szCs w:val="32"/>
          <w:lang w:val="en-US" w:eastAsia="zh-CN"/>
        </w:rPr>
        <w:t>2.根据责任落实汇编内容，制作宣传MG视频1个（不少于180s）、宣传长图1张、H5版本1份。</w:t>
      </w:r>
    </w:p>
    <w:p w14:paraId="131A5DB8">
      <w:pPr>
        <w:pStyle w:val="3"/>
        <w:spacing w:line="560" w:lineRule="exact"/>
        <w:ind w:firstLine="605"/>
        <w:rPr>
          <w:rFonts w:hint="eastAsia" w:hAnsi="Times New Roman" w:cs="Times New Roman"/>
          <w:szCs w:val="32"/>
          <w:lang w:val="en-US" w:eastAsia="zh-CN"/>
        </w:rPr>
      </w:pPr>
      <w:r>
        <w:rPr>
          <w:rFonts w:hint="eastAsia" w:hAnsi="Times New Roman" w:cs="Times New Roman"/>
          <w:szCs w:val="32"/>
          <w:lang w:val="en-US" w:eastAsia="zh-CN"/>
        </w:rPr>
        <w:t>3.服务方需在总局中心及我中心要求的时间内完成以上全部工作，并通过中心验收。</w:t>
      </w:r>
    </w:p>
    <w:p w14:paraId="59D35017">
      <w:pPr>
        <w:pStyle w:val="3"/>
        <w:spacing w:line="560" w:lineRule="exact"/>
        <w:ind w:firstLine="605"/>
        <w:rPr>
          <w:rFonts w:hint="eastAsia" w:hAnsi="Times New Roman" w:cs="Times New Roman"/>
          <w:b/>
          <w:bCs/>
          <w:szCs w:val="32"/>
          <w:lang w:val="en-US" w:eastAsia="zh-CN"/>
        </w:rPr>
      </w:pPr>
      <w:r>
        <w:rPr>
          <w:rFonts w:hint="eastAsia" w:hAnsi="Times New Roman" w:cs="Times New Roman"/>
          <w:b/>
          <w:bCs/>
          <w:szCs w:val="32"/>
          <w:lang w:val="en-US" w:eastAsia="zh-CN"/>
        </w:rPr>
        <w:t>（二）协助完成责任彩票等级评定准备工作</w:t>
      </w:r>
    </w:p>
    <w:p w14:paraId="037AC3A4">
      <w:pPr>
        <w:pStyle w:val="3"/>
        <w:spacing w:line="560" w:lineRule="exact"/>
        <w:ind w:firstLine="605"/>
        <w:rPr>
          <w:rFonts w:hint="default" w:hAnsi="Times New Roman" w:cs="Times New Roman"/>
          <w:szCs w:val="32"/>
          <w:highlight w:val="none"/>
          <w:lang w:val="en-US" w:eastAsia="zh-CN"/>
        </w:rPr>
      </w:pPr>
      <w:r>
        <w:rPr>
          <w:rFonts w:hint="eastAsia" w:hAnsi="Times New Roman" w:cs="Times New Roman"/>
          <w:szCs w:val="32"/>
          <w:highlight w:val="none"/>
          <w:lang w:val="en-US" w:eastAsia="zh-CN"/>
        </w:rPr>
        <w:t>1.协助中心按季度收集分析中心的责任彩票工作情况</w:t>
      </w:r>
      <w:r>
        <w:rPr>
          <w:rFonts w:hint="eastAsia" w:ascii="仿宋_GB2312" w:hAnsi="宋体" w:eastAsia="仿宋_GB2312" w:cs="宋体"/>
          <w:kern w:val="2"/>
          <w:sz w:val="32"/>
          <w:szCs w:val="32"/>
          <w:highlight w:val="none"/>
          <w:lang w:val="en-US" w:eastAsia="zh-CN" w:bidi="ar-SA"/>
        </w:rPr>
        <w:t>（具体时间根据中心工作情况安排）</w:t>
      </w:r>
      <w:r>
        <w:rPr>
          <w:rFonts w:hint="eastAsia" w:hAnsi="Times New Roman" w:cs="Times New Roman"/>
          <w:szCs w:val="32"/>
          <w:highlight w:val="none"/>
          <w:lang w:val="en-US" w:eastAsia="zh-CN"/>
        </w:rPr>
        <w:t>，对标总局中心四级评定标准，结合其他优秀省市经验及北京体彩实际，提出提升策略建议。同时，协助中心借鉴其他优秀省市的管理经验和先进工作实践，针对北京体彩责任彩票相关的制度或办法，提交书面优化意见建议。</w:t>
      </w:r>
    </w:p>
    <w:p w14:paraId="49454CD9">
      <w:pPr>
        <w:pStyle w:val="3"/>
        <w:spacing w:line="560" w:lineRule="exact"/>
        <w:ind w:firstLine="605"/>
        <w:rPr>
          <w:rFonts w:hint="eastAsia" w:hAnsi="Times New Roman" w:cs="Times New Roman"/>
          <w:szCs w:val="32"/>
          <w:lang w:val="en-US" w:eastAsia="zh-CN"/>
        </w:rPr>
      </w:pPr>
      <w:r>
        <w:rPr>
          <w:rFonts w:hint="eastAsia" w:hAnsi="Times New Roman" w:cs="Times New Roman"/>
          <w:szCs w:val="32"/>
          <w:lang w:val="en-US" w:eastAsia="zh-CN"/>
        </w:rPr>
        <w:t>2.对标总局中心对责任彩票评级的工作要求，协助中心完成年度等级评定申请书及支撑文件梳理。</w:t>
      </w:r>
    </w:p>
    <w:p w14:paraId="7C2ACEFF">
      <w:pPr>
        <w:pStyle w:val="3"/>
        <w:spacing w:line="560" w:lineRule="exact"/>
        <w:ind w:firstLine="605"/>
        <w:rPr>
          <w:rFonts w:hint="default" w:hAnsi="Times New Roman" w:cs="Times New Roman"/>
          <w:szCs w:val="32"/>
          <w:lang w:val="en-US" w:eastAsia="zh-CN"/>
        </w:rPr>
      </w:pPr>
      <w:r>
        <w:rPr>
          <w:rFonts w:hint="eastAsia" w:hAnsi="Times New Roman" w:cs="Times New Roman"/>
          <w:szCs w:val="32"/>
          <w:lang w:val="en-US" w:eastAsia="zh-CN"/>
        </w:rPr>
        <w:t>3.协助中心通过对中心各部门及相关人员进行深访、对年度工作资料进行整合处理等方式，对中心2026年度责任彩票整体工作进行剖析，并借鉴其他省市先进经验，进行差距分析，提出重点提升方向，协助中心对下一年度工作制定详细的提升策略实施计划。</w:t>
      </w:r>
      <w:bookmarkStart w:id="0" w:name="_GoBack"/>
      <w:bookmarkEnd w:id="0"/>
    </w:p>
    <w:p w14:paraId="3702D7A4">
      <w:pPr>
        <w:pStyle w:val="3"/>
        <w:spacing w:line="560" w:lineRule="exact"/>
        <w:ind w:firstLine="605"/>
        <w:rPr>
          <w:rFonts w:hint="eastAsia" w:hAnsi="Times New Roman" w:cs="Times New Roman"/>
          <w:b/>
          <w:bCs/>
          <w:szCs w:val="32"/>
          <w:lang w:val="en-US" w:eastAsia="zh-CN"/>
        </w:rPr>
      </w:pPr>
      <w:r>
        <w:rPr>
          <w:rFonts w:hint="eastAsia" w:hAnsi="Times New Roman" w:cs="Times New Roman"/>
          <w:b/>
          <w:bCs/>
          <w:szCs w:val="32"/>
          <w:lang w:val="en-US" w:eastAsia="zh-CN"/>
        </w:rPr>
        <w:t>（三）协助完成责任测评（购彩者权益保护教育）</w:t>
      </w:r>
    </w:p>
    <w:p w14:paraId="7B271EE9">
      <w:pPr>
        <w:pStyle w:val="3"/>
        <w:spacing w:line="560" w:lineRule="exact"/>
        <w:ind w:firstLine="605"/>
        <w:rPr>
          <w:rFonts w:hint="default" w:hAnsi="Times New Roman" w:cs="Times New Roman"/>
          <w:szCs w:val="32"/>
          <w:lang w:val="en-US" w:eastAsia="zh-CN"/>
        </w:rPr>
      </w:pPr>
      <w:r>
        <w:rPr>
          <w:rFonts w:hint="eastAsia" w:hAnsi="Times New Roman" w:cs="Times New Roman"/>
          <w:szCs w:val="32"/>
          <w:lang w:val="en-US" w:eastAsia="zh-CN"/>
        </w:rPr>
        <w:t>购彩者权益保护教育工作是总局中心深入贯彻以人民为中心的发展思想的重要举措。为深入了解北京地区购彩者权益保护教育现状，提高北京体彩购彩者权益保护教育水平，切实维护购彩者合法权益，推动实现体彩高质量发展和高水平安全良性互动，特开展本项测评。服务内容包括以下方面：</w:t>
      </w:r>
    </w:p>
    <w:p w14:paraId="00277E64">
      <w:pPr>
        <w:pStyle w:val="3"/>
        <w:spacing w:line="560" w:lineRule="exact"/>
        <w:ind w:firstLine="605"/>
        <w:rPr>
          <w:rFonts w:hint="eastAsia" w:hAnsi="Times New Roman" w:cs="Times New Roman"/>
          <w:szCs w:val="32"/>
          <w:lang w:val="en-US" w:eastAsia="zh-CN"/>
        </w:rPr>
      </w:pPr>
      <w:r>
        <w:rPr>
          <w:rFonts w:hint="eastAsia" w:hAnsi="Times New Roman" w:cs="Times New Roman"/>
          <w:szCs w:val="32"/>
          <w:lang w:val="en-US" w:eastAsia="zh-CN"/>
        </w:rPr>
        <w:t>1.协助完成测评设计与准备。</w:t>
      </w:r>
    </w:p>
    <w:p w14:paraId="39732982">
      <w:pPr>
        <w:pStyle w:val="3"/>
        <w:spacing w:line="560" w:lineRule="exact"/>
        <w:ind w:firstLine="605"/>
        <w:rPr>
          <w:rFonts w:hint="eastAsia" w:hAnsi="Times New Roman" w:cs="Times New Roman"/>
          <w:szCs w:val="32"/>
          <w:lang w:val="en-US" w:eastAsia="zh-CN"/>
        </w:rPr>
      </w:pPr>
      <w:r>
        <w:rPr>
          <w:rFonts w:hint="eastAsia" w:hAnsi="Times New Roman" w:cs="Times New Roman"/>
          <w:szCs w:val="32"/>
          <w:lang w:val="en-US" w:eastAsia="zh-CN"/>
        </w:rPr>
        <w:t>（1）根据中心要求，针对购彩者、社会公众及代销者各设计1份定量问卷，问卷须结构科学、问题设置精准、选项完备及互斥，确保能有效支撑测评目标。</w:t>
      </w:r>
    </w:p>
    <w:p w14:paraId="3B4BC520">
      <w:pPr>
        <w:pStyle w:val="3"/>
        <w:spacing w:line="560" w:lineRule="exact"/>
        <w:ind w:firstLine="605"/>
        <w:rPr>
          <w:rFonts w:hint="eastAsia" w:hAnsi="Times New Roman" w:cs="Times New Roman"/>
          <w:szCs w:val="32"/>
          <w:lang w:val="en-US" w:eastAsia="zh-CN"/>
        </w:rPr>
      </w:pPr>
      <w:r>
        <w:rPr>
          <w:rFonts w:hint="eastAsia" w:hAnsi="Times New Roman" w:cs="Times New Roman"/>
          <w:szCs w:val="32"/>
          <w:lang w:val="en-US" w:eastAsia="zh-CN"/>
        </w:rPr>
        <w:t>（2）根据中心要求，针对购彩者、专管员、社会公众、代销者各设计座谈会大纲1份，针对专管员、中心人员各设计深度访谈大纲1份。大纲须与项目目标高度契合、逻辑结构严谨、问题设置科学及可执行。</w:t>
      </w:r>
    </w:p>
    <w:p w14:paraId="50DF3521">
      <w:pPr>
        <w:pStyle w:val="3"/>
        <w:spacing w:line="560" w:lineRule="exact"/>
        <w:ind w:firstLine="605"/>
        <w:rPr>
          <w:rFonts w:hint="eastAsia" w:ascii="仿宋_GB2312" w:hAnsi="仿宋" w:eastAsia="仿宋_GB2312"/>
          <w:sz w:val="32"/>
          <w:szCs w:val="32"/>
          <w:lang w:val="en-US" w:eastAsia="zh-CN"/>
        </w:rPr>
      </w:pPr>
      <w:r>
        <w:rPr>
          <w:rFonts w:hint="eastAsia" w:hAnsi="Times New Roman" w:cs="Times New Roman"/>
          <w:szCs w:val="32"/>
          <w:lang w:val="en-US" w:eastAsia="zh-CN"/>
        </w:rPr>
        <w:t>2.</w:t>
      </w:r>
      <w:r>
        <w:rPr>
          <w:rFonts w:hint="eastAsia" w:ascii="仿宋_GB2312" w:hAnsi="仿宋" w:eastAsia="仿宋_GB2312"/>
          <w:sz w:val="32"/>
          <w:szCs w:val="32"/>
          <w:lang w:val="en-US" w:eastAsia="zh-CN"/>
        </w:rPr>
        <w:t>服务方</w:t>
      </w:r>
      <w:r>
        <w:rPr>
          <w:rFonts w:hint="eastAsia" w:hAnsi="仿宋"/>
          <w:sz w:val="32"/>
          <w:szCs w:val="32"/>
          <w:lang w:val="en-US" w:eastAsia="zh-CN"/>
        </w:rPr>
        <w:t>须根据中心要求，</w:t>
      </w:r>
      <w:r>
        <w:rPr>
          <w:rFonts w:hint="eastAsia" w:ascii="仿宋_GB2312" w:hAnsi="仿宋" w:eastAsia="仿宋_GB2312"/>
          <w:sz w:val="32"/>
          <w:szCs w:val="32"/>
          <w:lang w:val="en-US" w:eastAsia="zh-CN"/>
        </w:rPr>
        <w:t>针对购彩者</w:t>
      </w:r>
      <w:r>
        <w:rPr>
          <w:rFonts w:hint="eastAsia" w:hAnsi="仿宋"/>
          <w:sz w:val="32"/>
          <w:szCs w:val="32"/>
          <w:lang w:val="en-US" w:eastAsia="zh-CN"/>
        </w:rPr>
        <w:t>、</w:t>
      </w:r>
      <w:r>
        <w:rPr>
          <w:rFonts w:hint="eastAsia" w:hAnsi="Times New Roman" w:cs="Times New Roman"/>
          <w:szCs w:val="32"/>
          <w:lang w:val="en-US" w:eastAsia="zh-CN"/>
        </w:rPr>
        <w:t>社会公众及代销者</w:t>
      </w:r>
      <w:r>
        <w:rPr>
          <w:rFonts w:hint="eastAsia" w:ascii="仿宋_GB2312" w:hAnsi="仿宋" w:eastAsia="仿宋_GB2312"/>
          <w:sz w:val="32"/>
          <w:szCs w:val="32"/>
          <w:lang w:val="en-US" w:eastAsia="zh-CN"/>
        </w:rPr>
        <w:t>开展线上测评工作，</w:t>
      </w:r>
      <w:r>
        <w:rPr>
          <w:rFonts w:hint="eastAsia" w:hAnsi="仿宋"/>
          <w:sz w:val="32"/>
          <w:szCs w:val="32"/>
          <w:lang w:val="en-US" w:eastAsia="zh-CN"/>
        </w:rPr>
        <w:t>其中购彩者线上有效测评问卷</w:t>
      </w:r>
      <w:r>
        <w:rPr>
          <w:rFonts w:hint="eastAsia" w:ascii="仿宋_GB2312" w:hAnsi="仿宋" w:eastAsia="仿宋_GB2312"/>
          <w:sz w:val="32"/>
          <w:szCs w:val="32"/>
          <w:lang w:val="en-US" w:eastAsia="zh-CN"/>
        </w:rPr>
        <w:t>不少于2000份，</w:t>
      </w:r>
      <w:r>
        <w:rPr>
          <w:rFonts w:hint="eastAsia" w:hAnsi="仿宋"/>
          <w:sz w:val="32"/>
          <w:szCs w:val="32"/>
          <w:lang w:val="en-US" w:eastAsia="zh-CN"/>
        </w:rPr>
        <w:t>代销者不少于3000份，社会公众不少于1000份，服务方须</w:t>
      </w:r>
      <w:r>
        <w:rPr>
          <w:rFonts w:hint="eastAsia" w:ascii="仿宋_GB2312" w:hAnsi="仿宋" w:eastAsia="仿宋_GB2312"/>
          <w:sz w:val="32"/>
          <w:szCs w:val="32"/>
          <w:lang w:val="en-US" w:eastAsia="zh-CN"/>
        </w:rPr>
        <w:t>自行做好问卷发放、回收及统计整理工作。</w:t>
      </w:r>
    </w:p>
    <w:p w14:paraId="42D167D3">
      <w:pPr>
        <w:pStyle w:val="3"/>
        <w:spacing w:line="560" w:lineRule="exact"/>
        <w:ind w:firstLine="605"/>
        <w:rPr>
          <w:rFonts w:hint="eastAsia" w:hAnsi="仿宋"/>
          <w:sz w:val="32"/>
          <w:szCs w:val="32"/>
          <w:lang w:val="en-US" w:eastAsia="zh-CN"/>
        </w:rPr>
      </w:pPr>
      <w:r>
        <w:rPr>
          <w:rFonts w:hint="eastAsia" w:hAnsi="仿宋"/>
          <w:sz w:val="32"/>
          <w:szCs w:val="32"/>
          <w:lang w:val="en-US" w:eastAsia="zh-CN"/>
        </w:rPr>
        <w:t>3.服务方须根据中心要求对专管员</w:t>
      </w:r>
      <w:r>
        <w:rPr>
          <w:rFonts w:hint="eastAsia" w:hAnsi="Times New Roman" w:cs="Times New Roman"/>
          <w:szCs w:val="32"/>
          <w:lang w:val="en-US" w:eastAsia="zh-CN"/>
        </w:rPr>
        <w:t>进行深度访谈，访谈人数不少于7人；对中心相关工作人员</w:t>
      </w:r>
      <w:r>
        <w:rPr>
          <w:rFonts w:hint="eastAsia" w:hAnsi="仿宋"/>
          <w:sz w:val="32"/>
          <w:szCs w:val="32"/>
          <w:lang w:val="en-US" w:eastAsia="zh-CN"/>
        </w:rPr>
        <w:t>进行深度访谈，访谈人数不少于3人。</w:t>
      </w:r>
    </w:p>
    <w:p w14:paraId="49A4E7C1">
      <w:pPr>
        <w:pStyle w:val="3"/>
        <w:spacing w:line="560" w:lineRule="exact"/>
        <w:ind w:firstLine="605"/>
        <w:rPr>
          <w:rFonts w:hint="eastAsia" w:hAnsi="仿宋"/>
          <w:sz w:val="32"/>
          <w:szCs w:val="32"/>
          <w:lang w:val="en-US" w:eastAsia="zh-CN"/>
        </w:rPr>
      </w:pPr>
      <w:r>
        <w:rPr>
          <w:rFonts w:hint="eastAsia" w:hAnsi="仿宋"/>
          <w:sz w:val="32"/>
          <w:szCs w:val="32"/>
          <w:lang w:val="en-US" w:eastAsia="zh-CN"/>
        </w:rPr>
        <w:t>4.服务方须根据中心要求，组织购彩者、社会公众、代销者和专管员进行焦点小组座谈会，每类群体不少于2场，每场座谈会不少于6人。</w:t>
      </w:r>
    </w:p>
    <w:p w14:paraId="39244590">
      <w:pPr>
        <w:pStyle w:val="3"/>
        <w:spacing w:line="560" w:lineRule="exact"/>
        <w:ind w:firstLine="605"/>
        <w:rPr>
          <w:rFonts w:hint="eastAsia" w:hAnsi="仿宋"/>
          <w:sz w:val="32"/>
          <w:szCs w:val="32"/>
          <w:highlight w:val="none"/>
          <w:lang w:val="en-US" w:eastAsia="zh-CN"/>
        </w:rPr>
      </w:pPr>
      <w:r>
        <w:rPr>
          <w:rFonts w:hint="eastAsia" w:hAnsi="仿宋"/>
          <w:sz w:val="32"/>
          <w:szCs w:val="32"/>
          <w:lang w:val="en-US" w:eastAsia="zh-CN"/>
        </w:rPr>
        <w:t>5.以上测评完成后，协助中心于</w:t>
      </w:r>
      <w:r>
        <w:rPr>
          <w:rFonts w:hint="eastAsia" w:hAnsi="仿宋"/>
          <w:sz w:val="32"/>
          <w:szCs w:val="32"/>
          <w:highlight w:val="none"/>
          <w:lang w:val="en-US" w:eastAsia="zh-CN"/>
        </w:rPr>
        <w:t>2026年11月30日前</w:t>
      </w:r>
      <w:r>
        <w:rPr>
          <w:rFonts w:hint="eastAsia" w:hAnsi="仿宋"/>
          <w:sz w:val="32"/>
          <w:szCs w:val="32"/>
          <w:lang w:val="en-US" w:eastAsia="zh-CN"/>
        </w:rPr>
        <w:t>完成《2026年北京体彩购彩者权益保护教育测评项目报告》的撰写</w:t>
      </w:r>
      <w:r>
        <w:rPr>
          <w:rFonts w:hint="eastAsia" w:hAnsi="仿宋"/>
          <w:sz w:val="32"/>
          <w:szCs w:val="32"/>
          <w:highlight w:val="none"/>
          <w:lang w:val="en-US" w:eastAsia="zh-CN"/>
        </w:rPr>
        <w:t>。</w:t>
      </w:r>
    </w:p>
    <w:p w14:paraId="2E20FA25">
      <w:pPr>
        <w:pStyle w:val="3"/>
        <w:spacing w:line="560" w:lineRule="exact"/>
        <w:ind w:firstLine="605"/>
        <w:rPr>
          <w:rFonts w:hint="eastAsia" w:hAnsi="仿宋"/>
          <w:sz w:val="32"/>
          <w:szCs w:val="32"/>
          <w:highlight w:val="none"/>
          <w:lang w:val="en-US" w:eastAsia="zh-CN"/>
        </w:rPr>
      </w:pPr>
      <w:r>
        <w:rPr>
          <w:rFonts w:hint="eastAsia" w:hAnsi="仿宋"/>
          <w:sz w:val="32"/>
          <w:szCs w:val="32"/>
          <w:highlight w:val="none"/>
          <w:lang w:val="en-US" w:eastAsia="zh-CN"/>
        </w:rPr>
        <w:t>6.其他服务</w:t>
      </w:r>
    </w:p>
    <w:p w14:paraId="0C1B22DC">
      <w:pPr>
        <w:pStyle w:val="3"/>
        <w:spacing w:line="560" w:lineRule="exact"/>
        <w:ind w:firstLine="605"/>
        <w:rPr>
          <w:rFonts w:hint="eastAsia" w:hAnsi="仿宋"/>
          <w:sz w:val="32"/>
          <w:szCs w:val="32"/>
          <w:highlight w:val="none"/>
          <w:lang w:val="en-US" w:eastAsia="zh-CN"/>
        </w:rPr>
      </w:pPr>
      <w:r>
        <w:rPr>
          <w:rFonts w:hint="eastAsia" w:hAnsi="仿宋"/>
          <w:sz w:val="32"/>
          <w:szCs w:val="32"/>
          <w:highlight w:val="none"/>
          <w:lang w:val="en-US" w:eastAsia="zh-CN"/>
        </w:rPr>
        <w:t>（1）</w:t>
      </w:r>
      <w:r>
        <w:rPr>
          <w:rFonts w:hint="eastAsia" w:hAnsi="仿宋"/>
          <w:sz w:val="32"/>
          <w:szCs w:val="32"/>
          <w:lang w:val="en-US" w:eastAsia="zh-CN"/>
        </w:rPr>
        <w:t>根据中心需求</w:t>
      </w:r>
      <w:r>
        <w:rPr>
          <w:rFonts w:hint="eastAsia" w:hAnsi="仿宋"/>
          <w:sz w:val="32"/>
          <w:szCs w:val="32"/>
          <w:highlight w:val="none"/>
          <w:lang w:val="en-US" w:eastAsia="zh-CN"/>
        </w:rPr>
        <w:t>开展针对中心人员和专管员的培训各1场，以上2场培训均须由高级职称讲师进行授课。</w:t>
      </w:r>
    </w:p>
    <w:p w14:paraId="21EECBC2">
      <w:pPr>
        <w:pStyle w:val="3"/>
        <w:spacing w:line="560" w:lineRule="exact"/>
        <w:ind w:firstLine="605"/>
        <w:rPr>
          <w:rFonts w:hint="default" w:hAnsi="仿宋"/>
          <w:sz w:val="32"/>
          <w:szCs w:val="32"/>
          <w:lang w:val="en-US" w:eastAsia="zh-CN"/>
        </w:rPr>
      </w:pPr>
      <w:r>
        <w:rPr>
          <w:rFonts w:hint="eastAsia" w:hAnsi="仿宋"/>
          <w:sz w:val="32"/>
          <w:szCs w:val="32"/>
          <w:lang w:val="en-US" w:eastAsia="zh-CN"/>
        </w:rPr>
        <w:t>（2）制作90秒MG科普动画2条，动画主题、设计思路须经中心审核通过后进行实施。</w:t>
      </w:r>
    </w:p>
    <w:p w14:paraId="7B3C3103">
      <w:pPr>
        <w:pStyle w:val="3"/>
        <w:spacing w:line="560" w:lineRule="exact"/>
        <w:ind w:firstLine="605"/>
        <w:rPr>
          <w:rFonts w:hint="default" w:hAnsi="仿宋"/>
          <w:sz w:val="32"/>
          <w:szCs w:val="32"/>
          <w:lang w:val="en-US" w:eastAsia="zh-CN"/>
        </w:rPr>
      </w:pPr>
      <w:r>
        <w:rPr>
          <w:rFonts w:hint="eastAsia" w:hAnsi="仿宋"/>
          <w:sz w:val="32"/>
          <w:szCs w:val="32"/>
          <w:lang w:val="en-US" w:eastAsia="zh-CN"/>
        </w:rPr>
        <w:t>（3）根据中心要求撰写新闻稿件4篇，稿件内容须深度融合定量测评发现与定性访谈洞察，涵盖理性购彩行为引导、权益保护机制解析、责任彩票实践案例等专业领域，需要对测评数据深度解读、对专业内容进行转化。</w:t>
      </w:r>
    </w:p>
    <w:p w14:paraId="552A4FD1">
      <w:pPr>
        <w:pStyle w:val="3"/>
        <w:spacing w:line="560" w:lineRule="exact"/>
        <w:ind w:firstLine="605"/>
        <w:rPr>
          <w:rFonts w:hint="eastAsia" w:hAnsi="仿宋"/>
          <w:sz w:val="32"/>
          <w:szCs w:val="32"/>
          <w:lang w:val="en-US" w:eastAsia="zh-CN"/>
        </w:rPr>
      </w:pPr>
      <w:r>
        <w:rPr>
          <w:rFonts w:hint="eastAsia" w:hAnsi="仿宋"/>
          <w:sz w:val="32"/>
          <w:szCs w:val="32"/>
          <w:lang w:val="en-US" w:eastAsia="zh-CN"/>
        </w:rPr>
        <w:t>（4）根据中心要求设计宣传海报1版，海报以“理性购彩”为核心主题，融合风险提示、权益保障及官方渠道信息等关键内容，海报主题、创意构思等须经中心审核通过后进行实施。</w:t>
      </w:r>
    </w:p>
    <w:p w14:paraId="6CB64D40">
      <w:pPr>
        <w:pStyle w:val="3"/>
        <w:spacing w:line="560" w:lineRule="exact"/>
        <w:ind w:firstLine="605"/>
        <w:rPr>
          <w:rFonts w:hint="default" w:hAnsi="仿宋"/>
          <w:sz w:val="32"/>
          <w:szCs w:val="32"/>
          <w:lang w:val="en-US" w:eastAsia="zh-CN"/>
        </w:rPr>
      </w:pPr>
      <w:r>
        <w:rPr>
          <w:rFonts w:hint="eastAsia" w:hAnsi="仿宋"/>
          <w:sz w:val="32"/>
          <w:szCs w:val="32"/>
          <w:lang w:val="en-US" w:eastAsia="zh-CN"/>
        </w:rPr>
        <w:t>（5）根据中心要求设计宣传折页1版，根据前期测评发现的购彩者认知特点与信息接收习惯等进行设计，设计成果兼具专业性与传播力，可直接用于后续印刷制作。</w:t>
      </w:r>
    </w:p>
    <w:p w14:paraId="0BE6A446">
      <w:pPr>
        <w:tabs>
          <w:tab w:val="left" w:pos="632"/>
        </w:tabs>
        <w:spacing w:line="560" w:lineRule="exact"/>
        <w:ind w:firstLine="640" w:firstLineChars="200"/>
        <w:jc w:val="left"/>
        <w:outlineLvl w:val="9"/>
        <w:rPr>
          <w:rFonts w:hint="default" w:hAnsi="Times New Roman" w:cs="Times New Roman"/>
          <w:szCs w:val="32"/>
          <w:highlight w:val="none"/>
          <w:lang w:val="en-US" w:eastAsia="zh-CN"/>
        </w:rPr>
      </w:pPr>
      <w:r>
        <w:rPr>
          <w:rFonts w:hint="eastAsia" w:ascii="黑体" w:eastAsia="黑体" w:cs="Times New Roman"/>
          <w:sz w:val="32"/>
          <w:highlight w:val="none"/>
          <w:lang w:val="en-US" w:eastAsia="zh-CN"/>
        </w:rPr>
        <w:t>五、对项目服务方的要求</w:t>
      </w:r>
    </w:p>
    <w:p w14:paraId="240D2643">
      <w:pPr>
        <w:pStyle w:val="3"/>
        <w:spacing w:line="560" w:lineRule="exact"/>
        <w:ind w:firstLine="605"/>
        <w:rPr>
          <w:rFonts w:hint="eastAsia" w:hAnsi="Times New Roman" w:cs="Times New Roman"/>
          <w:szCs w:val="32"/>
          <w:lang w:val="en-US" w:eastAsia="zh-CN"/>
        </w:rPr>
      </w:pPr>
      <w:r>
        <w:rPr>
          <w:rFonts w:hint="eastAsia" w:hAnsi="Times New Roman" w:cs="Times New Roman"/>
          <w:szCs w:val="32"/>
          <w:lang w:val="en-US" w:eastAsia="zh-CN"/>
        </w:rPr>
        <w:t>1.符合《中华人民共和国政府采购法》第二十二条规定。</w:t>
      </w:r>
    </w:p>
    <w:p w14:paraId="7B46557C">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.服务方须</w:t>
      </w:r>
      <w:r>
        <w:rPr>
          <w:rFonts w:hint="eastAsia" w:ascii="仿宋_GB2312" w:hAnsi="仿宋" w:eastAsia="仿宋_GB2312"/>
          <w:sz w:val="32"/>
          <w:szCs w:val="32"/>
          <w:highlight w:val="none"/>
          <w:lang w:val="en-US" w:eastAsia="zh-CN"/>
        </w:rPr>
        <w:t>为</w:t>
      </w:r>
      <w:r>
        <w:rPr>
          <w:rFonts w:hint="eastAsia" w:ascii="仿宋_GB2312" w:hAnsi="仿宋_GB2312" w:eastAsia="仿宋_GB2312" w:cs="仿宋_GB2312"/>
          <w:b w:val="0"/>
          <w:bCs w:val="0"/>
          <w:color w:val="auto"/>
          <w:kern w:val="2"/>
          <w:sz w:val="32"/>
          <w:szCs w:val="32"/>
          <w:highlight w:val="none"/>
          <w:lang w:val="en-US" w:eastAsia="zh-CN" w:bidi="ar-SA"/>
        </w:rPr>
        <w:t>在中国境内注册并具有独立法人资格的合法企业，具有良好的商业信誉和健全的财务会计制度。</w:t>
      </w:r>
    </w:p>
    <w:p w14:paraId="61F98AE2">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.服务方须具有近期（202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年至今）完成同类项目的服务经验。</w:t>
      </w:r>
    </w:p>
    <w:p w14:paraId="319D8BCB">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.服务方所提供的项目团队人员须具备开展</w:t>
      </w:r>
      <w:r>
        <w:rPr>
          <w:rFonts w:hint="eastAsia" w:ascii="仿宋_GB2312" w:hAnsi="仿宋" w:eastAsia="仿宋_GB2312"/>
          <w:sz w:val="32"/>
          <w:szCs w:val="32"/>
          <w:lang w:val="en-US" w:eastAsia="zh-CN"/>
        </w:rPr>
        <w:t>同类</w:t>
      </w:r>
      <w:r>
        <w:rPr>
          <w:rFonts w:hint="eastAsia" w:ascii="仿宋_GB2312" w:hAnsi="仿宋" w:eastAsia="仿宋_GB2312"/>
          <w:sz w:val="32"/>
          <w:szCs w:val="32"/>
        </w:rPr>
        <w:t>项目工作的相关能力和经验。</w:t>
      </w:r>
    </w:p>
    <w:p w14:paraId="1685B675">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.服务方须对项目工作有全面深入的了解，并在此基础上制定相应工作方案，有明确的时间进度安排</w:t>
      </w:r>
      <w:r>
        <w:rPr>
          <w:rFonts w:hint="eastAsia" w:ascii="仿宋_GB2312" w:eastAsia="仿宋_GB2312"/>
          <w:sz w:val="32"/>
          <w:szCs w:val="32"/>
          <w:lang w:eastAsia="zh-CN"/>
        </w:rPr>
        <w:t>、</w:t>
      </w:r>
      <w:r>
        <w:rPr>
          <w:rFonts w:hint="eastAsia" w:ascii="仿宋_GB2312" w:eastAsia="仿宋_GB2312"/>
          <w:sz w:val="32"/>
          <w:szCs w:val="32"/>
        </w:rPr>
        <w:t>质量保障措施</w:t>
      </w:r>
      <w:r>
        <w:rPr>
          <w:rFonts w:hint="eastAsia" w:ascii="仿宋_GB2312" w:eastAsia="仿宋_GB2312"/>
          <w:sz w:val="32"/>
          <w:szCs w:val="32"/>
          <w:lang w:val="en-US" w:eastAsia="zh-CN"/>
        </w:rPr>
        <w:t>等</w:t>
      </w:r>
      <w:r>
        <w:rPr>
          <w:rFonts w:hint="eastAsia" w:ascii="仿宋_GB2312" w:eastAsia="仿宋_GB2312"/>
          <w:sz w:val="32"/>
          <w:szCs w:val="32"/>
        </w:rPr>
        <w:t>。</w:t>
      </w:r>
    </w:p>
    <w:p w14:paraId="0CFD6000">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.服务方不得将本项目权利义务转包、分包或变相转包给第三方。</w:t>
      </w:r>
    </w:p>
    <w:p w14:paraId="65C37A34">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val="en-US" w:eastAsia="zh-CN"/>
        </w:rPr>
        <w:t>7</w:t>
      </w:r>
      <w:r>
        <w:rPr>
          <w:rFonts w:ascii="仿宋_GB2312" w:hAnsi="宋体" w:eastAsia="仿宋_GB2312" w:cs="宋体"/>
          <w:sz w:val="32"/>
          <w:szCs w:val="32"/>
        </w:rPr>
        <w:t>.</w:t>
      </w:r>
      <w:r>
        <w:rPr>
          <w:rFonts w:hint="eastAsia" w:ascii="仿宋_GB2312" w:eastAsia="仿宋_GB2312"/>
          <w:sz w:val="32"/>
          <w:szCs w:val="32"/>
        </w:rPr>
        <w:t>服务方在项目执行完毕后，须制作</w:t>
      </w:r>
      <w:r>
        <w:rPr>
          <w:rFonts w:hint="eastAsia" w:ascii="仿宋_GB2312" w:eastAsia="仿宋_GB2312"/>
          <w:sz w:val="32"/>
          <w:szCs w:val="32"/>
          <w:lang w:val="en-US" w:eastAsia="zh-CN"/>
        </w:rPr>
        <w:t>总结</w:t>
      </w:r>
      <w:r>
        <w:rPr>
          <w:rFonts w:hint="eastAsia" w:ascii="仿宋_GB2312" w:eastAsia="仿宋_GB2312"/>
          <w:sz w:val="32"/>
          <w:szCs w:val="32"/>
        </w:rPr>
        <w:t>报告（报告至少包含工作记录、工作成果、工作底稿等内容，包括但不限于文字、图片、表格、数据、视频等形式）供我中心验收</w:t>
      </w:r>
      <w:r>
        <w:rPr>
          <w:rFonts w:hint="eastAsia" w:ascii="仿宋_GB2312" w:hAnsi="宋体" w:eastAsia="仿宋_GB2312" w:cs="宋体"/>
          <w:sz w:val="32"/>
          <w:szCs w:val="32"/>
        </w:rPr>
        <w:t>。</w:t>
      </w:r>
    </w:p>
    <w:p w14:paraId="1B630B95">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w:t>
      </w:r>
      <w:r>
        <w:rPr>
          <w:rFonts w:hint="eastAsia" w:ascii="仿宋_GB2312" w:eastAsia="仿宋_GB2312"/>
          <w:sz w:val="32"/>
          <w:szCs w:val="32"/>
        </w:rPr>
        <w:t>服务方在工作中须严格遵守保密规定，不得将保密信息提供给与履行本项目无关的任何其他人，本项目保密义务的期限为永久。</w:t>
      </w:r>
    </w:p>
    <w:p w14:paraId="5DCAD6CF">
      <w:pPr>
        <w:pStyle w:val="3"/>
        <w:spacing w:line="560" w:lineRule="exact"/>
        <w:ind w:firstLine="605"/>
        <w:rPr>
          <w:rFonts w:hint="default" w:hAnsi="Times New Roman" w:cs="Times New Roman"/>
          <w:szCs w:val="32"/>
          <w:lang w:val="en-US" w:eastAsia="zh-CN"/>
        </w:rPr>
      </w:pPr>
    </w:p>
    <w:p w14:paraId="75135E4C">
      <w:pPr>
        <w:pStyle w:val="2"/>
        <w:numPr>
          <w:ilvl w:val="0"/>
          <w:numId w:val="0"/>
        </w:num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8CC0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CFB0A">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CFB0A">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26C19"/>
    <w:rsid w:val="00727BA4"/>
    <w:rsid w:val="007B4E78"/>
    <w:rsid w:val="01722330"/>
    <w:rsid w:val="02A00C23"/>
    <w:rsid w:val="043445F5"/>
    <w:rsid w:val="05935C94"/>
    <w:rsid w:val="077D390D"/>
    <w:rsid w:val="09FC086D"/>
    <w:rsid w:val="0CA00584"/>
    <w:rsid w:val="0D6F3717"/>
    <w:rsid w:val="0EB26C19"/>
    <w:rsid w:val="0EF54495"/>
    <w:rsid w:val="15CE7BBB"/>
    <w:rsid w:val="15EA0FB6"/>
    <w:rsid w:val="175E0364"/>
    <w:rsid w:val="183539C6"/>
    <w:rsid w:val="18366562"/>
    <w:rsid w:val="19625331"/>
    <w:rsid w:val="1A334190"/>
    <w:rsid w:val="1AE91E6A"/>
    <w:rsid w:val="1BF7387C"/>
    <w:rsid w:val="1C5B55B0"/>
    <w:rsid w:val="1F65551D"/>
    <w:rsid w:val="1FEB6AB3"/>
    <w:rsid w:val="220A231C"/>
    <w:rsid w:val="223F6B5F"/>
    <w:rsid w:val="22913D50"/>
    <w:rsid w:val="25A66C1F"/>
    <w:rsid w:val="26164D3C"/>
    <w:rsid w:val="264C1327"/>
    <w:rsid w:val="26C01385"/>
    <w:rsid w:val="28251304"/>
    <w:rsid w:val="287B02C3"/>
    <w:rsid w:val="2C2E598B"/>
    <w:rsid w:val="2F8E40ED"/>
    <w:rsid w:val="3022487F"/>
    <w:rsid w:val="304F6FAA"/>
    <w:rsid w:val="32241A18"/>
    <w:rsid w:val="35AD209F"/>
    <w:rsid w:val="397F10F3"/>
    <w:rsid w:val="3A92312A"/>
    <w:rsid w:val="3CC2183C"/>
    <w:rsid w:val="3CEA2951"/>
    <w:rsid w:val="3DFA5FEB"/>
    <w:rsid w:val="3E5F6964"/>
    <w:rsid w:val="3EA45BB4"/>
    <w:rsid w:val="413F722C"/>
    <w:rsid w:val="414C5D81"/>
    <w:rsid w:val="42454573"/>
    <w:rsid w:val="441D291B"/>
    <w:rsid w:val="447B4066"/>
    <w:rsid w:val="491D1E84"/>
    <w:rsid w:val="4DAC647D"/>
    <w:rsid w:val="509179D8"/>
    <w:rsid w:val="53D55DF0"/>
    <w:rsid w:val="56D952A8"/>
    <w:rsid w:val="5733219C"/>
    <w:rsid w:val="573669A4"/>
    <w:rsid w:val="57D41ED5"/>
    <w:rsid w:val="583E2A4B"/>
    <w:rsid w:val="596127B1"/>
    <w:rsid w:val="59F75089"/>
    <w:rsid w:val="5CB73B2D"/>
    <w:rsid w:val="5E061250"/>
    <w:rsid w:val="5ED778F8"/>
    <w:rsid w:val="5F3E0644"/>
    <w:rsid w:val="601B6B5B"/>
    <w:rsid w:val="61BD1666"/>
    <w:rsid w:val="630E02C8"/>
    <w:rsid w:val="642A398E"/>
    <w:rsid w:val="65A8586E"/>
    <w:rsid w:val="68FE73CF"/>
    <w:rsid w:val="6AB73581"/>
    <w:rsid w:val="6DD97F2E"/>
    <w:rsid w:val="6DE213D7"/>
    <w:rsid w:val="74024E83"/>
    <w:rsid w:val="79210953"/>
    <w:rsid w:val="7AD21A0F"/>
    <w:rsid w:val="7B451EC0"/>
    <w:rsid w:val="7E5747D4"/>
    <w:rsid w:val="7F2B3329"/>
    <w:rsid w:val="7F664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60" w:lineRule="exact"/>
      <w:ind w:firstLine="640" w:firstLineChars="200"/>
    </w:pPr>
    <w:rPr>
      <w:rFonts w:ascii="仿宋_GB2312" w:eastAsia="仿宋_GB2312"/>
      <w:sz w:val="32"/>
    </w:rPr>
  </w:style>
  <w:style w:type="paragraph" w:styleId="4">
    <w:name w:val="Normal Indent"/>
    <w:basedOn w:val="1"/>
    <w:unhideWhenUsed/>
    <w:qFormat/>
    <w:uiPriority w:val="99"/>
    <w:pPr>
      <w:ind w:firstLine="420"/>
    </w:pPr>
  </w:style>
  <w:style w:type="paragraph" w:styleId="5">
    <w:name w:val="Body Text"/>
    <w:basedOn w:val="1"/>
    <w:qFormat/>
    <w:uiPriority w:val="0"/>
    <w:pPr>
      <w:spacing w:after="120"/>
    </w:pPr>
  </w:style>
  <w:style w:type="paragraph" w:styleId="6">
    <w:name w:val="Body Text Indent 2"/>
    <w:basedOn w:val="1"/>
    <w:next w:val="1"/>
    <w:qFormat/>
    <w:uiPriority w:val="0"/>
    <w:pPr>
      <w:spacing w:after="120" w:line="480" w:lineRule="auto"/>
      <w:ind w:left="420" w:leftChars="200"/>
    </w:pPr>
    <w:rPr>
      <w:rFonts w:eastAsia="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TOC3"/>
    <w:basedOn w:val="1"/>
    <w:next w:val="1"/>
    <w:qFormat/>
    <w:uiPriority w:val="0"/>
    <w:pPr>
      <w:ind w:left="840" w:leftChars="400"/>
    </w:p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2236</Words>
  <Characters>2328</Characters>
  <Lines>0</Lines>
  <Paragraphs>0</Paragraphs>
  <TotalTime>20</TotalTime>
  <ScaleCrop>false</ScaleCrop>
  <LinksUpToDate>false</LinksUpToDate>
  <CharactersWithSpaces>2328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2025-12-04T06:59:00Z</dcterms:created>
  <dc:creator>admin</dc:creator>
  <cp:lastModifiedBy>匿名用户</cp:lastModifiedBy>
  <cp:lastPrinted>2026-01-04T06:48:00Z</cp:lastPrinted>
  <dcterms:modified xsi:type="dcterms:W3CDTF">2026-01-04T08:59:19Z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159C2B7CD1594DBFBBE680A386B447F5</vt:lpwstr>
  </property>
  <property fmtid="{D5CDD505-2E9C-101B-9397-08002B2CF9AE}" pid="4" name="KSOTemplateDocerSaveRecord">
    <vt:lpwstr>eyJoZGlkIjoiZTRmMmVkZThkZmZjNDk0ZWEzNzNkNWRmMDUzYmJiZDEiLCJ1c2VySWQiOiI3NjM2NDA2NTQifQ==</vt:lpwstr>
  </property>
</Properties>
</file>