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bookmarkStart w:id="0" w:name="_Toc13738"/>
      <w:bookmarkStart w:id="1" w:name="_Toc7583"/>
      <w:r>
        <w:rPr>
          <w:rFonts w:hint="eastAsia"/>
        </w:rPr>
        <w:t>北京市体育彩票</w:t>
      </w:r>
      <w:bookmarkStart w:id="4" w:name="_GoBack"/>
      <w:bookmarkEnd w:id="4"/>
      <w:r>
        <w:rPr>
          <w:rFonts w:hint="eastAsia"/>
        </w:rPr>
        <w:t>管理中心</w:t>
      </w:r>
    </w:p>
    <w:p>
      <w:pPr>
        <w:pStyle w:val="2"/>
        <w:bidi w:val="0"/>
        <w:jc w:val="center"/>
      </w:pPr>
      <w:r>
        <w:rPr>
          <w:rFonts w:hint="eastAsia"/>
          <w:lang w:eastAsia="zh-CN"/>
        </w:rPr>
        <w:t>北单游戏</w:t>
      </w:r>
      <w:r>
        <w:rPr>
          <w:rFonts w:hint="eastAsia"/>
        </w:rPr>
        <w:t>公证服务采购需求</w:t>
      </w:r>
      <w:bookmarkEnd w:id="0"/>
      <w:bookmarkEnd w:id="1"/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hint="eastAsia" w:ascii="宋体" w:hAnsi="宋体" w:eastAsia="宋体"/>
          <w:b/>
          <w:sz w:val="24"/>
          <w:szCs w:val="24"/>
        </w:rPr>
      </w:pPr>
      <w:bookmarkStart w:id="2" w:name="_Toc167439475"/>
      <w:r>
        <w:rPr>
          <w:rFonts w:hint="eastAsia" w:ascii="宋体" w:hAnsi="宋体" w:eastAsia="宋体"/>
          <w:b/>
          <w:sz w:val="24"/>
          <w:szCs w:val="24"/>
        </w:rPr>
        <w:t>一、项目背景情况说明</w:t>
      </w:r>
      <w:bookmarkEnd w:id="2"/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《彩票管理条例实施细则》第三十三条规定，根据体育比赛项目确定开奖号码的，应当定期封存彩票销售原始数据。彩票销售原始数据保存期限，自封存之日起不得少于60个月。为进一步保障数据封存的安全性、计奖兑奖的合规性，保障体彩公信力，拟采购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北单游戏</w:t>
      </w:r>
      <w:r>
        <w:rPr>
          <w:rFonts w:hint="eastAsia" w:ascii="宋体" w:hAnsi="宋体" w:eastAsia="宋体"/>
          <w:sz w:val="24"/>
          <w:szCs w:val="24"/>
        </w:rPr>
        <w:t>的数据封存公证和计奖审核公证服务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等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hint="eastAsia" w:ascii="宋体" w:hAnsi="宋体" w:eastAsia="宋体"/>
          <w:b/>
          <w:sz w:val="24"/>
          <w:szCs w:val="24"/>
        </w:rPr>
      </w:pPr>
      <w:bookmarkStart w:id="3" w:name="_Toc167439476"/>
      <w:r>
        <w:rPr>
          <w:rFonts w:hint="eastAsia" w:ascii="宋体" w:hAnsi="宋体" w:eastAsia="宋体"/>
          <w:b/>
          <w:sz w:val="24"/>
          <w:szCs w:val="24"/>
        </w:rPr>
        <w:t>二、技术要求</w:t>
      </w:r>
      <w:bookmarkEnd w:id="3"/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ascii="宋体" w:hAnsi="宋体" w:eastAsia="宋体"/>
          <w:b/>
          <w:snapToGrid w:val="0"/>
          <w:kern w:val="0"/>
          <w:sz w:val="24"/>
          <w:szCs w:val="24"/>
        </w:rPr>
      </w:pPr>
      <w:r>
        <w:rPr>
          <w:rFonts w:ascii="宋体" w:hAnsi="宋体" w:eastAsia="宋体"/>
          <w:b/>
          <w:snapToGrid w:val="0"/>
          <w:kern w:val="0"/>
          <w:sz w:val="24"/>
          <w:szCs w:val="24"/>
        </w:rPr>
        <w:t>1.</w:t>
      </w:r>
      <w:r>
        <w:rPr>
          <w:rFonts w:hint="eastAsia" w:ascii="宋体" w:hAnsi="宋体" w:eastAsia="宋体"/>
          <w:b/>
          <w:snapToGrid w:val="0"/>
          <w:kern w:val="0"/>
          <w:sz w:val="24"/>
          <w:szCs w:val="24"/>
        </w:rPr>
        <w:t>销售数据存证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/>
          <w:snapToGrid w:val="0"/>
          <w:kern w:val="0"/>
          <w:sz w:val="24"/>
          <w:szCs w:val="24"/>
        </w:rPr>
      </w:pPr>
      <w:r>
        <w:rPr>
          <w:rFonts w:hint="eastAsia" w:ascii="宋体" w:hAnsi="宋体" w:eastAsia="宋体"/>
          <w:snapToGrid w:val="0"/>
          <w:kern w:val="0"/>
          <w:sz w:val="24"/>
          <w:szCs w:val="24"/>
          <w:lang w:val="en-US" w:eastAsia="zh-CN"/>
        </w:rPr>
        <w:t>乙方</w:t>
      </w:r>
      <w:r>
        <w:rPr>
          <w:rFonts w:hint="eastAsia" w:ascii="宋体" w:hAnsi="宋体" w:eastAsia="宋体"/>
          <w:snapToGrid w:val="0"/>
          <w:kern w:val="0"/>
          <w:sz w:val="24"/>
          <w:szCs w:val="24"/>
        </w:rPr>
        <w:t>在</w:t>
      </w:r>
      <w:r>
        <w:rPr>
          <w:rFonts w:hint="eastAsia" w:ascii="宋体" w:hAnsi="宋体" w:eastAsia="宋体"/>
          <w:snapToGrid w:val="0"/>
          <w:kern w:val="0"/>
          <w:sz w:val="24"/>
          <w:szCs w:val="24"/>
          <w:lang w:eastAsia="zh-CN"/>
        </w:rPr>
        <w:t>北单游戏</w:t>
      </w:r>
      <w:r>
        <w:rPr>
          <w:rFonts w:hint="eastAsia" w:ascii="宋体" w:hAnsi="宋体" w:eastAsia="宋体"/>
          <w:snapToGrid w:val="0"/>
          <w:kern w:val="0"/>
          <w:sz w:val="24"/>
          <w:szCs w:val="24"/>
        </w:rPr>
        <w:t>比赛停止销售后，对该场比赛的销售数据出具存证证明，此服务为系统接口服务无需人工参与，具体方式为：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eastAsia="宋体"/>
          <w:snapToGrid w:val="0"/>
          <w:kern w:val="0"/>
          <w:sz w:val="24"/>
          <w:szCs w:val="24"/>
        </w:rPr>
      </w:pPr>
      <w:r>
        <w:rPr>
          <w:rFonts w:hint="eastAsia" w:ascii="宋体" w:hAnsi="宋体" w:eastAsia="宋体"/>
          <w:snapToGrid w:val="0"/>
          <w:kern w:val="0"/>
          <w:sz w:val="24"/>
          <w:szCs w:val="24"/>
        </w:rPr>
        <w:t>公证处黑箱系统提供公证封存服务接口：公证封存服务，主要负责与公证处黑箱服务进行交互。北京体彩系统调用黑箱服务接口，标记每场赛事票明细文件的公证摘要和存储公证数字证书，同时返回给</w:t>
      </w:r>
      <w:r>
        <w:rPr>
          <w:rFonts w:hint="eastAsia" w:ascii="宋体" w:hAnsi="宋体" w:eastAsia="宋体"/>
          <w:snapToGrid w:val="0"/>
          <w:kern w:val="0"/>
          <w:sz w:val="24"/>
          <w:szCs w:val="24"/>
          <w:lang w:val="en-US" w:eastAsia="zh-CN"/>
        </w:rPr>
        <w:t>甲方</w:t>
      </w:r>
      <w:r>
        <w:rPr>
          <w:rFonts w:hint="eastAsia" w:ascii="宋体" w:hAnsi="宋体" w:eastAsia="宋体"/>
          <w:snapToGrid w:val="0"/>
          <w:kern w:val="0"/>
          <w:sz w:val="24"/>
          <w:szCs w:val="24"/>
        </w:rPr>
        <w:t>的存储设备中。</w:t>
      </w:r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ascii="宋体" w:hAnsi="宋体" w:eastAsia="宋体"/>
          <w:b/>
          <w:snapToGrid w:val="0"/>
          <w:kern w:val="0"/>
          <w:sz w:val="24"/>
          <w:szCs w:val="24"/>
        </w:rPr>
      </w:pPr>
      <w:r>
        <w:rPr>
          <w:rFonts w:ascii="宋体" w:hAnsi="宋体" w:eastAsia="宋体"/>
          <w:b/>
          <w:snapToGrid w:val="0"/>
          <w:kern w:val="0"/>
          <w:sz w:val="24"/>
          <w:szCs w:val="24"/>
        </w:rPr>
        <w:t>2.</w:t>
      </w:r>
      <w:r>
        <w:rPr>
          <w:rFonts w:hint="eastAsia" w:ascii="宋体" w:hAnsi="宋体" w:eastAsia="宋体"/>
          <w:b/>
          <w:snapToGrid w:val="0"/>
          <w:kern w:val="0"/>
          <w:sz w:val="24"/>
          <w:szCs w:val="24"/>
        </w:rPr>
        <w:t>环境公证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eastAsia="宋体"/>
          <w:snapToGrid w:val="0"/>
          <w:kern w:val="0"/>
          <w:sz w:val="24"/>
          <w:szCs w:val="24"/>
        </w:rPr>
      </w:pPr>
      <w:r>
        <w:rPr>
          <w:rFonts w:hint="eastAsia" w:ascii="宋体" w:hAnsi="宋体" w:eastAsia="宋体"/>
          <w:snapToGrid w:val="0"/>
          <w:kern w:val="0"/>
          <w:sz w:val="24"/>
          <w:szCs w:val="24"/>
        </w:rPr>
        <w:t>正式提供销售数据存证及计奖审核公证服务前，乙方须指派至少</w:t>
      </w:r>
      <w:r>
        <w:rPr>
          <w:rFonts w:ascii="宋体" w:hAnsi="宋体" w:eastAsia="宋体"/>
          <w:snapToGrid w:val="0"/>
          <w:kern w:val="0"/>
          <w:sz w:val="24"/>
          <w:szCs w:val="24"/>
        </w:rPr>
        <w:t>2名具备相关资质的公证人员，对</w:t>
      </w:r>
      <w:r>
        <w:rPr>
          <w:rFonts w:hint="eastAsia" w:ascii="宋体" w:hAnsi="宋体" w:eastAsia="宋体"/>
          <w:snapToGrid w:val="0"/>
          <w:kern w:val="0"/>
          <w:sz w:val="24"/>
          <w:szCs w:val="24"/>
          <w:lang w:eastAsia="zh-CN"/>
        </w:rPr>
        <w:t>北单游戏</w:t>
      </w:r>
      <w:r>
        <w:rPr>
          <w:rFonts w:ascii="宋体" w:hAnsi="宋体" w:eastAsia="宋体"/>
          <w:snapToGrid w:val="0"/>
          <w:kern w:val="0"/>
          <w:sz w:val="24"/>
          <w:szCs w:val="24"/>
        </w:rPr>
        <w:t>的数据封存和计奖审核的环境进行公证，在确保上述环境安全、完整的情况下，公证人员签署</w:t>
      </w:r>
      <w:r>
        <w:rPr>
          <w:rFonts w:hint="eastAsia" w:ascii="宋体" w:hAnsi="宋体" w:eastAsia="宋体"/>
          <w:snapToGrid w:val="0"/>
          <w:kern w:val="0"/>
          <w:sz w:val="24"/>
          <w:szCs w:val="24"/>
          <w:lang w:eastAsia="zh-CN"/>
        </w:rPr>
        <w:t>北单游戏</w:t>
      </w:r>
      <w:r>
        <w:rPr>
          <w:rFonts w:ascii="宋体" w:hAnsi="宋体" w:eastAsia="宋体"/>
          <w:snapToGrid w:val="0"/>
          <w:kern w:val="0"/>
          <w:sz w:val="24"/>
          <w:szCs w:val="24"/>
        </w:rPr>
        <w:t>数据封存系统和计奖审核系统一次性保全证据公证文书，并在环境发生改变时，重新进行环境信息采集。</w:t>
      </w:r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ascii="宋体" w:hAnsi="宋体" w:eastAsia="宋体"/>
          <w:b/>
          <w:snapToGrid w:val="0"/>
          <w:kern w:val="0"/>
          <w:sz w:val="24"/>
          <w:szCs w:val="24"/>
        </w:rPr>
      </w:pPr>
      <w:r>
        <w:rPr>
          <w:rFonts w:ascii="宋体" w:hAnsi="宋体" w:eastAsia="宋体"/>
          <w:b/>
          <w:snapToGrid w:val="0"/>
          <w:kern w:val="0"/>
          <w:sz w:val="24"/>
          <w:szCs w:val="24"/>
        </w:rPr>
        <w:t>3.</w:t>
      </w:r>
      <w:r>
        <w:rPr>
          <w:rFonts w:hint="eastAsia" w:ascii="宋体" w:hAnsi="宋体" w:eastAsia="宋体"/>
          <w:b/>
          <w:snapToGrid w:val="0"/>
          <w:kern w:val="0"/>
          <w:sz w:val="24"/>
          <w:szCs w:val="24"/>
        </w:rPr>
        <w:t>计奖审核公证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/>
          <w:snapToGrid w:val="0"/>
          <w:kern w:val="0"/>
          <w:sz w:val="24"/>
          <w:szCs w:val="24"/>
          <w:lang w:eastAsia="zh-Hans"/>
        </w:rPr>
      </w:pPr>
      <w:r>
        <w:rPr>
          <w:rFonts w:hint="eastAsia" w:ascii="宋体" w:hAnsi="宋体" w:eastAsia="宋体"/>
          <w:snapToGrid w:val="0"/>
          <w:kern w:val="0"/>
          <w:sz w:val="24"/>
          <w:szCs w:val="24"/>
          <w:lang w:eastAsia="zh-Hans"/>
        </w:rPr>
        <w:t>公证员人工服务：按</w:t>
      </w:r>
      <w:r>
        <w:rPr>
          <w:rFonts w:hint="eastAsia" w:ascii="宋体" w:hAnsi="宋体" w:eastAsia="宋体"/>
          <w:snapToGrid w:val="0"/>
          <w:kern w:val="0"/>
          <w:sz w:val="24"/>
          <w:szCs w:val="24"/>
          <w:lang w:val="en-US" w:eastAsia="zh-CN"/>
        </w:rPr>
        <w:t>甲方</w:t>
      </w:r>
      <w:r>
        <w:rPr>
          <w:rFonts w:hint="eastAsia" w:ascii="宋体" w:hAnsi="宋体" w:eastAsia="宋体"/>
          <w:snapToGrid w:val="0"/>
          <w:kern w:val="0"/>
          <w:sz w:val="24"/>
          <w:szCs w:val="24"/>
          <w:lang w:eastAsia="zh-Hans"/>
        </w:rPr>
        <w:t>要求</w:t>
      </w:r>
      <w:r>
        <w:rPr>
          <w:rFonts w:hint="eastAsia" w:ascii="宋体" w:hAnsi="宋体" w:eastAsia="宋体"/>
          <w:snapToGrid w:val="0"/>
          <w:kern w:val="0"/>
          <w:sz w:val="24"/>
          <w:szCs w:val="24"/>
          <w:lang w:val="en-US" w:eastAsia="zh-CN"/>
        </w:rPr>
        <w:t>乙方</w:t>
      </w:r>
      <w:r>
        <w:rPr>
          <w:rFonts w:hint="eastAsia" w:ascii="宋体" w:hAnsi="宋体" w:eastAsia="宋体"/>
          <w:snapToGrid w:val="0"/>
          <w:kern w:val="0"/>
          <w:sz w:val="24"/>
          <w:szCs w:val="24"/>
          <w:lang w:eastAsia="zh-Hans"/>
        </w:rPr>
        <w:t>指派至少2名具有相关资质的公证人员对</w:t>
      </w:r>
      <w:r>
        <w:rPr>
          <w:rFonts w:hint="eastAsia" w:ascii="宋体" w:hAnsi="宋体" w:eastAsia="宋体"/>
          <w:snapToGrid w:val="0"/>
          <w:kern w:val="0"/>
          <w:sz w:val="24"/>
          <w:szCs w:val="24"/>
          <w:lang w:val="en-US" w:eastAsia="zh-CN"/>
        </w:rPr>
        <w:t>甲方</w:t>
      </w:r>
      <w:r>
        <w:rPr>
          <w:rFonts w:hint="eastAsia" w:ascii="宋体" w:hAnsi="宋体" w:eastAsia="宋体"/>
          <w:snapToGrid w:val="0"/>
          <w:kern w:val="0"/>
          <w:sz w:val="24"/>
          <w:szCs w:val="24"/>
          <w:lang w:eastAsia="zh-Hans"/>
        </w:rPr>
        <w:t>从存储设备中提取的历史比赛销售数据进行比对，证明与</w:t>
      </w:r>
      <w:r>
        <w:rPr>
          <w:rFonts w:hint="eastAsia" w:ascii="宋体" w:hAnsi="宋体" w:eastAsia="宋体"/>
          <w:snapToGrid w:val="0"/>
          <w:kern w:val="0"/>
          <w:sz w:val="24"/>
          <w:szCs w:val="24"/>
          <w:lang w:val="en-US" w:eastAsia="zh-CN"/>
        </w:rPr>
        <w:t>乙方</w:t>
      </w:r>
      <w:r>
        <w:rPr>
          <w:rFonts w:hint="eastAsia" w:ascii="宋体" w:hAnsi="宋体" w:eastAsia="宋体"/>
          <w:snapToGrid w:val="0"/>
          <w:kern w:val="0"/>
          <w:sz w:val="24"/>
          <w:szCs w:val="24"/>
          <w:lang w:eastAsia="zh-Hans"/>
        </w:rPr>
        <w:t>出具存证证明的数据一致，并对</w:t>
      </w:r>
      <w:r>
        <w:rPr>
          <w:rFonts w:hint="eastAsia" w:ascii="宋体" w:hAnsi="宋体" w:eastAsia="宋体"/>
          <w:snapToGrid w:val="0"/>
          <w:kern w:val="0"/>
          <w:sz w:val="24"/>
          <w:szCs w:val="24"/>
          <w:lang w:val="en-US" w:eastAsia="zh-CN"/>
        </w:rPr>
        <w:t>甲方</w:t>
      </w:r>
      <w:r>
        <w:rPr>
          <w:rFonts w:hint="eastAsia" w:ascii="宋体" w:hAnsi="宋体" w:eastAsia="宋体"/>
          <w:snapToGrid w:val="0"/>
          <w:kern w:val="0"/>
          <w:sz w:val="24"/>
          <w:szCs w:val="24"/>
          <w:lang w:eastAsia="zh-Hans"/>
        </w:rPr>
        <w:t>计奖审核的过程和结果提供公证服务，出具公证书。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甲方</w:t>
      </w:r>
      <w:r>
        <w:rPr>
          <w:rFonts w:hint="eastAsia" w:ascii="宋体" w:hAnsi="宋体" w:eastAsia="宋体"/>
          <w:sz w:val="24"/>
          <w:szCs w:val="24"/>
        </w:rPr>
        <w:t>定期使用数据审核系统通过读取WORM存储设备上的销售数据，结合正式发布的赛果信息，生成计奖报表，再通过数据审核系统提取该计奖报表与生产报表进行数据核对，完成计奖审核业务，每次计奖审核需包含不少于三个业务日的销售数据，正常情况下每次审核需在一日内完成。</w:t>
      </w:r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4.系统集成及部署实施服务</w:t>
      </w:r>
    </w:p>
    <w:p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提供销售数据存证服务、计奖审核公证服务涉及的整体系统架构设计方案。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C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60" w:after="180" w:line="360" w:lineRule="auto"/>
      <w:outlineLvl w:val="0"/>
    </w:pPr>
    <w:rPr>
      <w:rFonts w:asciiTheme="majorAscii" w:hAnsiTheme="majorAscii" w:eastAsiaTheme="majorEastAsia" w:cstheme="majorBidi"/>
      <w:b/>
      <w:color w:val="000000" w:themeColor="text1"/>
      <w:sz w:val="36"/>
      <w:szCs w:val="48"/>
      <w14:textFill>
        <w14:solidFill>
          <w14:schemeClr w14:val="tx1"/>
        </w14:solidFill>
      </w14:textFill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2026-07-21T07:43:09Z</dcterms:created>
  <dc:creator>L</dc:creator>
  <cp:lastModifiedBy>L</cp:lastModifiedBy>
  <dcterms:modified xsi:type="dcterms:W3CDTF">2026-07-21T07:44:06Z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834B8523439546059D745E771FF8327F</vt:lpwstr>
  </property>
</Properties>
</file>