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9B49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14:paraId="728992FF">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color w:val="auto"/>
          <w:sz w:val="32"/>
          <w:szCs w:val="32"/>
          <w:lang w:val="en-US" w:eastAsia="zh-CN"/>
        </w:rPr>
      </w:pPr>
    </w:p>
    <w:p w14:paraId="520A70C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2026年北京市青少年滑板锦标赛竞赛规程</w:t>
      </w:r>
    </w:p>
    <w:p w14:paraId="10552321">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方正小标宋简体" w:hAnsi="方正小标宋简体" w:eastAsia="方正小标宋简体" w:cs="方正小标宋简体"/>
          <w:color w:val="auto"/>
          <w:sz w:val="44"/>
          <w:szCs w:val="44"/>
          <w:lang w:val="en-US" w:eastAsia="zh-CN"/>
        </w:rPr>
      </w:pPr>
    </w:p>
    <w:p w14:paraId="7619129C">
      <w:pPr>
        <w:keepNext w:val="0"/>
        <w:keepLines w:val="0"/>
        <w:pageBreakBefore w:val="0"/>
        <w:widowControl w:val="0"/>
        <w:kinsoku/>
        <w:wordWrap/>
        <w:overflowPunct/>
        <w:topLinePunct w:val="0"/>
        <w:bidi w:val="0"/>
        <w:adjustRightInd/>
        <w:snapToGrid/>
        <w:spacing w:line="530" w:lineRule="exact"/>
        <w:ind w:firstLine="640" w:firstLineChars="200"/>
        <w:textAlignment w:val="auto"/>
        <w:outlineLvl w:val="0"/>
        <w:rPr>
          <w:rFonts w:ascii="黑体" w:hAnsi="仿宋" w:eastAsia="黑体" w:cs="Times New Roman"/>
          <w:color w:val="000000" w:themeColor="text1"/>
          <w:sz w:val="32"/>
          <w:szCs w:val="32"/>
          <w:highlight w:val="none"/>
          <w14:textFill>
            <w14:solidFill>
              <w14:schemeClr w14:val="tx1"/>
            </w14:solidFill>
          </w14:textFill>
        </w:rPr>
      </w:pPr>
      <w:r>
        <w:rPr>
          <w:rFonts w:hint="eastAsia" w:ascii="黑体" w:hAnsi="仿宋" w:eastAsia="黑体" w:cs="黑体"/>
          <w:color w:val="000000" w:themeColor="text1"/>
          <w:sz w:val="32"/>
          <w:szCs w:val="32"/>
          <w:highlight w:val="none"/>
          <w14:textFill>
            <w14:solidFill>
              <w14:schemeClr w14:val="tx1"/>
            </w14:solidFill>
          </w14:textFill>
        </w:rPr>
        <w:t>一、主办单位</w:t>
      </w:r>
    </w:p>
    <w:p w14:paraId="47B46D37">
      <w:pPr>
        <w:keepNext w:val="0"/>
        <w:keepLines w:val="0"/>
        <w:pageBreakBefore w:val="0"/>
        <w:widowControl w:val="0"/>
        <w:kinsoku/>
        <w:wordWrap/>
        <w:overflowPunct/>
        <w:topLinePunct w:val="0"/>
        <w:bidi w:val="0"/>
        <w:adjustRightInd/>
        <w:snapToGrid/>
        <w:spacing w:line="530" w:lineRule="exact"/>
        <w:ind w:firstLine="640" w:firstLineChars="200"/>
        <w:textAlignment w:val="auto"/>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北京市体育局</w:t>
      </w:r>
    </w:p>
    <w:p w14:paraId="31505182">
      <w:pPr>
        <w:keepNext w:val="0"/>
        <w:keepLines w:val="0"/>
        <w:pageBreakBefore w:val="0"/>
        <w:widowControl w:val="0"/>
        <w:kinsoku/>
        <w:wordWrap/>
        <w:overflowPunct/>
        <w:topLinePunct w:val="0"/>
        <w:bidi w:val="0"/>
        <w:adjustRightInd/>
        <w:snapToGrid/>
        <w:spacing w:line="530" w:lineRule="exact"/>
        <w:ind w:firstLine="640" w:firstLineChars="200"/>
        <w:textAlignment w:val="auto"/>
        <w:rPr>
          <w:rFonts w:ascii="仿宋_GB2312" w:hAnsi="仿宋" w:eastAsia="仿宋_GB2312" w:cs="Times New Roman"/>
          <w:color w:val="000000" w:themeColor="text1"/>
          <w:sz w:val="32"/>
          <w:szCs w:val="32"/>
          <w:highlight w:val="none"/>
          <w14:textFill>
            <w14:solidFill>
              <w14:schemeClr w14:val="tx1"/>
            </w14:solidFill>
          </w14:textFill>
        </w:rPr>
      </w:pPr>
      <w:r>
        <w:rPr>
          <w:rFonts w:hint="eastAsia" w:ascii="仿宋_GB2312" w:hAnsi="仿宋" w:eastAsia="仿宋_GB2312" w:cs="Times New Roman"/>
          <w:color w:val="000000" w:themeColor="text1"/>
          <w:sz w:val="32"/>
          <w:szCs w:val="32"/>
          <w:highlight w:val="none"/>
          <w14:textFill>
            <w14:solidFill>
              <w14:schemeClr w14:val="tx1"/>
            </w14:solidFill>
          </w14:textFill>
        </w:rPr>
        <w:t>北京市教育委员会</w:t>
      </w:r>
    </w:p>
    <w:p w14:paraId="31E93C66">
      <w:pPr>
        <w:keepNext w:val="0"/>
        <w:keepLines w:val="0"/>
        <w:pageBreakBefore w:val="0"/>
        <w:widowControl w:val="0"/>
        <w:kinsoku/>
        <w:wordWrap/>
        <w:overflowPunct/>
        <w:topLinePunct w:val="0"/>
        <w:bidi w:val="0"/>
        <w:adjustRightInd/>
        <w:snapToGrid/>
        <w:spacing w:line="530" w:lineRule="exact"/>
        <w:ind w:firstLine="640" w:firstLineChars="200"/>
        <w:textAlignment w:val="auto"/>
        <w:outlineLvl w:val="0"/>
        <w:rPr>
          <w:rFonts w:ascii="黑体" w:hAnsi="仿宋" w:eastAsia="黑体" w:cs="Times New Roman"/>
          <w:color w:val="000000" w:themeColor="text1"/>
          <w:sz w:val="32"/>
          <w:szCs w:val="32"/>
          <w:highlight w:val="none"/>
          <w14:textFill>
            <w14:solidFill>
              <w14:schemeClr w14:val="tx1"/>
            </w14:solidFill>
          </w14:textFill>
        </w:rPr>
      </w:pPr>
      <w:r>
        <w:rPr>
          <w:rFonts w:hint="eastAsia" w:ascii="黑体" w:hAnsi="仿宋" w:eastAsia="黑体" w:cs="黑体"/>
          <w:color w:val="000000" w:themeColor="text1"/>
          <w:sz w:val="32"/>
          <w:szCs w:val="32"/>
          <w:highlight w:val="none"/>
          <w14:textFill>
            <w14:solidFill>
              <w14:schemeClr w14:val="tx1"/>
            </w14:solidFill>
          </w14:textFill>
        </w:rPr>
        <w:t>二、承办单位</w:t>
      </w:r>
    </w:p>
    <w:p w14:paraId="2CBC7F77">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北京市体育竞赛管理和国际交流中心</w:t>
      </w:r>
    </w:p>
    <w:p w14:paraId="0407666C">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北京市极限运动协会</w:t>
      </w:r>
    </w:p>
    <w:p w14:paraId="4FEA6334">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北京金宁聚体育发展有限公司</w:t>
      </w:r>
    </w:p>
    <w:p w14:paraId="5FCF149C">
      <w:pPr>
        <w:keepNext w:val="0"/>
        <w:keepLines w:val="0"/>
        <w:pageBreakBefore w:val="0"/>
        <w:widowControl w:val="0"/>
        <w:kinsoku/>
        <w:wordWrap/>
        <w:overflowPunct/>
        <w:topLinePunct w:val="0"/>
        <w:bidi w:val="0"/>
        <w:adjustRightInd/>
        <w:snapToGrid/>
        <w:spacing w:line="530" w:lineRule="exact"/>
        <w:ind w:firstLine="640" w:firstLineChars="200"/>
        <w:textAlignment w:val="auto"/>
        <w:rPr>
          <w:rFonts w:ascii="黑体" w:hAnsi="仿宋" w:eastAsia="黑体" w:cs="黑体"/>
          <w:color w:val="000000" w:themeColor="text1"/>
          <w:sz w:val="32"/>
          <w:szCs w:val="32"/>
          <w:highlight w:val="none"/>
          <w14:textFill>
            <w14:solidFill>
              <w14:schemeClr w14:val="tx1"/>
            </w14:solidFill>
          </w14:textFill>
        </w:rPr>
      </w:pPr>
      <w:r>
        <w:rPr>
          <w:rFonts w:hint="eastAsia" w:ascii="黑体" w:hAnsi="仿宋" w:eastAsia="黑体" w:cs="黑体"/>
          <w:color w:val="000000" w:themeColor="text1"/>
          <w:sz w:val="32"/>
          <w:szCs w:val="32"/>
          <w:highlight w:val="none"/>
          <w14:textFill>
            <w14:solidFill>
              <w14:schemeClr w14:val="tx1"/>
            </w14:solidFill>
          </w14:textFill>
        </w:rPr>
        <w:t>三、时间和地点</w:t>
      </w:r>
    </w:p>
    <w:p w14:paraId="024989DD">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2026年</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s="仿宋_GB2312"/>
          <w:color w:val="000000" w:themeColor="text1"/>
          <w:sz w:val="32"/>
          <w:szCs w:val="32"/>
          <w:highlight w:val="none"/>
          <w14:textFill>
            <w14:solidFill>
              <w14:schemeClr w14:val="tx1"/>
            </w14:solidFill>
          </w14:textFill>
        </w:rPr>
        <w:t>月</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30</w:t>
      </w:r>
      <w:r>
        <w:rPr>
          <w:rFonts w:hint="eastAsia" w:ascii="仿宋_GB2312" w:hAnsi="仿宋" w:eastAsia="仿宋_GB2312" w:cs="仿宋_GB2312"/>
          <w:color w:val="000000" w:themeColor="text1"/>
          <w:sz w:val="32"/>
          <w:szCs w:val="32"/>
          <w:highlight w:val="none"/>
          <w14:textFill>
            <w14:solidFill>
              <w14:schemeClr w14:val="tx1"/>
            </w14:solidFill>
          </w14:textFill>
        </w:rPr>
        <w:t>日</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—31日</w:t>
      </w:r>
      <w:r>
        <w:rPr>
          <w:rFonts w:hint="eastAsia" w:ascii="仿宋_GB2312" w:hAnsi="仿宋" w:eastAsia="仿宋_GB2312" w:cs="仿宋_GB2312"/>
          <w:color w:val="000000" w:themeColor="text1"/>
          <w:sz w:val="32"/>
          <w:szCs w:val="32"/>
          <w:highlight w:val="none"/>
          <w14:textFill>
            <w14:solidFill>
              <w14:schemeClr w14:val="tx1"/>
            </w14:solidFill>
          </w14:textFill>
        </w:rPr>
        <w:t>在</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首钢极限公园</w:t>
      </w:r>
    </w:p>
    <w:p w14:paraId="674BB40A">
      <w:pPr>
        <w:keepNext w:val="0"/>
        <w:keepLines w:val="0"/>
        <w:pageBreakBefore w:val="0"/>
        <w:widowControl w:val="0"/>
        <w:kinsoku/>
        <w:wordWrap/>
        <w:overflowPunct/>
        <w:topLinePunct w:val="0"/>
        <w:bidi w:val="0"/>
        <w:adjustRightInd/>
        <w:snapToGrid/>
        <w:spacing w:line="530" w:lineRule="exact"/>
        <w:ind w:firstLine="640" w:firstLineChars="200"/>
        <w:textAlignment w:val="auto"/>
        <w:rPr>
          <w:rFonts w:ascii="黑体" w:hAnsi="仿宋" w:eastAsia="黑体"/>
          <w:color w:val="000000" w:themeColor="text1"/>
          <w:sz w:val="32"/>
          <w:szCs w:val="32"/>
          <w:highlight w:val="none"/>
          <w14:textFill>
            <w14:solidFill>
              <w14:schemeClr w14:val="tx1"/>
            </w14:solidFill>
          </w14:textFill>
        </w:rPr>
      </w:pPr>
      <w:r>
        <w:rPr>
          <w:rFonts w:hint="eastAsia" w:ascii="黑体" w:hAnsi="仿宋" w:eastAsia="黑体" w:cs="黑体"/>
          <w:color w:val="000000" w:themeColor="text1"/>
          <w:sz w:val="32"/>
          <w:szCs w:val="32"/>
          <w:highlight w:val="none"/>
          <w14:textFill>
            <w14:solidFill>
              <w14:schemeClr w14:val="tx1"/>
            </w14:solidFill>
          </w14:textFill>
        </w:rPr>
        <w:t>四、竞赛组别及项目</w:t>
      </w:r>
    </w:p>
    <w:p w14:paraId="5F23BC30">
      <w:pPr>
        <w:keepNext w:val="0"/>
        <w:keepLines w:val="0"/>
        <w:pageBreakBefore w:val="0"/>
        <w:widowControl w:val="0"/>
        <w:kinsoku/>
        <w:wordWrap/>
        <w:overflowPunct/>
        <w:topLinePunct w:val="0"/>
        <w:bidi w:val="0"/>
        <w:adjustRightInd/>
        <w:snapToGrid/>
        <w:spacing w:line="530" w:lineRule="exact"/>
        <w:ind w:firstLine="640" w:firstLineChars="200"/>
        <w:jc w:val="left"/>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（一）竞赛组别</w:t>
      </w:r>
    </w:p>
    <w:p w14:paraId="07473441">
      <w:pPr>
        <w:pStyle w:val="2"/>
        <w:keepNext w:val="0"/>
        <w:keepLines w:val="0"/>
        <w:pageBreakBefore w:val="0"/>
        <w:widowControl w:val="0"/>
        <w:kinsoku/>
        <w:wordWrap/>
        <w:overflowPunct/>
        <w:topLinePunct w:val="0"/>
        <w:autoSpaceDE w:val="0"/>
        <w:autoSpaceDN w:val="0"/>
        <w:bidi w:val="0"/>
        <w:adjustRightInd/>
        <w:snapToGrid/>
        <w:spacing w:line="530" w:lineRule="exact"/>
        <w:ind w:firstLine="540" w:firstLineChars="200"/>
        <w:textAlignment w:val="auto"/>
        <w:rPr>
          <w:rFonts w:hint="eastAsia" w:ascii="仿宋_GB2312" w:hAnsi="仿宋_GB2312" w:eastAsia="仿宋_GB2312" w:cs="仿宋_GB2312"/>
          <w:spacing w:val="-20"/>
          <w:lang w:eastAsia="zh-CN"/>
        </w:rPr>
      </w:pPr>
      <w:r>
        <w:rPr>
          <w:rFonts w:hint="eastAsia" w:ascii="仿宋_GB2312" w:hAnsi="仿宋_GB2312" w:eastAsia="仿宋_GB2312" w:cs="仿宋_GB2312"/>
          <w:spacing w:val="-20"/>
          <w:lang w:eastAsia="zh-CN"/>
        </w:rPr>
        <w:t>甲</w:t>
      </w:r>
      <w:r>
        <w:rPr>
          <w:rFonts w:ascii="仿宋_GB2312" w:hAnsi="仿宋_GB2312" w:eastAsia="仿宋_GB2312" w:cs="仿宋_GB2312"/>
          <w:spacing w:val="-20"/>
          <w:lang w:eastAsia="zh-CN"/>
        </w:rPr>
        <w:t>组（男、女）</w:t>
      </w:r>
      <w:r>
        <w:rPr>
          <w:rFonts w:hint="eastAsia" w:hAnsi="仿宋_GB2312"/>
          <w:spacing w:val="-20"/>
          <w:kern w:val="0"/>
          <w:lang w:eastAsia="zh-CN"/>
        </w:rPr>
        <w:t>：</w:t>
      </w:r>
      <w:r>
        <w:rPr>
          <w:rFonts w:ascii="仿宋_GB2312" w:hAnsi="仿宋_GB2312" w:eastAsia="仿宋_GB2312" w:cs="仿宋_GB2312"/>
          <w:spacing w:val="-20"/>
          <w:lang w:eastAsia="zh-CN"/>
        </w:rPr>
        <w:t>20</w:t>
      </w:r>
      <w:r>
        <w:rPr>
          <w:rFonts w:hint="eastAsia" w:ascii="仿宋_GB2312" w:hAnsi="仿宋_GB2312" w:eastAsia="仿宋_GB2312" w:cs="仿宋_GB2312"/>
          <w:spacing w:val="-20"/>
          <w:lang w:val="en-US" w:eastAsia="zh-CN"/>
        </w:rPr>
        <w:t>08</w:t>
      </w:r>
      <w:r>
        <w:rPr>
          <w:rFonts w:ascii="仿宋_GB2312" w:hAnsi="仿宋_GB2312" w:eastAsia="仿宋_GB2312" w:cs="仿宋_GB2312"/>
          <w:spacing w:val="-20"/>
          <w:lang w:eastAsia="zh-CN"/>
        </w:rPr>
        <w:t>年1月1日至201</w:t>
      </w:r>
      <w:r>
        <w:rPr>
          <w:rFonts w:hint="eastAsia" w:ascii="仿宋_GB2312" w:hAnsi="仿宋_GB2312" w:eastAsia="仿宋_GB2312" w:cs="仿宋_GB2312"/>
          <w:spacing w:val="-20"/>
          <w:lang w:val="en-US" w:eastAsia="zh-CN"/>
        </w:rPr>
        <w:t>3</w:t>
      </w:r>
      <w:r>
        <w:rPr>
          <w:rFonts w:ascii="仿宋_GB2312" w:hAnsi="仿宋_GB2312" w:eastAsia="仿宋_GB2312" w:cs="仿宋_GB2312"/>
          <w:spacing w:val="-20"/>
          <w:lang w:eastAsia="zh-CN"/>
        </w:rPr>
        <w:t>年12月31日出生（1</w:t>
      </w:r>
      <w:r>
        <w:rPr>
          <w:rFonts w:hint="eastAsia" w:ascii="仿宋_GB2312" w:hAnsi="仿宋_GB2312" w:eastAsia="仿宋_GB2312" w:cs="仿宋_GB2312"/>
          <w:spacing w:val="-20"/>
          <w:lang w:val="en-US" w:eastAsia="zh-CN"/>
        </w:rPr>
        <w:t>3</w:t>
      </w:r>
      <w:r>
        <w:rPr>
          <w:rFonts w:ascii="仿宋_GB2312" w:hAnsi="仿宋_GB2312" w:eastAsia="仿宋_GB2312" w:cs="仿宋_GB2312"/>
          <w:spacing w:val="-20"/>
          <w:lang w:eastAsia="zh-CN"/>
        </w:rPr>
        <w:t>至1</w:t>
      </w:r>
      <w:r>
        <w:rPr>
          <w:rFonts w:hint="eastAsia" w:ascii="仿宋_GB2312" w:hAnsi="仿宋_GB2312" w:eastAsia="仿宋_GB2312" w:cs="仿宋_GB2312"/>
          <w:spacing w:val="-20"/>
          <w:lang w:val="en-US" w:eastAsia="zh-CN"/>
        </w:rPr>
        <w:t>8</w:t>
      </w:r>
      <w:r>
        <w:rPr>
          <w:rFonts w:ascii="仿宋_GB2312" w:hAnsi="仿宋_GB2312" w:eastAsia="仿宋_GB2312" w:cs="仿宋_GB2312"/>
          <w:spacing w:val="-20"/>
          <w:lang w:eastAsia="zh-CN"/>
        </w:rPr>
        <w:t>岁）;</w:t>
      </w:r>
    </w:p>
    <w:p w14:paraId="31A4829F">
      <w:pPr>
        <w:pStyle w:val="2"/>
        <w:keepNext w:val="0"/>
        <w:keepLines w:val="0"/>
        <w:pageBreakBefore w:val="0"/>
        <w:widowControl w:val="0"/>
        <w:kinsoku/>
        <w:wordWrap/>
        <w:overflowPunct/>
        <w:topLinePunct w:val="0"/>
        <w:autoSpaceDE w:val="0"/>
        <w:autoSpaceDN w:val="0"/>
        <w:bidi w:val="0"/>
        <w:adjustRightInd/>
        <w:snapToGrid/>
        <w:spacing w:line="530" w:lineRule="exact"/>
        <w:ind w:firstLine="540" w:firstLineChars="200"/>
        <w:textAlignment w:val="auto"/>
        <w:rPr>
          <w:rFonts w:hint="eastAsia" w:ascii="仿宋_GB2312" w:hAnsi="仿宋_GB2312" w:eastAsia="仿宋_GB2312" w:cs="仿宋_GB2312"/>
          <w:spacing w:val="-20"/>
          <w:lang w:eastAsia="zh-CN"/>
        </w:rPr>
      </w:pPr>
      <w:r>
        <w:rPr>
          <w:rFonts w:hint="eastAsia" w:ascii="仿宋_GB2312" w:hAnsi="仿宋_GB2312" w:eastAsia="仿宋_GB2312" w:cs="仿宋_GB2312"/>
          <w:spacing w:val="-20"/>
          <w:lang w:eastAsia="zh-CN"/>
        </w:rPr>
        <w:t>乙</w:t>
      </w:r>
      <w:r>
        <w:rPr>
          <w:rFonts w:ascii="仿宋_GB2312" w:hAnsi="仿宋_GB2312" w:eastAsia="仿宋_GB2312" w:cs="仿宋_GB2312"/>
          <w:spacing w:val="-20"/>
          <w:lang w:eastAsia="zh-CN"/>
        </w:rPr>
        <w:t>组（男、女）</w:t>
      </w:r>
      <w:r>
        <w:rPr>
          <w:rFonts w:hint="eastAsia" w:hAnsi="仿宋_GB2312"/>
          <w:spacing w:val="-20"/>
          <w:kern w:val="0"/>
          <w:lang w:eastAsia="zh-CN"/>
        </w:rPr>
        <w:t>：</w:t>
      </w:r>
      <w:r>
        <w:rPr>
          <w:rFonts w:ascii="仿宋_GB2312" w:hAnsi="仿宋_GB2312" w:eastAsia="仿宋_GB2312" w:cs="仿宋_GB2312"/>
          <w:spacing w:val="-20"/>
          <w:lang w:eastAsia="zh-CN"/>
        </w:rPr>
        <w:t>201</w:t>
      </w:r>
      <w:r>
        <w:rPr>
          <w:rFonts w:hint="eastAsia" w:ascii="仿宋_GB2312" w:hAnsi="仿宋_GB2312" w:eastAsia="仿宋_GB2312" w:cs="仿宋_GB2312"/>
          <w:spacing w:val="-20"/>
          <w:lang w:val="en-US" w:eastAsia="zh-CN"/>
        </w:rPr>
        <w:t>4</w:t>
      </w:r>
      <w:r>
        <w:rPr>
          <w:rFonts w:ascii="仿宋_GB2312" w:hAnsi="仿宋_GB2312" w:eastAsia="仿宋_GB2312" w:cs="仿宋_GB2312"/>
          <w:spacing w:val="-20"/>
          <w:lang w:eastAsia="zh-CN"/>
        </w:rPr>
        <w:t>年1月1日至20</w:t>
      </w:r>
      <w:r>
        <w:rPr>
          <w:rFonts w:hint="eastAsia" w:ascii="仿宋_GB2312" w:hAnsi="仿宋_GB2312" w:eastAsia="仿宋_GB2312" w:cs="仿宋_GB2312"/>
          <w:spacing w:val="-20"/>
          <w:lang w:val="en-US" w:eastAsia="zh-CN"/>
        </w:rPr>
        <w:t>20</w:t>
      </w:r>
      <w:r>
        <w:rPr>
          <w:rFonts w:ascii="仿宋_GB2312" w:hAnsi="仿宋_GB2312" w:eastAsia="仿宋_GB2312" w:cs="仿宋_GB2312"/>
          <w:spacing w:val="-20"/>
          <w:lang w:eastAsia="zh-CN"/>
        </w:rPr>
        <w:t>年12月31日出生（</w:t>
      </w:r>
      <w:r>
        <w:rPr>
          <w:rFonts w:hint="eastAsia" w:ascii="仿宋_GB2312" w:hAnsi="仿宋_GB2312" w:eastAsia="仿宋_GB2312" w:cs="仿宋_GB2312"/>
          <w:spacing w:val="-20"/>
          <w:lang w:val="en-US" w:eastAsia="zh-CN"/>
        </w:rPr>
        <w:t>6</w:t>
      </w:r>
      <w:r>
        <w:rPr>
          <w:rFonts w:hint="eastAsia" w:ascii="仿宋_GB2312" w:hAnsi="仿宋_GB2312" w:eastAsia="仿宋_GB2312" w:cs="仿宋_GB2312"/>
          <w:spacing w:val="-20"/>
          <w:lang w:eastAsia="zh-CN"/>
        </w:rPr>
        <w:t>至1</w:t>
      </w:r>
      <w:r>
        <w:rPr>
          <w:rFonts w:hint="eastAsia" w:ascii="仿宋_GB2312" w:hAnsi="仿宋_GB2312" w:eastAsia="仿宋_GB2312" w:cs="仿宋_GB2312"/>
          <w:spacing w:val="-20"/>
          <w:lang w:val="en-US" w:eastAsia="zh-CN"/>
        </w:rPr>
        <w:t>2</w:t>
      </w:r>
      <w:r>
        <w:rPr>
          <w:rFonts w:ascii="仿宋_GB2312" w:hAnsi="仿宋_GB2312" w:eastAsia="仿宋_GB2312" w:cs="仿宋_GB2312"/>
          <w:spacing w:val="-20"/>
          <w:lang w:eastAsia="zh-CN"/>
        </w:rPr>
        <w:t>岁）</w:t>
      </w:r>
      <w:r>
        <w:rPr>
          <w:rFonts w:hint="eastAsia" w:ascii="仿宋_GB2312" w:hAnsi="仿宋_GB2312" w:eastAsia="仿宋_GB2312" w:cs="仿宋_GB2312"/>
          <w:spacing w:val="-20"/>
          <w:lang w:eastAsia="zh-CN"/>
        </w:rPr>
        <w:t>。</w:t>
      </w:r>
    </w:p>
    <w:p w14:paraId="08E35EE8">
      <w:pPr>
        <w:keepNext w:val="0"/>
        <w:keepLines w:val="0"/>
        <w:pageBreakBefore w:val="0"/>
        <w:widowControl w:val="0"/>
        <w:kinsoku/>
        <w:wordWrap/>
        <w:overflowPunct/>
        <w:topLinePunct w:val="0"/>
        <w:bidi w:val="0"/>
        <w:adjustRightInd/>
        <w:snapToGrid/>
        <w:spacing w:line="53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（二）竞赛项目</w:t>
      </w:r>
    </w:p>
    <w:p w14:paraId="79052C2B">
      <w:pPr>
        <w:keepNext w:val="0"/>
        <w:keepLines w:val="0"/>
        <w:pageBreakBefore w:val="0"/>
        <w:widowControl w:val="0"/>
        <w:kinsoku/>
        <w:wordWrap/>
        <w:overflowPunct/>
        <w:topLinePunct w:val="0"/>
        <w:bidi w:val="0"/>
        <w:adjustRightInd/>
        <w:snapToGrid/>
        <w:spacing w:line="530" w:lineRule="exact"/>
        <w:ind w:firstLine="560" w:firstLineChars="200"/>
        <w:textAlignment w:val="auto"/>
        <w:rPr>
          <w:rFonts w:ascii="仿宋_GB2312" w:hAnsi="仿宋" w:eastAsia="仿宋_GB2312" w:cs="仿宋_GB2312"/>
          <w:color w:val="000000" w:themeColor="text1"/>
          <w:spacing w:val="-20"/>
          <w:sz w:val="32"/>
          <w:szCs w:val="32"/>
          <w:highlight w:val="none"/>
          <w14:textFill>
            <w14:solidFill>
              <w14:schemeClr w14:val="tx1"/>
            </w14:solidFill>
          </w14:textFill>
        </w:rPr>
      </w:pPr>
      <w:r>
        <w:rPr>
          <w:rFonts w:hint="eastAsia" w:ascii="仿宋_GB2312" w:hAnsi="仿宋" w:eastAsia="仿宋_GB2312" w:cs="仿宋_GB2312"/>
          <w:color w:val="000000" w:themeColor="text1"/>
          <w:spacing w:val="-20"/>
          <w:sz w:val="32"/>
          <w:szCs w:val="32"/>
          <w:highlight w:val="none"/>
          <w14:textFill>
            <w14:solidFill>
              <w14:schemeClr w14:val="tx1"/>
            </w14:solidFill>
          </w14:textFill>
        </w:rPr>
        <w:t xml:space="preserve"> </w:t>
      </w:r>
      <w:r>
        <w:rPr>
          <w:rFonts w:hint="eastAsia" w:ascii="仿宋_GB2312" w:hAnsi="仿宋" w:eastAsia="仿宋_GB2312" w:cs="仿宋_GB2312"/>
          <w:color w:val="000000" w:themeColor="text1"/>
          <w:sz w:val="32"/>
          <w:szCs w:val="32"/>
          <w:highlight w:val="none"/>
          <w14:textFill>
            <w14:solidFill>
              <w14:schemeClr w14:val="tx1"/>
            </w14:solidFill>
          </w14:textFill>
        </w:rPr>
        <w:t>男子街式、男子碗池、女子街式、女子碗池</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_GB2312"/>
          <w:color w:val="000000" w:themeColor="text1"/>
          <w:spacing w:val="-20"/>
          <w:sz w:val="32"/>
          <w:szCs w:val="32"/>
          <w:highlight w:val="none"/>
          <w14:textFill>
            <w14:solidFill>
              <w14:schemeClr w14:val="tx1"/>
            </w14:solidFill>
          </w14:textFill>
        </w:rPr>
        <w:t xml:space="preserve">               </w:t>
      </w:r>
    </w:p>
    <w:p w14:paraId="0A6F86A9">
      <w:pPr>
        <w:keepNext w:val="0"/>
        <w:keepLines w:val="0"/>
        <w:pageBreakBefore w:val="0"/>
        <w:widowControl w:val="0"/>
        <w:kinsoku/>
        <w:wordWrap/>
        <w:overflowPunct/>
        <w:topLinePunct w:val="0"/>
        <w:bidi w:val="0"/>
        <w:adjustRightInd/>
        <w:snapToGrid/>
        <w:spacing w:line="530" w:lineRule="exact"/>
        <w:ind w:firstLine="640" w:firstLineChars="200"/>
        <w:textAlignment w:val="auto"/>
        <w:rPr>
          <w:rFonts w:ascii="黑体" w:hAnsi="Times New Roman" w:eastAsia="黑体" w:cs="仿宋_GB2312"/>
          <w:color w:val="000000" w:themeColor="text1"/>
          <w:sz w:val="32"/>
          <w:szCs w:val="32"/>
          <w:highlight w:val="none"/>
          <w14:textFill>
            <w14:solidFill>
              <w14:schemeClr w14:val="tx1"/>
            </w14:solidFill>
          </w14:textFill>
        </w:rPr>
      </w:pPr>
      <w:r>
        <w:rPr>
          <w:rFonts w:hint="eastAsia" w:ascii="黑体" w:hAnsi="Times New Roman" w:eastAsia="黑体" w:cs="仿宋_GB2312"/>
          <w:color w:val="000000" w:themeColor="text1"/>
          <w:sz w:val="32"/>
          <w:szCs w:val="32"/>
          <w:highlight w:val="none"/>
          <w14:textFill>
            <w14:solidFill>
              <w14:schemeClr w14:val="tx1"/>
            </w14:solidFill>
          </w14:textFill>
        </w:rPr>
        <w:t>五、运动员资格</w:t>
      </w:r>
    </w:p>
    <w:p w14:paraId="1E5191CB">
      <w:pPr>
        <w:keepNext w:val="0"/>
        <w:keepLines w:val="0"/>
        <w:pageBreakBefore w:val="0"/>
        <w:widowControl w:val="0"/>
        <w:kinsoku/>
        <w:wordWrap/>
        <w:overflowPunct/>
        <w:topLinePunct w:val="0"/>
        <w:bidi w:val="0"/>
        <w:adjustRightInd/>
        <w:snapToGrid/>
        <w:spacing w:line="530" w:lineRule="exact"/>
        <w:ind w:firstLine="640" w:firstLineChars="200"/>
        <w:textAlignment w:val="auto"/>
        <w:rPr>
          <w:rFonts w:hint="eastAsia" w:ascii="仿宋_GB2312" w:hAnsi="仿宋" w:eastAsia="仿宋_GB2312"/>
          <w:sz w:val="32"/>
          <w:szCs w:val="32"/>
          <w:highlight w:val="none"/>
        </w:rPr>
      </w:pPr>
      <w:r>
        <w:rPr>
          <w:rFonts w:hint="eastAsia" w:ascii="仿宋_GB2312" w:hAnsi="仿宋_GB2312" w:eastAsia="仿宋_GB2312" w:cs="仿宋_GB2312"/>
          <w:sz w:val="32"/>
          <w:szCs w:val="32"/>
          <w:highlight w:val="none"/>
        </w:rPr>
        <w:t>符合北京市体育局《北京市青少年运动员注册管理办法（试行）》（京体青字〔2025〕2号）的有关规定，并完成2026年度注册。</w:t>
      </w:r>
    </w:p>
    <w:p w14:paraId="3D03E7F5">
      <w:pPr>
        <w:keepNext w:val="0"/>
        <w:keepLines w:val="0"/>
        <w:pageBreakBefore w:val="0"/>
        <w:widowControl w:val="0"/>
        <w:kinsoku/>
        <w:wordWrap/>
        <w:overflowPunct/>
        <w:topLinePunct w:val="0"/>
        <w:bidi w:val="0"/>
        <w:adjustRightInd/>
        <w:snapToGrid/>
        <w:spacing w:line="530" w:lineRule="exact"/>
        <w:ind w:firstLine="640" w:firstLineChars="200"/>
        <w:textAlignment w:val="auto"/>
        <w:rPr>
          <w:rFonts w:ascii="黑体" w:hAnsi="仿宋" w:eastAsia="黑体"/>
          <w:color w:val="000000" w:themeColor="text1"/>
          <w:sz w:val="32"/>
          <w:szCs w:val="32"/>
          <w:highlight w:val="none"/>
          <w14:textFill>
            <w14:solidFill>
              <w14:schemeClr w14:val="tx1"/>
            </w14:solidFill>
          </w14:textFill>
        </w:rPr>
      </w:pPr>
      <w:r>
        <w:rPr>
          <w:rFonts w:hint="eastAsia" w:ascii="黑体" w:hAnsi="仿宋" w:eastAsia="黑体" w:cs="黑体"/>
          <w:color w:val="000000" w:themeColor="text1"/>
          <w:sz w:val="32"/>
          <w:szCs w:val="32"/>
          <w:highlight w:val="none"/>
          <w14:textFill>
            <w14:solidFill>
              <w14:schemeClr w14:val="tx1"/>
            </w14:solidFill>
          </w14:textFill>
        </w:rPr>
        <w:t>六、参加办法</w:t>
      </w:r>
    </w:p>
    <w:p w14:paraId="5E57A2AC">
      <w:pPr>
        <w:pStyle w:val="2"/>
        <w:keepNext w:val="0"/>
        <w:keepLines w:val="0"/>
        <w:pageBreakBefore w:val="0"/>
        <w:widowControl w:val="0"/>
        <w:kinsoku/>
        <w:wordWrap/>
        <w:overflowPunct/>
        <w:topLinePunct w:val="0"/>
        <w:bidi w:val="0"/>
        <w:adjustRightInd/>
        <w:snapToGrid/>
        <w:spacing w:line="530" w:lineRule="exact"/>
        <w:ind w:firstLine="640" w:firstLineChars="200"/>
        <w:textAlignment w:val="auto"/>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（一）以区为单位组队参加。</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参赛运动员需经区体育局选拔，择优报名参赛。</w:t>
      </w:r>
    </w:p>
    <w:p w14:paraId="1E9B7498">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（二）</w:t>
      </w:r>
      <w:r>
        <w:rPr>
          <w:rFonts w:ascii="仿宋_GB2312" w:hAnsi="仿宋" w:eastAsia="仿宋_GB2312"/>
          <w:color w:val="000000" w:themeColor="text1"/>
          <w:sz w:val="32"/>
          <w:szCs w:val="32"/>
          <w:highlight w:val="none"/>
          <w14:textFill>
            <w14:solidFill>
              <w14:schemeClr w14:val="tx1"/>
            </w14:solidFill>
          </w14:textFill>
        </w:rPr>
        <w:t>以</w:t>
      </w:r>
      <w:r>
        <w:rPr>
          <w:rFonts w:hint="eastAsia" w:ascii="仿宋_GB2312" w:hAnsi="仿宋" w:eastAsia="仿宋_GB2312"/>
          <w:color w:val="000000" w:themeColor="text1"/>
          <w:sz w:val="32"/>
          <w:szCs w:val="32"/>
          <w:highlight w:val="none"/>
          <w:lang w:eastAsia="zh-CN"/>
          <w14:textFill>
            <w14:solidFill>
              <w14:schemeClr w14:val="tx1"/>
            </w14:solidFill>
          </w14:textFill>
        </w:rPr>
        <w:t>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6</w:t>
      </w:r>
      <w:r>
        <w:rPr>
          <w:rFonts w:hint="eastAsia" w:ascii="仿宋_GB2312" w:hAnsi="仿宋" w:eastAsia="仿宋_GB2312"/>
          <w:color w:val="000000" w:themeColor="text1"/>
          <w:sz w:val="32"/>
          <w:szCs w:val="32"/>
          <w:highlight w:val="none"/>
          <w:lang w:eastAsia="zh-CN"/>
          <w14:textFill>
            <w14:solidFill>
              <w14:schemeClr w14:val="tx1"/>
            </w14:solidFill>
          </w14:textFill>
        </w:rPr>
        <w:t>年</w:t>
      </w:r>
      <w:r>
        <w:rPr>
          <w:rFonts w:ascii="仿宋_GB2312" w:hAnsi="仿宋" w:eastAsia="仿宋_GB2312"/>
          <w:color w:val="000000" w:themeColor="text1"/>
          <w:sz w:val="32"/>
          <w:szCs w:val="32"/>
          <w:highlight w:val="none"/>
          <w14:textFill>
            <w14:solidFill>
              <w14:schemeClr w14:val="tx1"/>
            </w14:solidFill>
          </w14:textFill>
        </w:rPr>
        <w:t>度青少年运动员注册为依据，运动员只能代表</w:t>
      </w:r>
      <w:r>
        <w:rPr>
          <w:rFonts w:hint="eastAsia" w:ascii="仿宋_GB2312" w:hAnsi="仿宋" w:eastAsia="仿宋_GB2312"/>
          <w:color w:val="000000" w:themeColor="text1"/>
          <w:sz w:val="32"/>
          <w:szCs w:val="32"/>
          <w:highlight w:val="none"/>
          <w:lang w:eastAsia="zh-CN"/>
          <w14:textFill>
            <w14:solidFill>
              <w14:schemeClr w14:val="tx1"/>
            </w14:solidFill>
          </w14:textFill>
        </w:rPr>
        <w:t>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6</w:t>
      </w:r>
      <w:r>
        <w:rPr>
          <w:rFonts w:hint="eastAsia" w:ascii="仿宋_GB2312" w:hAnsi="仿宋" w:eastAsia="仿宋_GB2312"/>
          <w:color w:val="000000" w:themeColor="text1"/>
          <w:sz w:val="32"/>
          <w:szCs w:val="32"/>
          <w:highlight w:val="none"/>
          <w:lang w:eastAsia="zh-CN"/>
          <w14:textFill>
            <w14:solidFill>
              <w14:schemeClr w14:val="tx1"/>
            </w14:solidFill>
          </w14:textFill>
        </w:rPr>
        <w:t>年</w:t>
      </w:r>
      <w:r>
        <w:rPr>
          <w:rFonts w:ascii="仿宋_GB2312" w:hAnsi="仿宋" w:eastAsia="仿宋_GB2312"/>
          <w:color w:val="000000" w:themeColor="text1"/>
          <w:sz w:val="32"/>
          <w:szCs w:val="32"/>
          <w:highlight w:val="none"/>
          <w14:textFill>
            <w14:solidFill>
              <w14:schemeClr w14:val="tx1"/>
            </w14:solidFill>
          </w14:textFill>
        </w:rPr>
        <w:t>度注册单位参加比赛。</w:t>
      </w:r>
    </w:p>
    <w:p w14:paraId="3A204E8E">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（三）经二级</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含</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_GB2312"/>
          <w:color w:val="000000" w:themeColor="text1"/>
          <w:sz w:val="32"/>
          <w:szCs w:val="32"/>
          <w:highlight w:val="none"/>
          <w14:textFill>
            <w14:solidFill>
              <w14:schemeClr w14:val="tx1"/>
            </w14:solidFill>
          </w14:textFill>
        </w:rPr>
        <w:t>以上医院检查证明身体健康。</w:t>
      </w:r>
    </w:p>
    <w:p w14:paraId="3BCCFE03">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 w:eastAsia="仿宋_GB2312" w:cs="黑体"/>
          <w:color w:val="000000" w:themeColor="text1"/>
          <w:sz w:val="32"/>
          <w:szCs w:val="32"/>
          <w:highlight w:val="none"/>
          <w:lang w:eastAsia="zh-CN"/>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（四）各单位可报领队</w:t>
      </w:r>
      <w:r>
        <w:rPr>
          <w:rFonts w:ascii="仿宋_GB2312" w:hAnsi="仿宋" w:eastAsia="仿宋_GB2312" w:cs="仿宋_GB2312"/>
          <w:color w:val="000000" w:themeColor="text1"/>
          <w:sz w:val="32"/>
          <w:szCs w:val="32"/>
          <w:highlight w:val="none"/>
          <w14:textFill>
            <w14:solidFill>
              <w14:schemeClr w14:val="tx1"/>
            </w14:solidFill>
          </w14:textFill>
        </w:rPr>
        <w:t>1</w:t>
      </w:r>
      <w:r>
        <w:rPr>
          <w:rFonts w:hint="eastAsia" w:ascii="仿宋_GB2312" w:hAnsi="仿宋" w:eastAsia="仿宋_GB2312" w:cs="仿宋_GB2312"/>
          <w:color w:val="000000" w:themeColor="text1"/>
          <w:sz w:val="32"/>
          <w:szCs w:val="32"/>
          <w:highlight w:val="none"/>
          <w14:textFill>
            <w14:solidFill>
              <w14:schemeClr w14:val="tx1"/>
            </w14:solidFill>
          </w14:textFill>
        </w:rPr>
        <w:t>人，</w:t>
      </w:r>
      <w:r>
        <w:rPr>
          <w:rFonts w:hint="eastAsia" w:hAnsi="仿宋" w:cs="仿宋_GB2312"/>
          <w:color w:val="000000" w:themeColor="text1"/>
          <w:sz w:val="32"/>
          <w:szCs w:val="32"/>
          <w:highlight w:val="none"/>
          <w:lang w:val="en-US" w:eastAsia="zh-CN"/>
          <w14:textFill>
            <w14:solidFill>
              <w14:schemeClr w14:val="tx1"/>
            </w14:solidFill>
          </w14:textFill>
        </w:rPr>
        <w:t>/</w:t>
      </w:r>
      <w:r>
        <w:rPr>
          <w:rFonts w:hint="eastAsia" w:ascii="仿宋_GB2312" w:hAnsi="仿宋" w:eastAsia="仿宋_GB2312" w:cs="仿宋_GB2312"/>
          <w:color w:val="000000" w:themeColor="text1"/>
          <w:sz w:val="32"/>
          <w:szCs w:val="32"/>
          <w:highlight w:val="none"/>
          <w14:textFill>
            <w14:solidFill>
              <w14:schemeClr w14:val="tx1"/>
            </w14:solidFill>
          </w14:textFill>
        </w:rPr>
        <w:t>教练员</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cs="仿宋_GB2312"/>
          <w:color w:val="000000" w:themeColor="text1"/>
          <w:sz w:val="32"/>
          <w:szCs w:val="32"/>
          <w:highlight w:val="none"/>
          <w14:textFill>
            <w14:solidFill>
              <w14:schemeClr w14:val="tx1"/>
            </w14:solidFill>
          </w14:textFill>
        </w:rPr>
        <w:t>-3人</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同1名</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领队、</w:t>
      </w:r>
      <w:r>
        <w:rPr>
          <w:rFonts w:hint="eastAsia" w:ascii="仿宋_GB2312" w:hAnsi="仿宋" w:eastAsia="仿宋_GB2312" w:cs="仿宋_GB2312"/>
          <w:color w:val="000000" w:themeColor="text1"/>
          <w:sz w:val="32"/>
          <w:szCs w:val="32"/>
          <w:highlight w:val="none"/>
          <w14:textFill>
            <w14:solidFill>
              <w14:schemeClr w14:val="tx1"/>
            </w14:solidFill>
          </w14:textFill>
        </w:rPr>
        <w:t>教练</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员</w:t>
      </w:r>
      <w:r>
        <w:rPr>
          <w:rFonts w:hint="eastAsia" w:ascii="仿宋_GB2312" w:hAnsi="仿宋" w:eastAsia="仿宋_GB2312" w:cs="仿宋_GB2312"/>
          <w:color w:val="000000" w:themeColor="text1"/>
          <w:sz w:val="32"/>
          <w:szCs w:val="32"/>
          <w:highlight w:val="none"/>
          <w14:textFill>
            <w14:solidFill>
              <w14:schemeClr w14:val="tx1"/>
            </w14:solidFill>
          </w14:textFill>
        </w:rPr>
        <w:t>只能代表1个参赛单位</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进行报名</w:t>
      </w:r>
      <w:r>
        <w:rPr>
          <w:rFonts w:hint="eastAsia" w:ascii="仿宋_GB2312" w:hAnsi="仿宋" w:eastAsia="仿宋_GB2312" w:cs="仿宋_GB2312"/>
          <w:color w:val="000000" w:themeColor="text1"/>
          <w:sz w:val="32"/>
          <w:szCs w:val="32"/>
          <w:highlight w:val="none"/>
          <w14:textFill>
            <w14:solidFill>
              <w14:schemeClr w14:val="tx1"/>
            </w14:solidFill>
          </w14:textFill>
        </w:rPr>
        <w:t>。街式项目</w:t>
      </w:r>
      <w:r>
        <w:rPr>
          <w:rFonts w:hint="eastAsia" w:ascii="仿宋_GB2312" w:hAnsi="仿宋" w:eastAsia="仿宋_GB2312" w:cs="黑体"/>
          <w:color w:val="000000" w:themeColor="text1"/>
          <w:sz w:val="32"/>
          <w:szCs w:val="32"/>
          <w:highlight w:val="none"/>
          <w14:textFill>
            <w14:solidFill>
              <w14:schemeClr w14:val="tx1"/>
            </w14:solidFill>
          </w14:textFill>
        </w:rPr>
        <w:t>每单位各组别限报男子运动员、女子运动员各</w:t>
      </w:r>
      <w:r>
        <w:rPr>
          <w:rFonts w:hint="eastAsia" w:ascii="仿宋_GB2312" w:hAnsi="仿宋" w:eastAsia="仿宋_GB2312" w:cs="黑体"/>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s="黑体"/>
          <w:color w:val="000000" w:themeColor="text1"/>
          <w:sz w:val="32"/>
          <w:szCs w:val="32"/>
          <w:highlight w:val="none"/>
          <w14:textFill>
            <w14:solidFill>
              <w14:schemeClr w14:val="tx1"/>
            </w14:solidFill>
          </w14:textFill>
        </w:rPr>
        <w:t>人，</w:t>
      </w:r>
      <w:r>
        <w:rPr>
          <w:rFonts w:hint="eastAsia" w:ascii="仿宋_GB2312" w:hAnsi="仿宋" w:eastAsia="仿宋_GB2312" w:cs="仿宋_GB2312"/>
          <w:color w:val="000000" w:themeColor="text1"/>
          <w:sz w:val="32"/>
          <w:szCs w:val="32"/>
          <w:highlight w:val="none"/>
          <w14:textFill>
            <w14:solidFill>
              <w14:schemeClr w14:val="tx1"/>
            </w14:solidFill>
          </w14:textFill>
        </w:rPr>
        <w:t>碗池项目</w:t>
      </w:r>
      <w:r>
        <w:rPr>
          <w:rFonts w:hint="eastAsia" w:ascii="仿宋_GB2312" w:hAnsi="仿宋" w:eastAsia="仿宋_GB2312" w:cs="黑体"/>
          <w:color w:val="000000" w:themeColor="text1"/>
          <w:sz w:val="32"/>
          <w:szCs w:val="32"/>
          <w:highlight w:val="none"/>
          <w14:textFill>
            <w14:solidFill>
              <w14:schemeClr w14:val="tx1"/>
            </w14:solidFill>
          </w14:textFill>
        </w:rPr>
        <w:t>每单位各组别限报男子运动员、女子运动员各</w:t>
      </w:r>
      <w:r>
        <w:rPr>
          <w:rFonts w:hint="eastAsia" w:ascii="仿宋_GB2312" w:hAnsi="仿宋" w:eastAsia="仿宋_GB2312" w:cs="黑体"/>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s="黑体"/>
          <w:color w:val="000000" w:themeColor="text1"/>
          <w:sz w:val="32"/>
          <w:szCs w:val="32"/>
          <w:highlight w:val="none"/>
          <w14:textFill>
            <w14:solidFill>
              <w14:schemeClr w14:val="tx1"/>
            </w14:solidFill>
          </w14:textFill>
        </w:rPr>
        <w:t>人</w:t>
      </w:r>
      <w:r>
        <w:rPr>
          <w:rFonts w:hint="eastAsia" w:hAnsi="仿宋" w:cs="黑体"/>
          <w:color w:val="000000" w:themeColor="text1"/>
          <w:sz w:val="32"/>
          <w:szCs w:val="32"/>
          <w:highlight w:val="none"/>
          <w:lang w:eastAsia="zh-CN"/>
          <w14:textFill>
            <w14:solidFill>
              <w14:schemeClr w14:val="tx1"/>
            </w14:solidFill>
          </w14:textFill>
        </w:rPr>
        <w:t>。</w:t>
      </w:r>
    </w:p>
    <w:p w14:paraId="41E3FE75">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default" w:ascii="仿宋_GB2312" w:hAnsi="仿宋"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五</w:t>
      </w:r>
      <w:r>
        <w:rPr>
          <w:rFonts w:hint="eastAsia" w:ascii="仿宋_GB2312" w:hAnsi="仿宋" w:eastAsia="仿宋_GB2312" w:cs="仿宋_GB2312"/>
          <w:color w:val="000000" w:themeColor="text1"/>
          <w:sz w:val="32"/>
          <w:szCs w:val="32"/>
          <w:highlight w:val="none"/>
          <w14:textFill>
            <w14:solidFill>
              <w14:schemeClr w14:val="tx1"/>
            </w14:solidFill>
          </w14:textFill>
        </w:rPr>
        <w:t>）</w:t>
      </w:r>
      <w:r>
        <w:rPr>
          <w:rFonts w:hint="eastAsia" w:ascii="仿宋_GB2312" w:hAnsi="仿宋" w:eastAsia="仿宋_GB2312" w:cs="仿宋_GB2312"/>
          <w:sz w:val="32"/>
          <w:szCs w:val="32"/>
        </w:rPr>
        <w:t>比赛时运动员须持本人注册时所提交的有效身份证件原件参赛。</w:t>
      </w:r>
    </w:p>
    <w:p w14:paraId="41A35AE4">
      <w:pPr>
        <w:keepNext w:val="0"/>
        <w:keepLines w:val="0"/>
        <w:pageBreakBefore w:val="0"/>
        <w:widowControl w:val="0"/>
        <w:kinsoku/>
        <w:wordWrap/>
        <w:overflowPunct/>
        <w:topLinePunct w:val="0"/>
        <w:bidi w:val="0"/>
        <w:adjustRightInd/>
        <w:snapToGrid/>
        <w:spacing w:line="530" w:lineRule="exact"/>
        <w:ind w:firstLine="640" w:firstLineChars="200"/>
        <w:textAlignment w:val="auto"/>
        <w:rPr>
          <w:rFonts w:ascii="黑体" w:hAnsi="仿宋" w:eastAsia="黑体"/>
          <w:color w:val="000000" w:themeColor="text1"/>
          <w:sz w:val="32"/>
          <w:szCs w:val="32"/>
          <w:highlight w:val="none"/>
          <w14:textFill>
            <w14:solidFill>
              <w14:schemeClr w14:val="tx1"/>
            </w14:solidFill>
          </w14:textFill>
        </w:rPr>
      </w:pPr>
      <w:r>
        <w:rPr>
          <w:rFonts w:hint="eastAsia" w:ascii="黑体" w:hAnsi="仿宋" w:eastAsia="黑体" w:cs="黑体"/>
          <w:color w:val="000000" w:themeColor="text1"/>
          <w:sz w:val="32"/>
          <w:szCs w:val="32"/>
          <w:highlight w:val="none"/>
          <w14:textFill>
            <w14:solidFill>
              <w14:schemeClr w14:val="tx1"/>
            </w14:solidFill>
          </w14:textFill>
        </w:rPr>
        <w:t>七、竞赛办法</w:t>
      </w:r>
    </w:p>
    <w:p w14:paraId="01868911">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default" w:ascii="仿宋_GB2312" w:hAnsi="仿宋"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（一）执行中国轮滑协会最新</w:t>
      </w:r>
      <w:r>
        <w:rPr>
          <w:rFonts w:hint="eastAsia" w:hAnsi="仿宋" w:cs="仿宋_GB2312"/>
          <w:color w:val="000000" w:themeColor="text1"/>
          <w:sz w:val="32"/>
          <w:szCs w:val="32"/>
          <w:highlight w:val="none"/>
          <w:lang w:val="en-US" w:eastAsia="zh-CN"/>
          <w14:textFill>
            <w14:solidFill>
              <w14:schemeClr w14:val="tx1"/>
            </w14:solidFill>
          </w14:textFill>
        </w:rPr>
        <w:t>审定</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的滑板竞赛规则。</w:t>
      </w:r>
    </w:p>
    <w:p w14:paraId="1D595110">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评分标准如下：</w:t>
      </w:r>
    </w:p>
    <w:p w14:paraId="34CEF9A6">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1.完成动作的难度和多样性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49CD8B8B">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2.完成动作的质量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0AB6E7FA">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3.场地和单一道具的使用率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0BFBBD2A">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4.流畅度和稳定性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33B6FC26">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5.重复动作。</w:t>
      </w:r>
    </w:p>
    <w:p w14:paraId="11388D6E">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）街式赛</w:t>
      </w:r>
    </w:p>
    <w:p w14:paraId="2A143E2A">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1.选手必须佩戴头盔参赛。</w:t>
      </w:r>
    </w:p>
    <w:p w14:paraId="6C27A5A8">
      <w:pPr>
        <w:keepNext w:val="0"/>
        <w:keepLines w:val="0"/>
        <w:pageBreakBefore w:val="0"/>
        <w:widowControl w:val="0"/>
        <w:numPr>
          <w:ilvl w:val="0"/>
          <w:numId w:val="0"/>
        </w:numPr>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比赛分采用预赛和决赛两个阶段，比赛计时开始5秒内必须出发。</w:t>
      </w:r>
    </w:p>
    <w:p w14:paraId="0EF72269">
      <w:pPr>
        <w:keepNext w:val="0"/>
        <w:keepLines w:val="0"/>
        <w:pageBreakBefore w:val="0"/>
        <w:widowControl w:val="0"/>
        <w:numPr>
          <w:ilvl w:val="0"/>
          <w:numId w:val="0"/>
        </w:numPr>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预赛阶段每名队员有两轮比赛机会，每轮45秒</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预赛阶段，取两轮中最高轮分数为最终得分，排定名次。如两人（或两人以上）得分相同，根据高分轮的得分排定名次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3F9C89CD">
      <w:pPr>
        <w:keepNext w:val="0"/>
        <w:keepLines w:val="0"/>
        <w:pageBreakBefore w:val="0"/>
        <w:widowControl w:val="0"/>
        <w:numPr>
          <w:ilvl w:val="0"/>
          <w:numId w:val="0"/>
        </w:numPr>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决赛阶段采用“3/3/2”赛制，每位队员三轮线路，每轮45秒，再加三轮技巧（“大绝招”）比赛，每轮每人一个动作。以三轮线路比赛和三轮“大绝招”比赛中的两个最高分之和相加排定名次（其中必须有一轮街式最高成绩和一轮大绝招最高成绩）。如两人（或两人以上）得分相同，根据最高分轮次的得分排定名次。</w:t>
      </w:r>
    </w:p>
    <w:p w14:paraId="1E4F255A">
      <w:pPr>
        <w:keepNext w:val="0"/>
        <w:keepLines w:val="0"/>
        <w:pageBreakBefore w:val="0"/>
        <w:widowControl w:val="0"/>
        <w:numPr>
          <w:ilvl w:val="0"/>
          <w:numId w:val="0"/>
        </w:numPr>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根据动作难度、完成度、场地利用率、流畅度、连贯性打分。</w:t>
      </w:r>
    </w:p>
    <w:p w14:paraId="2A0D80CA">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.五名裁判员将使用0-100.00分制进行评分。每回合比赛去掉最高分和最低分，并取剩余三个分数的平均分，分数精确到小数点后两位。</w:t>
      </w:r>
    </w:p>
    <w:p w14:paraId="6B38D153">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14:textFill>
            <w14:solidFill>
              <w14:schemeClr w14:val="tx1"/>
            </w14:solidFill>
          </w14:textFill>
        </w:rPr>
        <w:t>）碗池赛</w:t>
      </w:r>
    </w:p>
    <w:p w14:paraId="0974BF0E">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选手</w:t>
      </w:r>
      <w:r>
        <w:rPr>
          <w:rFonts w:hint="eastAsia" w:ascii="仿宋_GB2312" w:hAnsi="仿宋_GB2312" w:eastAsia="仿宋_GB2312" w:cs="仿宋_GB2312"/>
          <w:color w:val="000000" w:themeColor="text1"/>
          <w:sz w:val="32"/>
          <w:szCs w:val="32"/>
          <w:highlight w:val="none"/>
          <w14:textFill>
            <w14:solidFill>
              <w14:schemeClr w14:val="tx1"/>
            </w14:solidFill>
          </w14:textFill>
        </w:rPr>
        <w:t>必须佩戴头盔、护膝和护肘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参赛</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3BEA7A46">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2.比赛分预赛和决赛两个阶段，比赛计时开始5秒内必须出发。</w:t>
      </w:r>
    </w:p>
    <w:p w14:paraId="2109BE83">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预赛每名队员有三轮比赛机会，每轮45秒/人，比赛中动作失误即停止。</w:t>
      </w:r>
    </w:p>
    <w:p w14:paraId="46E4FA16">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决赛每名队员有三轮比赛机会，每轮45秒/人，比赛中动作失误即停止，本轮比赛结束。</w:t>
      </w:r>
    </w:p>
    <w:p w14:paraId="7413253C">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在决赛第三轮结束后，排名前五的队员进行第四轮“黄金轮次”。黄金轮次按照决赛前五倒序出发，完成第四轮“黄金轮次”比赛45秒，失误落板即停止</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选手如果进入碗池后在第一面墙上的动作出现失误，可以重来一次，并且计时器会重新开始计时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75F3D76F">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最终成绩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是</w:t>
      </w:r>
      <w:r>
        <w:rPr>
          <w:rFonts w:hint="eastAsia" w:ascii="仿宋_GB2312" w:hAnsi="仿宋_GB2312" w:eastAsia="仿宋_GB2312" w:cs="仿宋_GB2312"/>
          <w:color w:val="000000" w:themeColor="text1"/>
          <w:sz w:val="32"/>
          <w:szCs w:val="32"/>
          <w:highlight w:val="none"/>
          <w14:textFill>
            <w14:solidFill>
              <w14:schemeClr w14:val="tx1"/>
            </w14:solidFill>
          </w14:textFill>
        </w:rPr>
        <w:t>四轮当中最佳一轮成绩</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05651CA0">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裁判员根据运动员完成的技术动作、个人风格、线路及动作成功率情况打分，以三轮中得分最高的一轮分数作为最终得分，并据此排定名次。如两人（或两人以上）高分轮得分相同，则根据低分轮的得分排定名次。</w:t>
      </w:r>
    </w:p>
    <w:p w14:paraId="12FBBCC3">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14:textFill>
            <w14:solidFill>
              <w14:schemeClr w14:val="tx1"/>
            </w14:solidFill>
          </w14:textFill>
        </w:rPr>
        <w:t>.五名裁判员将使用0-100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00 分制进行评分。每回合比赛去掉最高分和最低分，并取剩余三个分数的平均分，分数精确到小数点后两位。</w:t>
      </w:r>
    </w:p>
    <w:p w14:paraId="6D435074">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）各项目各组别报名、参赛不足 3 人时不进行比赛。</w:t>
      </w:r>
    </w:p>
    <w:p w14:paraId="1349556E">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首轮比赛抽签决定出场顺序，决赛运动员按预赛排名相反的次序出场。</w:t>
      </w:r>
    </w:p>
    <w:p w14:paraId="1338272B">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）计时</w:t>
      </w:r>
    </w:p>
    <w:p w14:paraId="605F3111">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1.街式比赛中，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如果运动员出现失误，比赛继续，</w:t>
      </w:r>
      <w:r>
        <w:rPr>
          <w:rFonts w:hint="eastAsia" w:ascii="仿宋_GB2312" w:hAnsi="仿宋_GB2312" w:eastAsia="仿宋_GB2312" w:cs="仿宋_GB2312"/>
          <w:color w:val="000000" w:themeColor="text1"/>
          <w:sz w:val="32"/>
          <w:szCs w:val="32"/>
          <w:highlight w:val="none"/>
          <w14:textFill>
            <w14:solidFill>
              <w14:schemeClr w14:val="tx1"/>
            </w14:solidFill>
          </w14:textFill>
        </w:rPr>
        <w:t>计时器不会停止计时。如果本</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回合</w:t>
      </w:r>
      <w:r>
        <w:rPr>
          <w:rFonts w:hint="eastAsia" w:ascii="仿宋_GB2312" w:hAnsi="仿宋_GB2312" w:eastAsia="仿宋_GB2312" w:cs="仿宋_GB2312"/>
          <w:color w:val="000000" w:themeColor="text1"/>
          <w:sz w:val="32"/>
          <w:szCs w:val="32"/>
          <w:highlight w:val="none"/>
          <w14:textFill>
            <w14:solidFill>
              <w14:schemeClr w14:val="tx1"/>
            </w14:solidFill>
          </w14:textFill>
        </w:rPr>
        <w:t>比赛因外部原因中断，则运动员将有一次重新开始的机会。</w:t>
      </w:r>
    </w:p>
    <w:p w14:paraId="11AA5104">
      <w:pPr>
        <w:keepNext w:val="0"/>
        <w:keepLines w:val="0"/>
        <w:pageBreakBefore w:val="0"/>
        <w:widowControl w:val="0"/>
        <w:kinsoku/>
        <w:wordWrap/>
        <w:overflowPunct/>
        <w:topLinePunct w:val="0"/>
        <w:bidi w:val="0"/>
        <w:adjustRightInd/>
        <w:snapToGrid/>
        <w:spacing w:line="53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2.碗池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比</w:t>
      </w:r>
      <w:r>
        <w:rPr>
          <w:rFonts w:hint="eastAsia" w:ascii="仿宋_GB2312" w:hAnsi="仿宋_GB2312" w:eastAsia="仿宋_GB2312" w:cs="仿宋_GB2312"/>
          <w:color w:val="000000" w:themeColor="text1"/>
          <w:sz w:val="32"/>
          <w:szCs w:val="32"/>
          <w:highlight w:val="none"/>
          <w14:textFill>
            <w14:solidFill>
              <w14:schemeClr w14:val="tx1"/>
            </w14:solidFill>
          </w14:textFill>
        </w:rPr>
        <w:t>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w:t>
      </w:r>
      <w:r>
        <w:rPr>
          <w:rFonts w:hint="eastAsia" w:ascii="仿宋_GB2312" w:hAnsi="仿宋_GB2312" w:eastAsia="仿宋_GB2312" w:cs="仿宋_GB2312"/>
          <w:color w:val="000000" w:themeColor="text1"/>
          <w:sz w:val="32"/>
          <w:szCs w:val="32"/>
          <w:highlight w:val="none"/>
          <w14:textFill>
            <w14:solidFill>
              <w14:schemeClr w14:val="tx1"/>
            </w14:solidFill>
          </w14:textFill>
        </w:rPr>
        <w:t>，如果运动员摔倒，计时器停止计时，本轮比赛结束。</w:t>
      </w:r>
    </w:p>
    <w:p w14:paraId="27577F2A">
      <w:pPr>
        <w:keepNext w:val="0"/>
        <w:keepLines w:val="0"/>
        <w:pageBreakBefore w:val="0"/>
        <w:widowControl w:val="0"/>
        <w:kinsoku/>
        <w:wordWrap/>
        <w:overflowPunct/>
        <w:topLinePunct w:val="0"/>
        <w:bidi w:val="0"/>
        <w:adjustRightInd/>
        <w:snapToGrid/>
        <w:spacing w:line="530" w:lineRule="exact"/>
        <w:ind w:left="17" w:leftChars="8" w:firstLine="617" w:firstLineChars="193"/>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报名参赛人数不足8（含）人的项目，将直接进行决赛。</w:t>
      </w:r>
    </w:p>
    <w:p w14:paraId="62493126">
      <w:pPr>
        <w:keepNext w:val="0"/>
        <w:keepLines w:val="0"/>
        <w:pageBreakBefore w:val="0"/>
        <w:widowControl w:val="0"/>
        <w:kinsoku/>
        <w:wordWrap/>
        <w:overflowPunct/>
        <w:topLinePunct w:val="0"/>
        <w:bidi w:val="0"/>
        <w:adjustRightInd/>
        <w:snapToGrid/>
        <w:spacing w:line="53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）弃权规定</w:t>
      </w:r>
    </w:p>
    <w:p w14:paraId="44DB6D4B">
      <w:pPr>
        <w:keepNext w:val="0"/>
        <w:keepLines w:val="0"/>
        <w:pageBreakBefore w:val="0"/>
        <w:widowControl w:val="0"/>
        <w:kinsoku/>
        <w:wordWrap/>
        <w:overflowPunct/>
        <w:topLinePunct w:val="0"/>
        <w:bidi w:val="0"/>
        <w:adjustRightInd/>
        <w:snapToGrid/>
        <w:spacing w:line="530" w:lineRule="exact"/>
        <w:ind w:left="17" w:leftChars="8" w:firstLine="617" w:firstLineChars="193"/>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1.比赛期间运动员因伤病或其他原因不能参赛，需书面告知组委会并加盖公章，内容包括弃权原因并明确弃权项目。</w:t>
      </w:r>
    </w:p>
    <w:p w14:paraId="30FCBE19">
      <w:pPr>
        <w:keepNext w:val="0"/>
        <w:keepLines w:val="0"/>
        <w:pageBreakBefore w:val="0"/>
        <w:widowControl w:val="0"/>
        <w:kinsoku/>
        <w:wordWrap/>
        <w:overflowPunct/>
        <w:topLinePunct w:val="0"/>
        <w:bidi w:val="0"/>
        <w:adjustRightInd/>
        <w:snapToGrid/>
        <w:spacing w:line="530" w:lineRule="exact"/>
        <w:ind w:left="17" w:leftChars="8" w:firstLine="617" w:firstLineChars="193"/>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2.因伤病弃权，需提供二级以上医院出具的诊断证明，考试、研学等其他原因弃权，需提供所在学校出具的证明，并于赛前两日提出弃权申请。</w:t>
      </w:r>
    </w:p>
    <w:p w14:paraId="6B15957A">
      <w:pPr>
        <w:keepNext w:val="0"/>
        <w:keepLines w:val="0"/>
        <w:pageBreakBefore w:val="0"/>
        <w:widowControl w:val="0"/>
        <w:kinsoku/>
        <w:wordWrap/>
        <w:overflowPunct/>
        <w:topLinePunct w:val="0"/>
        <w:bidi w:val="0"/>
        <w:adjustRightInd/>
        <w:snapToGrid/>
        <w:spacing w:line="530" w:lineRule="exact"/>
        <w:ind w:left="17" w:leftChars="8" w:firstLine="617" w:firstLineChars="193"/>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3.符合弃权条件的运动员，之前取得的名次和成绩有效。未按弃权时间及相关要求书面告知组委会不参赛的运动员，视为无故弃权，取消本人本项比赛成绩，后续名次不予递补。</w:t>
      </w:r>
    </w:p>
    <w:p w14:paraId="11752944">
      <w:pPr>
        <w:keepNext w:val="0"/>
        <w:keepLines w:val="0"/>
        <w:pageBreakBefore w:val="0"/>
        <w:widowControl w:val="0"/>
        <w:kinsoku/>
        <w:wordWrap/>
        <w:overflowPunct/>
        <w:topLinePunct w:val="0"/>
        <w:bidi w:val="0"/>
        <w:adjustRightInd/>
        <w:snapToGrid/>
        <w:spacing w:line="530" w:lineRule="exact"/>
        <w:ind w:firstLine="640" w:firstLineChars="200"/>
        <w:textAlignment w:val="auto"/>
        <w:rPr>
          <w:rFonts w:hint="eastAsia" w:ascii="仿宋_GB2312" w:hAnsi="Times New Roman" w:eastAsia="黑体" w:cs="仿宋_GB2312"/>
          <w:color w:val="000000" w:themeColor="text1"/>
          <w:sz w:val="32"/>
          <w:szCs w:val="32"/>
          <w:highlight w:val="none"/>
          <w:lang w:val="en-US" w:eastAsia="zh-CN"/>
          <w14:textFill>
            <w14:solidFill>
              <w14:schemeClr w14:val="tx1"/>
            </w14:solidFill>
          </w14:textFill>
        </w:rPr>
      </w:pPr>
      <w:r>
        <w:rPr>
          <w:rFonts w:hint="eastAsia" w:ascii="黑体" w:hAnsi="黑体" w:eastAsia="黑体" w:cs="仿宋_GB2312"/>
          <w:color w:val="000000" w:themeColor="text1"/>
          <w:sz w:val="32"/>
          <w:szCs w:val="32"/>
          <w:highlight w:val="none"/>
          <w14:textFill>
            <w14:solidFill>
              <w14:schemeClr w14:val="tx1"/>
            </w14:solidFill>
          </w14:textFill>
        </w:rPr>
        <w:t>八、报名办法</w:t>
      </w:r>
    </w:p>
    <w:p w14:paraId="2B32F911">
      <w:pPr>
        <w:keepNext w:val="0"/>
        <w:keepLines w:val="0"/>
        <w:pageBreakBefore w:val="0"/>
        <w:widowControl w:val="0"/>
        <w:kinsoku/>
        <w:wordWrap/>
        <w:overflowPunct/>
        <w:topLinePunct w:val="0"/>
        <w:bidi w:val="0"/>
        <w:adjustRightInd/>
        <w:snapToGrid/>
        <w:spacing w:line="530" w:lineRule="exact"/>
        <w:ind w:left="105" w:leftChars="50" w:firstLine="480" w:firstLineChars="15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（一）网络报名：各参赛单位于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sz w:val="32"/>
          <w:szCs w:val="32"/>
          <w:highlight w:val="none"/>
          <w:lang w:val="en-US" w:eastAsia="zh-CN"/>
        </w:rPr>
        <w:t>1</w:t>
      </w:r>
      <w:r>
        <w:rPr>
          <w:rFonts w:hint="eastAsia" w:hAnsi="仿宋_GB2312" w:cs="仿宋_GB2312"/>
          <w:sz w:val="32"/>
          <w:szCs w:val="32"/>
          <w:highlight w:val="none"/>
          <w:lang w:val="en-US" w:eastAsia="zh-CN"/>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sz w:val="32"/>
          <w:szCs w:val="32"/>
          <w:highlight w:val="none"/>
          <w:lang w:val="en-US" w:eastAsia="zh-CN"/>
        </w:rPr>
        <w:t>1</w:t>
      </w:r>
      <w:r>
        <w:rPr>
          <w:rFonts w:hint="eastAsia" w:hAnsi="仿宋_GB2312" w:cs="仿宋_GB2312"/>
          <w:sz w:val="32"/>
          <w:szCs w:val="32"/>
          <w:highlight w:val="none"/>
          <w:lang w:val="en-US" w:eastAsia="zh-CN"/>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日在北京市体育竞赛管理和国际交流中心官方网站 (https://www.bjcac.org.cn)进行网络报名；</w:t>
      </w:r>
    </w:p>
    <w:p w14:paraId="05DF9C71">
      <w:pPr>
        <w:keepNext w:val="0"/>
        <w:keepLines w:val="0"/>
        <w:pageBreakBefore w:val="0"/>
        <w:widowControl w:val="0"/>
        <w:kinsoku/>
        <w:wordWrap/>
        <w:overflowPunct/>
        <w:topLinePunct w:val="0"/>
        <w:bidi w:val="0"/>
        <w:adjustRightInd/>
        <w:snapToGrid/>
        <w:spacing w:line="53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（二）现场报名：各参赛单位于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hAnsi="仿宋_GB2312" w:cs="仿宋_GB2312"/>
          <w:sz w:val="32"/>
          <w:szCs w:val="32"/>
          <w:highlight w:val="none"/>
          <w:lang w:val="en-US" w:eastAsia="zh-CN"/>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sz w:val="32"/>
          <w:szCs w:val="32"/>
          <w:highlight w:val="none"/>
          <w:lang w:val="en-US" w:eastAsia="zh-CN"/>
        </w:rPr>
        <w:t>1</w:t>
      </w:r>
      <w:r>
        <w:rPr>
          <w:rFonts w:hint="eastAsia" w:hAnsi="仿宋_GB2312" w:cs="仿宋_GB2312"/>
          <w:sz w:val="32"/>
          <w:szCs w:val="32"/>
          <w:highlight w:val="none"/>
          <w:lang w:val="en-US" w:eastAsia="zh-CN"/>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日将以下材料送交</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北京市东城区东四块玉南街31号院主楼113室北京市极限运动协会（联系人：刘老师，13241439567）</w:t>
      </w:r>
    </w:p>
    <w:p w14:paraId="39A1BB23">
      <w:pPr>
        <w:keepNext w:val="0"/>
        <w:keepLines w:val="0"/>
        <w:pageBreakBefore w:val="0"/>
        <w:widowControl w:val="0"/>
        <w:kinsoku/>
        <w:wordWrap/>
        <w:overflowPunct/>
        <w:topLinePunct w:val="0"/>
        <w:bidi w:val="0"/>
        <w:adjustRightInd/>
        <w:snapToGrid/>
        <w:spacing w:line="530" w:lineRule="exact"/>
        <w:ind w:firstLine="640" w:firstLineChars="200"/>
        <w:textAlignment w:val="auto"/>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1.加盖参赛单位公章报名表一份；</w:t>
      </w:r>
    </w:p>
    <w:p w14:paraId="0E9C0AA6">
      <w:pPr>
        <w:keepNext w:val="0"/>
        <w:keepLines w:val="0"/>
        <w:pageBreakBefore w:val="0"/>
        <w:widowControl w:val="0"/>
        <w:kinsoku/>
        <w:wordWrap/>
        <w:overflowPunct/>
        <w:topLinePunct w:val="0"/>
        <w:bidi w:val="0"/>
        <w:adjustRightInd/>
        <w:snapToGrid/>
        <w:spacing w:line="530" w:lineRule="exact"/>
        <w:ind w:firstLine="640" w:firstLineChars="200"/>
        <w:textAlignment w:val="auto"/>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2.领队签字并加盖参赛单位公章参赛承诺书一份；</w:t>
      </w:r>
    </w:p>
    <w:p w14:paraId="7E7F2291">
      <w:pPr>
        <w:keepNext w:val="0"/>
        <w:keepLines w:val="0"/>
        <w:pageBreakBefore w:val="0"/>
        <w:widowControl w:val="0"/>
        <w:kinsoku/>
        <w:wordWrap/>
        <w:overflowPunct/>
        <w:topLinePunct w:val="0"/>
        <w:bidi w:val="0"/>
        <w:adjustRightInd/>
        <w:snapToGrid/>
        <w:spacing w:line="530" w:lineRule="exact"/>
        <w:ind w:firstLine="640" w:firstLineChars="200"/>
        <w:textAlignment w:val="auto"/>
        <w:rPr>
          <w:color w:val="000000" w:themeColor="text1"/>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s="仿宋_GB2312"/>
          <w:color w:val="000000" w:themeColor="text1"/>
          <w:sz w:val="32"/>
          <w:szCs w:val="32"/>
          <w:highlight w:val="none"/>
          <w14:textFill>
            <w14:solidFill>
              <w14:schemeClr w14:val="tx1"/>
            </w14:solidFill>
          </w14:textFill>
        </w:rPr>
        <w:t>.参赛运动员及监护人签字</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的</w:t>
      </w:r>
      <w:r>
        <w:rPr>
          <w:rFonts w:hint="eastAsia" w:ascii="仿宋_GB2312" w:hAnsi="仿宋" w:eastAsia="仿宋_GB2312" w:cs="仿宋_GB2312"/>
          <w:color w:val="000000" w:themeColor="text1"/>
          <w:sz w:val="32"/>
          <w:szCs w:val="32"/>
          <w:highlight w:val="none"/>
          <w14:textFill>
            <w14:solidFill>
              <w14:schemeClr w14:val="tx1"/>
            </w14:solidFill>
          </w14:textFill>
        </w:rPr>
        <w:t>运动员参赛声明。</w:t>
      </w:r>
    </w:p>
    <w:p w14:paraId="4B46345C">
      <w:pPr>
        <w:keepNext w:val="0"/>
        <w:keepLines w:val="0"/>
        <w:pageBreakBefore w:val="0"/>
        <w:widowControl w:val="0"/>
        <w:kinsoku/>
        <w:wordWrap/>
        <w:overflowPunct/>
        <w:topLinePunct w:val="0"/>
        <w:bidi w:val="0"/>
        <w:adjustRightInd/>
        <w:snapToGrid/>
        <w:spacing w:line="530" w:lineRule="exact"/>
        <w:ind w:left="105" w:leftChars="50" w:firstLine="480" w:firstLineChars="150"/>
        <w:textAlignment w:val="auto"/>
        <w:rPr>
          <w:rFonts w:hint="eastAsia"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（三）逾期未报名或未提交材料按不参赛处理，报名后不得更改，不在参赛人员名单内的人员届时不得入场。</w:t>
      </w:r>
    </w:p>
    <w:p w14:paraId="03972FCA">
      <w:pPr>
        <w:keepNext w:val="0"/>
        <w:keepLines w:val="0"/>
        <w:pageBreakBefore w:val="0"/>
        <w:widowControl w:val="0"/>
        <w:kinsoku/>
        <w:wordWrap/>
        <w:overflowPunct/>
        <w:topLinePunct w:val="0"/>
        <w:bidi w:val="0"/>
        <w:adjustRightInd/>
        <w:snapToGrid/>
        <w:spacing w:line="530" w:lineRule="exact"/>
        <w:ind w:firstLine="640" w:firstLineChars="200"/>
        <w:textAlignment w:val="auto"/>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（四）本次比赛不收取报名费。</w:t>
      </w:r>
    </w:p>
    <w:p w14:paraId="0764CE48">
      <w:pPr>
        <w:keepNext w:val="0"/>
        <w:keepLines w:val="0"/>
        <w:pageBreakBefore w:val="0"/>
        <w:widowControl w:val="0"/>
        <w:kinsoku/>
        <w:wordWrap/>
        <w:overflowPunct/>
        <w:topLinePunct w:val="0"/>
        <w:bidi w:val="0"/>
        <w:adjustRightInd/>
        <w:snapToGrid/>
        <w:spacing w:line="530" w:lineRule="exact"/>
        <w:ind w:firstLine="640" w:firstLineChars="200"/>
        <w:textAlignment w:val="auto"/>
        <w:rPr>
          <w:rFonts w:hint="default" w:ascii="仿宋_GB2312" w:hAnsi="仿宋"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联系人：</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单宗鹏</w:t>
      </w:r>
      <w:r>
        <w:rPr>
          <w:rFonts w:hint="eastAsia" w:ascii="仿宋_GB2312" w:hAnsi="仿宋" w:eastAsia="仿宋_GB2312" w:cs="仿宋_GB2312"/>
          <w:color w:val="000000" w:themeColor="text1"/>
          <w:sz w:val="32"/>
          <w:szCs w:val="32"/>
          <w:highlight w:val="none"/>
          <w14:textFill>
            <w14:solidFill>
              <w14:schemeClr w14:val="tx1"/>
            </w14:solidFill>
          </w14:textFill>
        </w:rPr>
        <w:t>，联系电话：</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63048870</w:t>
      </w:r>
    </w:p>
    <w:p w14:paraId="2536A0F2">
      <w:pPr>
        <w:pStyle w:val="3"/>
        <w:keepNext w:val="0"/>
        <w:keepLines w:val="0"/>
        <w:pageBreakBefore w:val="0"/>
        <w:widowControl w:val="0"/>
        <w:kinsoku/>
        <w:wordWrap/>
        <w:overflowPunct/>
        <w:topLinePunct w:val="0"/>
        <w:bidi w:val="0"/>
        <w:adjustRightInd/>
        <w:snapToGrid/>
        <w:spacing w:line="530" w:lineRule="exact"/>
        <w:ind w:left="640" w:hanging="640"/>
        <w:textAlignment w:val="auto"/>
        <w:rPr>
          <w:rFonts w:hint="eastAsia" w:eastAsia="仿宋_GB2312"/>
          <w:color w:val="000000" w:themeColor="text1"/>
          <w:highlight w:val="none"/>
          <w:lang w:val="en-US" w:eastAsia="zh-CN"/>
          <w14:textFill>
            <w14:solidFill>
              <w14:schemeClr w14:val="tx1"/>
            </w14:solidFill>
          </w14:textFill>
        </w:rPr>
      </w:pPr>
      <w:r>
        <w:rPr>
          <w:rFonts w:hint="eastAsia" w:ascii="仿宋_GB2312" w:hAnsi="仿宋" w:eastAsia="仿宋_GB2312" w:cs="仿宋_GB2312"/>
          <w:color w:val="000000" w:themeColor="text1"/>
          <w:szCs w:val="32"/>
          <w:highlight w:val="none"/>
          <w14:textFill>
            <w14:solidFill>
              <w14:schemeClr w14:val="tx1"/>
            </w14:solidFill>
          </w14:textFill>
        </w:rPr>
        <w:t xml:space="preserve">    电子邮箱：</w:t>
      </w:r>
      <w:r>
        <w:rPr>
          <w:rFonts w:hint="eastAsia" w:ascii="仿宋_GB2312" w:hAnsi="仿宋" w:eastAsia="仿宋_GB2312" w:cs="仿宋_GB2312"/>
          <w:color w:val="000000" w:themeColor="text1"/>
          <w:szCs w:val="32"/>
          <w:highlight w:val="none"/>
          <w:lang w:val="en-US" w:eastAsia="zh-CN"/>
          <w14:textFill>
            <w14:solidFill>
              <w14:schemeClr w14:val="tx1"/>
            </w14:solidFill>
          </w14:textFill>
        </w:rPr>
        <w:t>shanzongpeng</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"mailto:li.yuan@tyj.beijing.gov.cn" </w:instrText>
      </w:r>
      <w:r>
        <w:rPr>
          <w:color w:val="000000" w:themeColor="text1"/>
          <w:highlight w:val="none"/>
          <w14:textFill>
            <w14:solidFill>
              <w14:schemeClr w14:val="tx1"/>
            </w14:solidFill>
          </w14:textFill>
        </w:rPr>
        <w:fldChar w:fldCharType="separate"/>
      </w:r>
      <w:r>
        <w:rPr>
          <w:rFonts w:ascii="仿宋_GB2312" w:hAnsi="仿宋" w:eastAsia="仿宋_GB2312" w:cs="仿宋_GB2312"/>
          <w:color w:val="000000" w:themeColor="text1"/>
          <w:szCs w:val="32"/>
          <w:highlight w:val="none"/>
          <w14:textFill>
            <w14:solidFill>
              <w14:schemeClr w14:val="tx1"/>
            </w14:solidFill>
          </w14:textFill>
        </w:rPr>
        <w:t>@tyj.beijing.gov.cn</w:t>
      </w:r>
      <w:r>
        <w:rPr>
          <w:rFonts w:ascii="仿宋_GB2312" w:hAnsi="仿宋" w:eastAsia="仿宋_GB2312" w:cs="仿宋_GB2312"/>
          <w:color w:val="000000" w:themeColor="text1"/>
          <w:szCs w:val="32"/>
          <w:highlight w:val="none"/>
          <w14:textFill>
            <w14:solidFill>
              <w14:schemeClr w14:val="tx1"/>
            </w14:solidFill>
          </w14:textFill>
        </w:rPr>
        <w:fldChar w:fldCharType="end"/>
      </w:r>
    </w:p>
    <w:p w14:paraId="524B9491">
      <w:pPr>
        <w:keepNext w:val="0"/>
        <w:keepLines w:val="0"/>
        <w:pageBreakBefore w:val="0"/>
        <w:widowControl w:val="0"/>
        <w:kinsoku/>
        <w:wordWrap/>
        <w:overflowPunct/>
        <w:topLinePunct w:val="0"/>
        <w:bidi w:val="0"/>
        <w:adjustRightInd/>
        <w:snapToGrid/>
        <w:spacing w:line="530" w:lineRule="exact"/>
        <w:ind w:firstLine="640" w:firstLineChars="200"/>
        <w:textAlignment w:val="auto"/>
        <w:rPr>
          <w:rFonts w:ascii="黑体" w:hAnsi="仿宋" w:eastAsia="黑体" w:cs="黑体"/>
          <w:color w:val="000000" w:themeColor="text1"/>
          <w:sz w:val="32"/>
          <w:szCs w:val="32"/>
          <w:highlight w:val="none"/>
          <w14:textFill>
            <w14:solidFill>
              <w14:schemeClr w14:val="tx1"/>
            </w14:solidFill>
          </w14:textFill>
        </w:rPr>
      </w:pPr>
      <w:r>
        <w:rPr>
          <w:rFonts w:hint="eastAsia" w:ascii="黑体" w:hAnsi="仿宋" w:eastAsia="黑体" w:cs="黑体"/>
          <w:color w:val="000000" w:themeColor="text1"/>
          <w:sz w:val="32"/>
          <w:szCs w:val="32"/>
          <w:highlight w:val="none"/>
          <w14:textFill>
            <w14:solidFill>
              <w14:schemeClr w14:val="tx1"/>
            </w14:solidFill>
          </w14:textFill>
        </w:rPr>
        <w:t>九、录取名次和奖励办法</w:t>
      </w:r>
    </w:p>
    <w:p w14:paraId="0D595AAA">
      <w:pPr>
        <w:keepNext w:val="0"/>
        <w:keepLines w:val="0"/>
        <w:pageBreakBefore w:val="0"/>
        <w:widowControl w:val="0"/>
        <w:kinsoku/>
        <w:wordWrap/>
        <w:overflowPunct/>
        <w:topLinePunct w:val="0"/>
        <w:bidi w:val="0"/>
        <w:adjustRightInd/>
        <w:snapToGrid/>
        <w:spacing w:line="530" w:lineRule="exact"/>
        <w:ind w:firstLine="627" w:firstLineChars="196"/>
        <w:jc w:val="both"/>
        <w:textAlignment w:val="auto"/>
        <w:rPr>
          <w:rFonts w:ascii="仿宋_GB2312" w:hAnsi="Times New Roman" w:eastAsia="仿宋_GB2312"/>
          <w:color w:val="000000" w:themeColor="text1"/>
          <w:sz w:val="32"/>
          <w:szCs w:val="32"/>
          <w:highlight w:val="none"/>
          <w14:textFill>
            <w14:solidFill>
              <w14:schemeClr w14:val="tx1"/>
            </w14:solidFill>
          </w14:textFill>
        </w:rPr>
      </w:pPr>
      <w:r>
        <w:rPr>
          <w:rFonts w:hint="eastAsia" w:ascii="仿宋_GB2312" w:hAnsi="Times New Roman" w:eastAsia="仿宋_GB2312"/>
          <w:color w:val="000000" w:themeColor="text1"/>
          <w:sz w:val="32"/>
          <w:szCs w:val="32"/>
          <w:highlight w:val="none"/>
          <w14:textFill>
            <w14:solidFill>
              <w14:schemeClr w14:val="tx1"/>
            </w14:solidFill>
          </w14:textFill>
        </w:rPr>
        <w:t>（一）录取名次按照实际到场参赛人数为准，比赛各项目</w:t>
      </w:r>
      <w:r>
        <w:rPr>
          <w:rFonts w:hint="eastAsia" w:ascii="仿宋_GB2312" w:hAnsi="仿宋" w:eastAsia="仿宋_GB2312" w:cs="仿宋_GB2312"/>
          <w:color w:val="000000" w:themeColor="text1"/>
          <w:sz w:val="32"/>
          <w:szCs w:val="32"/>
          <w:highlight w:val="none"/>
          <w14:textFill>
            <w14:solidFill>
              <w14:schemeClr w14:val="tx1"/>
            </w14:solidFill>
          </w14:textFill>
        </w:rPr>
        <w:t>组别录取前</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 w:eastAsia="仿宋_GB2312" w:cs="仿宋_GB2312"/>
          <w:color w:val="000000" w:themeColor="text1"/>
          <w:sz w:val="32"/>
          <w:szCs w:val="32"/>
          <w:highlight w:val="none"/>
          <w14:textFill>
            <w14:solidFill>
              <w14:schemeClr w14:val="tx1"/>
            </w14:solidFill>
          </w14:textFill>
        </w:rPr>
        <w:t>名</w:t>
      </w:r>
      <w:r>
        <w:rPr>
          <w:rFonts w:hint="eastAsia" w:ascii="仿宋_GB2312" w:eastAsia="仿宋_GB2312"/>
          <w:color w:val="000000" w:themeColor="text1"/>
          <w:sz w:val="32"/>
          <w:szCs w:val="32"/>
          <w:highlight w:val="none"/>
          <w14:textFill>
            <w14:solidFill>
              <w14:schemeClr w14:val="tx1"/>
            </w14:solidFill>
          </w14:textFill>
        </w:rPr>
        <w:t>，参赛不足8人（含）的，递减</w:t>
      </w:r>
      <w:r>
        <w:rPr>
          <w:rFonts w:hint="eastAsia" w:ascii="仿宋_GB2312" w:eastAsia="仿宋_GB2312"/>
          <w:color w:val="000000" w:themeColor="text1"/>
          <w:sz w:val="32"/>
          <w:szCs w:val="32"/>
          <w:highlight w:val="none"/>
          <w:lang w:val="en-US" w:eastAsia="zh-CN"/>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名录取。</w:t>
      </w:r>
    </w:p>
    <w:p w14:paraId="030E1AB6">
      <w:pPr>
        <w:keepNext w:val="0"/>
        <w:keepLines w:val="0"/>
        <w:pageBreakBefore w:val="0"/>
        <w:widowControl w:val="0"/>
        <w:kinsoku/>
        <w:wordWrap/>
        <w:overflowPunct/>
        <w:topLinePunct w:val="0"/>
        <w:bidi w:val="0"/>
        <w:adjustRightInd/>
        <w:snapToGrid/>
        <w:spacing w:line="530" w:lineRule="exact"/>
        <w:ind w:right="-63" w:rightChars="-30" w:firstLine="627" w:firstLineChars="196"/>
        <w:jc w:val="both"/>
        <w:textAlignment w:val="auto"/>
        <w:rPr>
          <w:rFonts w:hint="eastAsia" w:ascii="仿宋_GB2312" w:hAnsi="Times New Roman" w:eastAsia="仿宋_GB2312" w:cs="仿宋_GB2312"/>
          <w:color w:val="000000" w:themeColor="text1"/>
          <w:sz w:val="32"/>
          <w:szCs w:val="32"/>
          <w:highlight w:val="yellow"/>
          <w:lang w:val="en-US" w:eastAsia="zh-CN"/>
          <w14:textFill>
            <w14:solidFill>
              <w14:schemeClr w14:val="tx1"/>
            </w14:solidFill>
          </w14:textFill>
        </w:rPr>
      </w:pPr>
      <w:r>
        <w:rPr>
          <w:rFonts w:hint="eastAsia" w:ascii="仿宋_GB2312" w:hAnsi="Times New Roman" w:eastAsia="仿宋_GB2312" w:cs="仿宋_GB2312"/>
          <w:color w:val="000000" w:themeColor="text1"/>
          <w:sz w:val="32"/>
          <w:szCs w:val="32"/>
          <w:highlight w:val="none"/>
          <w14:textFill>
            <w14:solidFill>
              <w14:schemeClr w14:val="tx1"/>
            </w14:solidFill>
          </w14:textFill>
        </w:rPr>
        <w:t>（二）获得比赛前3名的运动员，</w:t>
      </w:r>
      <w:r>
        <w:rPr>
          <w:rFonts w:hint="eastAsia" w:ascii="仿宋_GB2312" w:hAnsi="Times New Roman" w:eastAsia="仿宋_GB2312"/>
          <w:color w:val="000000" w:themeColor="text1"/>
          <w:sz w:val="32"/>
          <w:szCs w:val="32"/>
          <w:highlight w:val="none"/>
          <w14:textFill>
            <w14:solidFill>
              <w14:schemeClr w14:val="tx1"/>
            </w14:solidFill>
          </w14:textFill>
        </w:rPr>
        <w:t>运动员</w:t>
      </w:r>
      <w:r>
        <w:rPr>
          <w:rFonts w:hint="eastAsia" w:ascii="仿宋_GB2312" w:hAnsi="Times New Roman" w:eastAsia="仿宋_GB2312" w:cs="仿宋_GB2312"/>
          <w:color w:val="000000" w:themeColor="text1"/>
          <w:sz w:val="32"/>
          <w:szCs w:val="32"/>
          <w:highlight w:val="none"/>
          <w14:textFill>
            <w14:solidFill>
              <w14:schemeClr w14:val="tx1"/>
            </w14:solidFill>
          </w14:textFill>
        </w:rPr>
        <w:t>分别颁发奖牌和证书；</w:t>
      </w:r>
      <w:r>
        <w:rPr>
          <w:rFonts w:hint="eastAsia" w:ascii="仿宋_GB2312" w:hAnsi="Times New Roman" w:eastAsia="仿宋_GB2312"/>
          <w:color w:val="000000" w:themeColor="text1"/>
          <w:sz w:val="32"/>
          <w:szCs w:val="32"/>
          <w:highlight w:val="none"/>
          <w14:textFill>
            <w14:solidFill>
              <w14:schemeClr w14:val="tx1"/>
            </w14:solidFill>
          </w14:textFill>
        </w:rPr>
        <w:t>其他获得名次者分别颁发证书。</w:t>
      </w:r>
    </w:p>
    <w:p w14:paraId="44BAB2E6">
      <w:pPr>
        <w:keepNext w:val="0"/>
        <w:keepLines w:val="0"/>
        <w:pageBreakBefore w:val="0"/>
        <w:widowControl w:val="0"/>
        <w:kinsoku/>
        <w:wordWrap/>
        <w:overflowPunct/>
        <w:topLinePunct w:val="0"/>
        <w:bidi w:val="0"/>
        <w:adjustRightInd/>
        <w:snapToGrid/>
        <w:spacing w:line="530" w:lineRule="exact"/>
        <w:ind w:firstLine="627" w:firstLineChars="196"/>
        <w:jc w:val="both"/>
        <w:textAlignment w:val="auto"/>
        <w:rPr>
          <w:rFonts w:hint="eastAsia" w:ascii="仿宋_GB2312" w:hAnsi="Times New Roman" w:eastAsia="仿宋_GB2312" w:cs="仿宋_GB2312"/>
          <w:color w:val="000000" w:themeColor="text1"/>
          <w:sz w:val="32"/>
          <w:szCs w:val="32"/>
          <w:highlight w:val="yellow"/>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十、</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本次锦标赛为北京市第十七届运动会(青少年组）滑板比赛资格赛，</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获得甲、乙组各单项前16名且符合《北京市第十七届运动会竞赛规程总则》中关于运动员资格规定的选手，有资格参加北京市第十七届运动会（青少年组）滑板比赛。参加北京市第十七届运动会（青少年组）滑板比赛运动员所报项目须与锦标赛保持一致，不得更改。</w:t>
      </w:r>
    </w:p>
    <w:p w14:paraId="5581B283">
      <w:pPr>
        <w:keepNext w:val="0"/>
        <w:keepLines w:val="0"/>
        <w:pageBreakBefore w:val="0"/>
        <w:widowControl w:val="0"/>
        <w:kinsoku/>
        <w:wordWrap/>
        <w:overflowPunct/>
        <w:topLinePunct w:val="0"/>
        <w:bidi w:val="0"/>
        <w:adjustRightInd/>
        <w:snapToGrid/>
        <w:spacing w:line="530" w:lineRule="exact"/>
        <w:ind w:left="0" w:leftChars="0" w:firstLine="640" w:firstLineChars="200"/>
        <w:textAlignment w:val="auto"/>
        <w:rPr>
          <w:rFonts w:hint="eastAsia" w:ascii="黑体" w:hAnsi="仿宋" w:eastAsia="黑体" w:cs="黑体"/>
          <w:color w:val="000000" w:themeColor="text1"/>
          <w:sz w:val="32"/>
          <w:szCs w:val="32"/>
          <w:highlight w:val="none"/>
          <w:lang w:val="en-US" w:eastAsia="zh-CN"/>
          <w14:textFill>
            <w14:solidFill>
              <w14:schemeClr w14:val="tx1"/>
            </w14:solidFill>
          </w14:textFill>
        </w:rPr>
      </w:pPr>
      <w:r>
        <w:rPr>
          <w:rFonts w:hint="eastAsia" w:ascii="黑体" w:hAnsi="仿宋" w:eastAsia="黑体" w:cs="黑体"/>
          <w:color w:val="000000" w:themeColor="text1"/>
          <w:sz w:val="32"/>
          <w:szCs w:val="32"/>
          <w:highlight w:val="none"/>
          <w14:textFill>
            <w14:solidFill>
              <w14:schemeClr w14:val="tx1"/>
            </w14:solidFill>
          </w14:textFill>
        </w:rPr>
        <w:t>十</w:t>
      </w:r>
      <w:r>
        <w:rPr>
          <w:rFonts w:hint="eastAsia" w:ascii="黑体" w:hAnsi="仿宋" w:eastAsia="黑体" w:cs="黑体"/>
          <w:color w:val="000000" w:themeColor="text1"/>
          <w:sz w:val="32"/>
          <w:szCs w:val="32"/>
          <w:highlight w:val="none"/>
          <w:lang w:eastAsia="zh-CN"/>
          <w14:textFill>
            <w14:solidFill>
              <w14:schemeClr w14:val="tx1"/>
            </w14:solidFill>
          </w14:textFill>
        </w:rPr>
        <w:t>一</w:t>
      </w:r>
      <w:r>
        <w:rPr>
          <w:rFonts w:hint="eastAsia" w:ascii="黑体" w:hAnsi="仿宋" w:eastAsia="黑体" w:cs="黑体"/>
          <w:color w:val="000000" w:themeColor="text1"/>
          <w:sz w:val="32"/>
          <w:szCs w:val="32"/>
          <w:highlight w:val="none"/>
          <w14:textFill>
            <w14:solidFill>
              <w14:schemeClr w14:val="tx1"/>
            </w14:solidFill>
          </w14:textFill>
        </w:rPr>
        <w:t>、运动员技术等级</w:t>
      </w:r>
    </w:p>
    <w:p w14:paraId="477A21F6">
      <w:pPr>
        <w:keepNext w:val="0"/>
        <w:keepLines w:val="0"/>
        <w:pageBreakBefore w:val="0"/>
        <w:widowControl w:val="0"/>
        <w:kinsoku/>
        <w:wordWrap/>
        <w:overflowPunct/>
        <w:topLinePunct w:val="0"/>
        <w:bidi w:val="0"/>
        <w:adjustRightInd/>
        <w:snapToGrid/>
        <w:spacing w:line="530" w:lineRule="exact"/>
        <w:ind w:right="-63" w:rightChars="-30" w:firstLine="627" w:firstLineChars="196"/>
        <w:jc w:val="both"/>
        <w:textAlignment w:val="auto"/>
        <w:rPr>
          <w:rFonts w:hint="eastAsia" w:ascii="仿宋_GB2312" w:hAnsi="Times New Roman" w:eastAsia="仿宋_GB2312" w:cs="仿宋_GB2312"/>
          <w:color w:val="000000" w:themeColor="text1"/>
          <w:sz w:val="32"/>
          <w:szCs w:val="32"/>
          <w:highlight w:val="none"/>
          <w:lang w:eastAsia="zh-CN"/>
          <w14:textFill>
            <w14:solidFill>
              <w14:schemeClr w14:val="tx1"/>
            </w14:solidFill>
          </w14:textFill>
        </w:rPr>
      </w:pPr>
      <w:r>
        <w:rPr>
          <w:rFonts w:hint="eastAsia" w:ascii="仿宋_GB2312" w:hAnsi="Times New Roman" w:eastAsia="仿宋_GB2312" w:cs="仿宋_GB2312"/>
          <w:color w:val="000000" w:themeColor="text1"/>
          <w:sz w:val="32"/>
          <w:szCs w:val="32"/>
          <w:highlight w:val="none"/>
          <w14:textFill>
            <w14:solidFill>
              <w14:schemeClr w14:val="tx1"/>
            </w14:solidFill>
          </w14:textFill>
        </w:rPr>
        <w:t>(一)根据《运动员技术等级管理办法》(国家体育总局令第32号)和《运动员技术等级标准》(体竞字(2024)121号)有关规定，本次比赛甲组可授予运动员技术等级称号(以下简称等级称号)</w:t>
      </w:r>
      <w:r>
        <w:rPr>
          <w:rFonts w:hint="eastAsia" w:ascii="仿宋_GB2312" w:hAnsi="Times New Roman" w:eastAsia="仿宋_GB2312" w:cs="仿宋_GB2312"/>
          <w:color w:val="000000" w:themeColor="text1"/>
          <w:sz w:val="32"/>
          <w:szCs w:val="32"/>
          <w:highlight w:val="none"/>
          <w:lang w:eastAsia="zh-CN"/>
          <w14:textFill>
            <w14:solidFill>
              <w14:schemeClr w14:val="tx1"/>
            </w14:solidFill>
          </w14:textFill>
        </w:rPr>
        <w:t>。</w:t>
      </w:r>
    </w:p>
    <w:p w14:paraId="1D4E0592">
      <w:pPr>
        <w:keepNext w:val="0"/>
        <w:keepLines w:val="0"/>
        <w:pageBreakBefore w:val="0"/>
        <w:widowControl w:val="0"/>
        <w:kinsoku/>
        <w:wordWrap/>
        <w:overflowPunct/>
        <w:topLinePunct w:val="0"/>
        <w:bidi w:val="0"/>
        <w:adjustRightInd/>
        <w:snapToGrid/>
        <w:spacing w:line="530" w:lineRule="exact"/>
        <w:ind w:right="-63" w:rightChars="-30" w:firstLine="627" w:firstLineChars="196"/>
        <w:jc w:val="both"/>
        <w:textAlignment w:val="auto"/>
        <w:rPr>
          <w:rFonts w:hint="eastAsia" w:ascii="仿宋_GB2312" w:hAnsi="Times New Roman" w:eastAsia="仿宋_GB2312" w:cs="仿宋_GB2312"/>
          <w:color w:val="000000" w:themeColor="text1"/>
          <w:sz w:val="32"/>
          <w:szCs w:val="32"/>
          <w:highlight w:val="none"/>
          <w14:textFill>
            <w14:solidFill>
              <w14:schemeClr w14:val="tx1"/>
            </w14:solidFill>
          </w14:textFill>
        </w:rPr>
      </w:pPr>
      <w:r>
        <w:rPr>
          <w:rFonts w:hint="eastAsia" w:ascii="仿宋_GB2312" w:hAnsi="Times New Roman" w:eastAsia="仿宋_GB2312" w:cs="仿宋_GB2312"/>
          <w:color w:val="000000" w:themeColor="text1"/>
          <w:sz w:val="32"/>
          <w:szCs w:val="32"/>
          <w:highlight w:val="none"/>
          <w14:textFill>
            <w14:solidFill>
              <w14:schemeClr w14:val="tx1"/>
            </w14:solidFill>
          </w14:textFill>
        </w:rPr>
        <w:t>(二)等级称号授予方式与内容：比赛结束后30日内，市体育局公布比赛秩序册，成绩册，并对拟授予等级称号人员进行公示，公示期为5个工作日。公示期满无异议的，市体育局以文件形式授予等级称号，具体为：一级运动员，二级运动员，三级运动员。</w:t>
      </w:r>
    </w:p>
    <w:p w14:paraId="5CF2A12C">
      <w:pPr>
        <w:keepNext w:val="0"/>
        <w:keepLines w:val="0"/>
        <w:pageBreakBefore w:val="0"/>
        <w:widowControl w:val="0"/>
        <w:kinsoku/>
        <w:wordWrap/>
        <w:overflowPunct/>
        <w:topLinePunct w:val="0"/>
        <w:bidi w:val="0"/>
        <w:adjustRightInd/>
        <w:snapToGrid/>
        <w:spacing w:line="530" w:lineRule="exact"/>
        <w:ind w:right="-63" w:rightChars="-30" w:firstLine="627" w:firstLineChars="196"/>
        <w:jc w:val="both"/>
        <w:textAlignment w:val="auto"/>
        <w:rPr>
          <w:rFonts w:hint="eastAsia" w:ascii="仿宋_GB2312" w:hAnsi="Times New Roman" w:eastAsia="仿宋_GB2312" w:cs="仿宋_GB2312"/>
          <w:color w:val="000000" w:themeColor="text1"/>
          <w:sz w:val="32"/>
          <w:szCs w:val="32"/>
          <w:highlight w:val="none"/>
          <w14:textFill>
            <w14:solidFill>
              <w14:schemeClr w14:val="tx1"/>
            </w14:solidFill>
          </w14:textFill>
        </w:rPr>
      </w:pPr>
      <w:r>
        <w:rPr>
          <w:rFonts w:hint="eastAsia" w:ascii="仿宋_GB2312" w:hAnsi="Times New Roman" w:eastAsia="仿宋_GB2312" w:cs="仿宋_GB2312"/>
          <w:color w:val="000000" w:themeColor="text1"/>
          <w:sz w:val="32"/>
          <w:szCs w:val="32"/>
          <w:highlight w:val="none"/>
          <w14:textFill>
            <w14:solidFill>
              <w14:schemeClr w14:val="tx1"/>
            </w14:solidFill>
          </w14:textFill>
        </w:rPr>
        <w:t>(三)等级称号公示，授予通知以及等级证书可通过下载体教联盟(CSEA) APP查询，等级证书为电子证书。</w:t>
      </w:r>
    </w:p>
    <w:p w14:paraId="38ED83AD">
      <w:pPr>
        <w:keepNext w:val="0"/>
        <w:keepLines w:val="0"/>
        <w:pageBreakBefore w:val="0"/>
        <w:widowControl w:val="0"/>
        <w:kinsoku/>
        <w:wordWrap/>
        <w:overflowPunct/>
        <w:topLinePunct w:val="0"/>
        <w:bidi w:val="0"/>
        <w:adjustRightInd/>
        <w:snapToGrid/>
        <w:spacing w:line="530" w:lineRule="exact"/>
        <w:ind w:firstLine="640" w:firstLineChars="200"/>
        <w:textAlignment w:val="auto"/>
        <w:rPr>
          <w:rFonts w:ascii="黑体" w:hAnsi="仿宋" w:eastAsia="黑体" w:cs="黑体"/>
          <w:color w:val="000000" w:themeColor="text1"/>
          <w:sz w:val="32"/>
          <w:szCs w:val="32"/>
          <w:highlight w:val="none"/>
          <w14:textFill>
            <w14:solidFill>
              <w14:schemeClr w14:val="tx1"/>
            </w14:solidFill>
          </w14:textFill>
        </w:rPr>
      </w:pPr>
      <w:r>
        <w:rPr>
          <w:rFonts w:hint="eastAsia" w:ascii="黑体" w:hAnsi="仿宋" w:eastAsia="黑体" w:cs="黑体"/>
          <w:color w:val="000000" w:themeColor="text1"/>
          <w:sz w:val="32"/>
          <w:szCs w:val="32"/>
          <w:highlight w:val="none"/>
          <w14:textFill>
            <w14:solidFill>
              <w14:schemeClr w14:val="tx1"/>
            </w14:solidFill>
          </w14:textFill>
        </w:rPr>
        <w:t>十</w:t>
      </w:r>
      <w:r>
        <w:rPr>
          <w:rFonts w:hint="eastAsia" w:ascii="黑体" w:hAnsi="仿宋" w:eastAsia="黑体" w:cs="黑体"/>
          <w:color w:val="000000" w:themeColor="text1"/>
          <w:sz w:val="32"/>
          <w:szCs w:val="32"/>
          <w:highlight w:val="none"/>
          <w:lang w:eastAsia="zh-CN"/>
          <w14:textFill>
            <w14:solidFill>
              <w14:schemeClr w14:val="tx1"/>
            </w14:solidFill>
          </w14:textFill>
        </w:rPr>
        <w:t>二</w:t>
      </w:r>
      <w:r>
        <w:rPr>
          <w:rFonts w:hint="eastAsia" w:ascii="黑体" w:hAnsi="仿宋" w:eastAsia="黑体" w:cs="黑体"/>
          <w:color w:val="000000" w:themeColor="text1"/>
          <w:sz w:val="32"/>
          <w:szCs w:val="32"/>
          <w:highlight w:val="none"/>
          <w14:textFill>
            <w14:solidFill>
              <w14:schemeClr w14:val="tx1"/>
            </w14:solidFill>
          </w14:textFill>
        </w:rPr>
        <w:t>、人身安全</w:t>
      </w:r>
      <w:r>
        <w:rPr>
          <w:rFonts w:hint="eastAsia" w:ascii="黑体" w:hAnsi="黑体" w:eastAsia="黑体" w:cs="黑体"/>
          <w:color w:val="000000" w:themeColor="text1"/>
          <w:sz w:val="32"/>
          <w:szCs w:val="32"/>
          <w:highlight w:val="none"/>
          <w14:textFill>
            <w14:solidFill>
              <w14:schemeClr w14:val="tx1"/>
            </w14:solidFill>
          </w14:textFill>
        </w:rPr>
        <w:t>和医疗保险</w:t>
      </w:r>
    </w:p>
    <w:p w14:paraId="6AE660AD">
      <w:pPr>
        <w:keepNext w:val="0"/>
        <w:keepLines w:val="0"/>
        <w:pageBreakBefore w:val="0"/>
        <w:widowControl w:val="0"/>
        <w:kinsoku/>
        <w:wordWrap/>
        <w:overflowPunct/>
        <w:topLinePunct w:val="0"/>
        <w:bidi w:val="0"/>
        <w:adjustRightInd/>
        <w:snapToGrid/>
        <w:spacing w:line="530" w:lineRule="exact"/>
        <w:ind w:right="-63" w:rightChars="-30" w:firstLine="627" w:firstLineChars="196"/>
        <w:jc w:val="both"/>
        <w:textAlignment w:val="auto"/>
        <w:rPr>
          <w:rFonts w:hint="eastAsia" w:ascii="仿宋_GB2312" w:hAnsi="Times New Roman" w:eastAsia="仿宋_GB2312" w:cs="仿宋_GB2312"/>
          <w:color w:val="000000" w:themeColor="text1"/>
          <w:sz w:val="32"/>
          <w:szCs w:val="32"/>
          <w:highlight w:val="none"/>
          <w:lang w:eastAsia="zh-CN"/>
          <w14:textFill>
            <w14:solidFill>
              <w14:schemeClr w14:val="tx1"/>
            </w14:solidFill>
          </w14:textFill>
        </w:rPr>
      </w:pPr>
      <w:r>
        <w:rPr>
          <w:rFonts w:hint="eastAsia" w:ascii="仿宋_GB2312" w:hAnsi="Times New Roman" w:eastAsia="仿宋_GB2312" w:cs="仿宋_GB2312"/>
          <w:color w:val="000000" w:themeColor="text1"/>
          <w:sz w:val="32"/>
          <w:szCs w:val="32"/>
          <w:highlight w:val="none"/>
          <w:lang w:eastAsia="zh-CN"/>
          <w14:textFill>
            <w14:solidFill>
              <w14:schemeClr w14:val="tx1"/>
            </w14:solidFill>
          </w14:textFill>
        </w:rPr>
        <w:t>（一）所有参赛人员要按照赛事主办及承办单位有关要求做好参赛各项安全保障工作。</w:t>
      </w:r>
    </w:p>
    <w:p w14:paraId="5FD8036F">
      <w:pPr>
        <w:keepNext w:val="0"/>
        <w:keepLines w:val="0"/>
        <w:pageBreakBefore w:val="0"/>
        <w:widowControl w:val="0"/>
        <w:kinsoku/>
        <w:wordWrap/>
        <w:overflowPunct/>
        <w:topLinePunct w:val="0"/>
        <w:bidi w:val="0"/>
        <w:adjustRightInd/>
        <w:snapToGrid/>
        <w:spacing w:line="530" w:lineRule="exact"/>
        <w:ind w:right="-63" w:rightChars="-30" w:firstLine="627" w:firstLineChars="196"/>
        <w:jc w:val="both"/>
        <w:textAlignment w:val="auto"/>
        <w:rPr>
          <w:rFonts w:hint="eastAsia" w:ascii="仿宋_GB2312" w:hAnsi="Times New Roman" w:eastAsia="仿宋_GB2312" w:cs="仿宋_GB2312"/>
          <w:color w:val="000000" w:themeColor="text1"/>
          <w:sz w:val="32"/>
          <w:szCs w:val="32"/>
          <w:highlight w:val="none"/>
          <w:lang w:eastAsia="zh-CN"/>
          <w14:textFill>
            <w14:solidFill>
              <w14:schemeClr w14:val="tx1"/>
            </w14:solidFill>
          </w14:textFill>
        </w:rPr>
      </w:pPr>
      <w:r>
        <w:rPr>
          <w:rFonts w:hint="eastAsia" w:ascii="仿宋_GB2312" w:hAnsi="Times New Roman" w:eastAsia="仿宋_GB2312" w:cs="仿宋_GB2312"/>
          <w:color w:val="000000" w:themeColor="text1"/>
          <w:sz w:val="32"/>
          <w:szCs w:val="32"/>
          <w:highlight w:val="none"/>
          <w:lang w:eastAsia="zh-CN"/>
          <w14:textFill>
            <w14:solidFill>
              <w14:schemeClr w14:val="tx1"/>
            </w14:solidFill>
          </w14:textFill>
        </w:rPr>
        <w:t>（二）各参赛单位须为本单位所有参赛运动员、教练员购买意外伤害保险，参赛运动员、教练员应确保身体健康，其在比赛中发生的任何意外伤害、伤病等事故，主办和承办单位不承担任何责任。</w:t>
      </w:r>
    </w:p>
    <w:p w14:paraId="0665096C">
      <w:pPr>
        <w:keepNext w:val="0"/>
        <w:keepLines w:val="0"/>
        <w:pageBreakBefore w:val="0"/>
        <w:widowControl w:val="0"/>
        <w:kinsoku/>
        <w:wordWrap/>
        <w:overflowPunct/>
        <w:topLinePunct w:val="0"/>
        <w:bidi w:val="0"/>
        <w:adjustRightInd/>
        <w:snapToGrid/>
        <w:spacing w:line="530" w:lineRule="exact"/>
        <w:ind w:firstLine="707" w:firstLineChars="221"/>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仿宋" w:eastAsia="黑体" w:cs="黑体"/>
          <w:color w:val="000000" w:themeColor="text1"/>
          <w:sz w:val="32"/>
          <w:szCs w:val="32"/>
          <w:highlight w:val="none"/>
          <w14:textFill>
            <w14:solidFill>
              <w14:schemeClr w14:val="tx1"/>
            </w14:solidFill>
          </w14:textFill>
        </w:rPr>
        <w:t>十</w:t>
      </w:r>
      <w:r>
        <w:rPr>
          <w:rFonts w:hint="eastAsia" w:ascii="黑体" w:hAnsi="仿宋" w:eastAsia="黑体" w:cs="黑体"/>
          <w:color w:val="000000" w:themeColor="text1"/>
          <w:sz w:val="32"/>
          <w:szCs w:val="32"/>
          <w:highlight w:val="none"/>
          <w:lang w:eastAsia="zh-CN"/>
          <w14:textFill>
            <w14:solidFill>
              <w14:schemeClr w14:val="tx1"/>
            </w14:solidFill>
          </w14:textFill>
        </w:rPr>
        <w:t>三</w:t>
      </w:r>
      <w:r>
        <w:rPr>
          <w:rFonts w:hint="eastAsia" w:ascii="黑体" w:hAnsi="仿宋" w:eastAsia="黑体" w:cs="黑体"/>
          <w:color w:val="000000" w:themeColor="text1"/>
          <w:sz w:val="32"/>
          <w:szCs w:val="32"/>
          <w:highlight w:val="none"/>
          <w14:textFill>
            <w14:solidFill>
              <w14:schemeClr w14:val="tx1"/>
            </w14:solidFill>
          </w14:textFill>
        </w:rPr>
        <w:t>、</w:t>
      </w:r>
      <w:r>
        <w:rPr>
          <w:rFonts w:hint="eastAsia" w:ascii="黑体" w:hAnsi="黑体" w:eastAsia="黑体" w:cs="黑体"/>
          <w:color w:val="000000" w:themeColor="text1"/>
          <w:sz w:val="32"/>
          <w:szCs w:val="32"/>
          <w:highlight w:val="none"/>
          <w14:textFill>
            <w14:solidFill>
              <w14:schemeClr w14:val="tx1"/>
            </w14:solidFill>
          </w14:textFill>
        </w:rPr>
        <w:t>反兴奋剂和赛风赛纪</w:t>
      </w:r>
    </w:p>
    <w:p w14:paraId="54B1B3BF">
      <w:pPr>
        <w:pStyle w:val="3"/>
        <w:keepNext w:val="0"/>
        <w:keepLines w:val="0"/>
        <w:pageBreakBefore w:val="0"/>
        <w:widowControl w:val="0"/>
        <w:kinsoku/>
        <w:wordWrap/>
        <w:overflowPunct/>
        <w:topLinePunct w:val="0"/>
        <w:bidi w:val="0"/>
        <w:adjustRightInd/>
        <w:snapToGrid/>
        <w:spacing w:line="530" w:lineRule="exact"/>
        <w:ind w:left="0" w:firstLine="640" w:firstLineChars="200"/>
        <w:jc w:val="left"/>
        <w:textAlignment w:val="auto"/>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（一）比赛中运动员出现兴奋剂违规行为，将取消其参赛资格和所获成绩名次及奖励，并按照国家体育总局《反兴奋剂规则》及相关规定对违规运动员及运动队进行追加处罚。</w:t>
      </w:r>
    </w:p>
    <w:p w14:paraId="7D261B60">
      <w:pPr>
        <w:pStyle w:val="3"/>
        <w:keepNext w:val="0"/>
        <w:keepLines w:val="0"/>
        <w:pageBreakBefore w:val="0"/>
        <w:widowControl w:val="0"/>
        <w:kinsoku/>
        <w:wordWrap/>
        <w:overflowPunct/>
        <w:topLinePunct w:val="0"/>
        <w:bidi w:val="0"/>
        <w:adjustRightInd/>
        <w:snapToGrid/>
        <w:spacing w:line="530" w:lineRule="exact"/>
        <w:ind w:left="0" w:firstLine="640" w:firstLineChars="200"/>
        <w:jc w:val="left"/>
        <w:textAlignment w:val="auto"/>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3B035CF1">
      <w:pPr>
        <w:keepNext w:val="0"/>
        <w:keepLines w:val="0"/>
        <w:pageBreakBefore w:val="0"/>
        <w:widowControl w:val="0"/>
        <w:kinsoku/>
        <w:wordWrap/>
        <w:overflowPunct/>
        <w:topLinePunct w:val="0"/>
        <w:bidi w:val="0"/>
        <w:adjustRightInd/>
        <w:snapToGrid/>
        <w:spacing w:line="53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十</w:t>
      </w:r>
      <w:r>
        <w:rPr>
          <w:rFonts w:hint="eastAsia" w:ascii="黑体" w:hAnsi="黑体" w:eastAsia="黑体" w:cs="黑体"/>
          <w:color w:val="000000" w:themeColor="text1"/>
          <w:sz w:val="32"/>
          <w:szCs w:val="32"/>
          <w:highlight w:val="none"/>
          <w:lang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w:t>
      </w:r>
      <w:r>
        <w:rPr>
          <w:rFonts w:hint="eastAsia" w:ascii="黑体" w:hAnsi="黑体" w:eastAsia="黑体" w:cs="黑体"/>
          <w:color w:val="000000" w:themeColor="text1"/>
          <w:sz w:val="32"/>
          <w:szCs w:val="32"/>
          <w:highlight w:val="none"/>
          <w:lang w:eastAsia="zh-CN"/>
          <w14:textFill>
            <w14:solidFill>
              <w14:schemeClr w14:val="tx1"/>
            </w14:solidFill>
          </w14:textFill>
        </w:rPr>
        <w:t>纠纷解决</w:t>
      </w:r>
      <w:r>
        <w:rPr>
          <w:rFonts w:hint="eastAsia" w:ascii="黑体" w:hAnsi="黑体" w:eastAsia="黑体" w:cs="黑体"/>
          <w:color w:val="000000" w:themeColor="text1"/>
          <w:sz w:val="32"/>
          <w:szCs w:val="32"/>
          <w:highlight w:val="none"/>
          <w14:textFill>
            <w14:solidFill>
              <w14:schemeClr w14:val="tx1"/>
            </w14:solidFill>
          </w14:textFill>
        </w:rPr>
        <w:t>和裁判员</w:t>
      </w:r>
    </w:p>
    <w:p w14:paraId="05EA03CF">
      <w:pPr>
        <w:pStyle w:val="3"/>
        <w:keepNext w:val="0"/>
        <w:keepLines w:val="0"/>
        <w:pageBreakBefore w:val="0"/>
        <w:widowControl w:val="0"/>
        <w:kinsoku/>
        <w:wordWrap/>
        <w:overflowPunct/>
        <w:topLinePunct w:val="0"/>
        <w:bidi w:val="0"/>
        <w:adjustRightInd/>
        <w:snapToGrid/>
        <w:spacing w:line="530" w:lineRule="exact"/>
        <w:ind w:left="0" w:firstLine="640" w:firstLineChars="200"/>
        <w:jc w:val="left"/>
        <w:textAlignment w:val="auto"/>
        <w:rPr>
          <w:rFonts w:hint="eastAsia" w:ascii="仿宋_GB2312" w:hAnsi="Times New Roman" w:eastAsia="仿宋_GB2312" w:cs="仿宋_GB2312"/>
          <w:sz w:val="32"/>
          <w:szCs w:val="32"/>
          <w:highlight w:val="none"/>
          <w:lang w:eastAsia="zh-CN"/>
        </w:rPr>
      </w:pPr>
      <w:r>
        <w:rPr>
          <w:rFonts w:hint="eastAsia" w:ascii="仿宋_GB2312" w:hAnsi="Times New Roman" w:eastAsia="仿宋_GB2312" w:cs="仿宋_GB2312"/>
          <w:sz w:val="32"/>
          <w:szCs w:val="32"/>
          <w:highlight w:val="none"/>
          <w:lang w:eastAsia="zh-CN"/>
        </w:rPr>
        <w:t>（一）在本次比赛中发生的纠纷，先提交竞赛委员会处理，对处理结果不服，可以依法向中国体育仲裁委员会申请仲裁。</w:t>
      </w:r>
    </w:p>
    <w:p w14:paraId="492CCF6D">
      <w:pPr>
        <w:keepNext w:val="0"/>
        <w:keepLines w:val="0"/>
        <w:pageBreakBefore w:val="0"/>
        <w:widowControl w:val="0"/>
        <w:kinsoku/>
        <w:wordWrap/>
        <w:overflowPunct/>
        <w:topLinePunct w:val="0"/>
        <w:bidi w:val="0"/>
        <w:adjustRightInd/>
        <w:snapToGrid/>
        <w:spacing w:line="530" w:lineRule="exact"/>
        <w:ind w:firstLine="640" w:firstLineChars="200"/>
        <w:textAlignment w:val="auto"/>
        <w:rPr>
          <w:rFonts w:ascii="仿宋_GB2312" w:hAnsi="Times New Roman" w:eastAsia="仿宋_GB2312" w:cs="仿宋_GB2312"/>
          <w:color w:val="000000" w:themeColor="text1"/>
          <w:sz w:val="32"/>
          <w:szCs w:val="32"/>
          <w:highlight w:val="none"/>
          <w14:textFill>
            <w14:solidFill>
              <w14:schemeClr w14:val="tx1"/>
            </w14:solidFill>
          </w14:textFill>
        </w:rPr>
      </w:pPr>
      <w:r>
        <w:rPr>
          <w:rFonts w:hint="eastAsia" w:ascii="仿宋_GB2312" w:hAnsi="Times New Roman" w:eastAsia="仿宋_GB2312" w:cs="仿宋_GB2312"/>
          <w:color w:val="000000" w:themeColor="text1"/>
          <w:sz w:val="32"/>
          <w:szCs w:val="32"/>
          <w:highlight w:val="none"/>
          <w14:textFill>
            <w14:solidFill>
              <w14:schemeClr w14:val="tx1"/>
            </w14:solidFill>
          </w14:textFill>
        </w:rPr>
        <w:t>（</w:t>
      </w:r>
      <w:r>
        <w:rPr>
          <w:rFonts w:hint="eastAsia" w:ascii="仿宋_GB2312" w:hAnsi="Times New Roman"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Times New Roman" w:eastAsia="仿宋_GB2312" w:cs="仿宋_GB2312"/>
          <w:color w:val="000000" w:themeColor="text1"/>
          <w:sz w:val="32"/>
          <w:szCs w:val="32"/>
          <w:highlight w:val="none"/>
          <w14:textFill>
            <w14:solidFill>
              <w14:schemeClr w14:val="tx1"/>
            </w14:solidFill>
          </w14:textFill>
        </w:rPr>
        <w:t>）所有裁判员由北京市体育竞赛管理和国际交流中心商北京市</w:t>
      </w:r>
      <w:r>
        <w:rPr>
          <w:rFonts w:hint="eastAsia" w:ascii="仿宋_GB2312" w:hAnsi="Times New Roman" w:eastAsia="仿宋_GB2312" w:cs="仿宋_GB2312"/>
          <w:color w:val="000000" w:themeColor="text1"/>
          <w:sz w:val="32"/>
          <w:szCs w:val="32"/>
          <w:highlight w:val="none"/>
          <w:lang w:eastAsia="zh-CN"/>
          <w14:textFill>
            <w14:solidFill>
              <w14:schemeClr w14:val="tx1"/>
            </w14:solidFill>
          </w14:textFill>
        </w:rPr>
        <w:t>极限运动</w:t>
      </w:r>
      <w:r>
        <w:rPr>
          <w:rFonts w:hint="eastAsia" w:ascii="仿宋_GB2312" w:hAnsi="Times New Roman" w:eastAsia="仿宋_GB2312" w:cs="仿宋_GB2312"/>
          <w:color w:val="000000" w:themeColor="text1"/>
          <w:sz w:val="32"/>
          <w:szCs w:val="32"/>
          <w:highlight w:val="none"/>
          <w14:textFill>
            <w14:solidFill>
              <w14:schemeClr w14:val="tx1"/>
            </w14:solidFill>
          </w14:textFill>
        </w:rPr>
        <w:t>协会统一选派。</w:t>
      </w:r>
    </w:p>
    <w:p w14:paraId="0EBB9E64">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十四、本规程解释、修改权属北京市体育竞赛管理和国际交流中心，未尽事宜由承办单位另行通知。</w:t>
      </w:r>
    </w:p>
    <w:p w14:paraId="3AA25EB0">
      <w:pPr>
        <w:keepNext w:val="0"/>
        <w:keepLines w:val="0"/>
        <w:pageBreakBefore w:val="0"/>
        <w:widowControl w:val="0"/>
        <w:kinsoku/>
        <w:wordWrap/>
        <w:overflowPunct/>
        <w:topLinePunct w:val="0"/>
        <w:autoSpaceDE/>
        <w:autoSpaceDN/>
        <w:bidi w:val="0"/>
        <w:adjustRightInd/>
        <w:snapToGrid/>
        <w:spacing w:line="530" w:lineRule="exact"/>
        <w:jc w:val="both"/>
        <w:textAlignment w:val="auto"/>
        <w:outlineLvl w:val="9"/>
        <w:rPr>
          <w:rFonts w:hint="eastAsia" w:ascii="黑体" w:hAnsi="黑体" w:eastAsia="黑体" w:cs="黑体"/>
          <w:color w:val="000000" w:themeColor="text1"/>
          <w:sz w:val="32"/>
          <w:szCs w:val="32"/>
          <w:highlight w:val="none"/>
          <w14:textFill>
            <w14:solidFill>
              <w14:schemeClr w14:val="tx1"/>
            </w14:solidFill>
          </w14:textFill>
        </w:rPr>
      </w:pPr>
    </w:p>
    <w:p w14:paraId="7B84F25B">
      <w:pPr>
        <w:keepNext w:val="0"/>
        <w:keepLines w:val="0"/>
        <w:pageBreakBefore w:val="0"/>
        <w:widowControl w:val="0"/>
        <w:kinsoku/>
        <w:wordWrap/>
        <w:overflowPunct/>
        <w:topLinePunct w:val="0"/>
        <w:autoSpaceDE/>
        <w:autoSpaceDN/>
        <w:bidi w:val="0"/>
        <w:adjustRightInd/>
        <w:snapToGrid/>
        <w:spacing w:line="530" w:lineRule="exact"/>
        <w:jc w:val="both"/>
        <w:textAlignment w:val="auto"/>
        <w:outlineLvl w:val="9"/>
        <w:rPr>
          <w:rFonts w:hint="eastAsia" w:ascii="黑体" w:hAnsi="黑体" w:eastAsia="黑体" w:cs="黑体"/>
          <w:color w:val="000000" w:themeColor="text1"/>
          <w:sz w:val="32"/>
          <w:szCs w:val="32"/>
          <w:highlight w:val="none"/>
          <w14:textFill>
            <w14:solidFill>
              <w14:schemeClr w14:val="tx1"/>
            </w14:solidFill>
          </w14:textFill>
        </w:rPr>
      </w:pPr>
    </w:p>
    <w:p w14:paraId="74EA3EEC">
      <w:pPr>
        <w:keepNext w:val="0"/>
        <w:keepLines w:val="0"/>
        <w:pageBreakBefore w:val="0"/>
        <w:widowControl w:val="0"/>
        <w:kinsoku/>
        <w:wordWrap/>
        <w:overflowPunct/>
        <w:topLinePunct w:val="0"/>
        <w:autoSpaceDE/>
        <w:autoSpaceDN/>
        <w:bidi w:val="0"/>
        <w:adjustRightInd/>
        <w:snapToGrid/>
        <w:spacing w:line="530" w:lineRule="exact"/>
        <w:jc w:val="both"/>
        <w:textAlignment w:val="auto"/>
        <w:outlineLvl w:val="9"/>
        <w:rPr>
          <w:rFonts w:hint="eastAsia" w:ascii="黑体" w:hAnsi="黑体" w:eastAsia="黑体" w:cs="黑体"/>
          <w:color w:val="000000" w:themeColor="text1"/>
          <w:sz w:val="32"/>
          <w:szCs w:val="32"/>
          <w:highlight w:val="none"/>
          <w14:textFill>
            <w14:solidFill>
              <w14:schemeClr w14:val="tx1"/>
            </w14:solidFill>
          </w14:textFill>
        </w:rPr>
      </w:pPr>
    </w:p>
    <w:p w14:paraId="5023474D">
      <w:pPr>
        <w:keepNext w:val="0"/>
        <w:keepLines w:val="0"/>
        <w:pageBreakBefore w:val="0"/>
        <w:widowControl w:val="0"/>
        <w:kinsoku/>
        <w:wordWrap/>
        <w:overflowPunct/>
        <w:topLinePunct w:val="0"/>
        <w:autoSpaceDE/>
        <w:autoSpaceDN/>
        <w:bidi w:val="0"/>
        <w:adjustRightInd/>
        <w:snapToGrid/>
        <w:spacing w:line="530" w:lineRule="exact"/>
        <w:jc w:val="both"/>
        <w:textAlignment w:val="auto"/>
        <w:outlineLvl w:val="9"/>
        <w:rPr>
          <w:rFonts w:hint="eastAsia" w:ascii="黑体" w:hAnsi="黑体" w:eastAsia="黑体" w:cs="黑体"/>
          <w:color w:val="000000" w:themeColor="text1"/>
          <w:sz w:val="32"/>
          <w:szCs w:val="32"/>
          <w:highlight w:val="none"/>
          <w14:textFill>
            <w14:solidFill>
              <w14:schemeClr w14:val="tx1"/>
            </w14:solidFill>
          </w14:textFill>
        </w:rPr>
      </w:pPr>
    </w:p>
    <w:p w14:paraId="61E80DB0">
      <w:pPr>
        <w:keepNext w:val="0"/>
        <w:keepLines w:val="0"/>
        <w:pageBreakBefore w:val="0"/>
        <w:widowControl w:val="0"/>
        <w:kinsoku/>
        <w:wordWrap/>
        <w:overflowPunct/>
        <w:topLinePunct w:val="0"/>
        <w:autoSpaceDE/>
        <w:autoSpaceDN/>
        <w:bidi w:val="0"/>
        <w:adjustRightInd/>
        <w:snapToGrid/>
        <w:spacing w:line="530" w:lineRule="exact"/>
        <w:jc w:val="both"/>
        <w:textAlignment w:val="auto"/>
        <w:outlineLvl w:val="9"/>
        <w:rPr>
          <w:rFonts w:hint="eastAsia" w:ascii="黑体" w:hAnsi="黑体" w:eastAsia="黑体" w:cs="黑体"/>
          <w:color w:val="000000" w:themeColor="text1"/>
          <w:sz w:val="32"/>
          <w:szCs w:val="32"/>
          <w:highlight w:val="none"/>
          <w14:textFill>
            <w14:solidFill>
              <w14:schemeClr w14:val="tx1"/>
            </w14:solidFill>
          </w14:textFill>
        </w:rPr>
      </w:pPr>
    </w:p>
    <w:p w14:paraId="6DE4407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820F5"/>
    <w:rsid w:val="3AF820F5"/>
    <w:rsid w:val="4B994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List"/>
    <w:basedOn w:val="1"/>
    <w:qFormat/>
    <w:uiPriority w:val="99"/>
    <w:pPr>
      <w:ind w:left="200" w:hanging="200" w:hangingChars="200"/>
      <w:contextualSpacing/>
    </w:pPr>
    <w:rPr>
      <w:rFonts w:eastAsia="方正仿宋简体" w:cs="Times New Roman"/>
      <w:sz w:val="32"/>
      <w:szCs w:val="2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2026-05-11T07:01:00Z</dcterms:created>
  <dc:creator>邓莹</dc:creator>
  <cp:lastModifiedBy>邓莹</cp:lastModifiedBy>
  <dcterms:modified xsi:type="dcterms:W3CDTF">2026-05-11T07:03:27Z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6023B9CE50EB4E70AE7BF353EB8DB390_11</vt:lpwstr>
  </property>
  <property fmtid="{D5CDD505-2E9C-101B-9397-08002B2CF9AE}" pid="4" name="KSOTemplateDocerSaveRecord">
    <vt:lpwstr>eyJoZGlkIjoiYTY5NDMxOTQyYzA4NTYxYzM3YmQ4ZTUxZTVkNzFiNDciLCJ1c2VySWQiOiIyODg1ODUwMTQifQ==</vt:lpwstr>
  </property>
</Properties>
</file>