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5AB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sz w:val="32"/>
          <w:szCs w:val="32"/>
          <w:lang w:val="en-US" w:eastAsia="zh-CN"/>
        </w:rPr>
      </w:pPr>
      <w:r>
        <w:rPr>
          <w:rFonts w:hint="eastAsia" w:ascii="黑体" w:eastAsia="黑体"/>
          <w:sz w:val="32"/>
          <w:szCs w:val="32"/>
          <w:lang w:eastAsia="zh-CN"/>
        </w:rPr>
        <w:t>附件</w:t>
      </w:r>
      <w:r>
        <w:rPr>
          <w:rFonts w:hint="eastAsia" w:ascii="黑体" w:eastAsia="黑体"/>
          <w:sz w:val="32"/>
          <w:szCs w:val="32"/>
          <w:lang w:val="en-US" w:eastAsia="zh-CN"/>
        </w:rPr>
        <w:t>4</w:t>
      </w:r>
    </w:p>
    <w:p w14:paraId="60F4E64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sz w:val="32"/>
          <w:szCs w:val="32"/>
          <w:lang w:val="en-US" w:eastAsia="zh-CN"/>
        </w:rPr>
      </w:pPr>
    </w:p>
    <w:p w14:paraId="4C869B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2026年北京市青少年拳击锦标赛竞赛规程</w:t>
      </w:r>
    </w:p>
    <w:p w14:paraId="5FF797C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sz w:val="32"/>
          <w:szCs w:val="32"/>
          <w:lang w:val="en-US" w:eastAsia="zh-CN"/>
        </w:rPr>
      </w:pPr>
    </w:p>
    <w:p w14:paraId="6CBF9BEA">
      <w:pPr>
        <w:keepNext w:val="0"/>
        <w:keepLines w:val="0"/>
        <w:pageBreakBefore w:val="0"/>
        <w:widowControl w:val="0"/>
        <w:kinsoku/>
        <w:wordWrap/>
        <w:topLinePunct w:val="0"/>
        <w:bidi w:val="0"/>
        <w:snapToGrid/>
        <w:spacing w:line="560" w:lineRule="exact"/>
        <w:ind w:firstLine="640" w:firstLineChars="200"/>
        <w:textAlignment w:val="auto"/>
        <w:outlineLvl w:val="0"/>
        <w:rPr>
          <w:rFonts w:ascii="黑体" w:hAnsi="仿宋" w:eastAsia="黑体" w:cs="Times New Roman"/>
          <w:color w:val="000000"/>
          <w:sz w:val="32"/>
          <w:szCs w:val="32"/>
        </w:rPr>
      </w:pPr>
      <w:r>
        <w:rPr>
          <w:rFonts w:hint="eastAsia" w:ascii="黑体" w:hAnsi="仿宋" w:eastAsia="黑体" w:cs="黑体"/>
          <w:color w:val="000000"/>
          <w:sz w:val="32"/>
          <w:szCs w:val="32"/>
        </w:rPr>
        <w:t>一、主办单位</w:t>
      </w:r>
    </w:p>
    <w:p w14:paraId="0ABF934F">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北京市体育局</w:t>
      </w:r>
    </w:p>
    <w:p w14:paraId="0C7BF105">
      <w:pPr>
        <w:keepNext w:val="0"/>
        <w:keepLines w:val="0"/>
        <w:pageBreakBefore w:val="0"/>
        <w:widowControl w:val="0"/>
        <w:kinsoku/>
        <w:wordWrap/>
        <w:topLinePunct w:val="0"/>
        <w:bidi w:val="0"/>
        <w:snapToGrid/>
        <w:spacing w:line="560" w:lineRule="exact"/>
        <w:ind w:firstLine="640" w:firstLineChars="200"/>
        <w:textAlignment w:val="auto"/>
        <w:rPr>
          <w:rFonts w:hAnsi="仿宋" w:cs="Times New Roman"/>
          <w:color w:val="000000"/>
          <w:sz w:val="32"/>
          <w:szCs w:val="32"/>
        </w:rPr>
      </w:pPr>
      <w:r>
        <w:rPr>
          <w:rFonts w:hint="eastAsia" w:hAnsi="仿宋" w:cs="Times New Roman"/>
          <w:color w:val="000000"/>
          <w:sz w:val="32"/>
          <w:szCs w:val="32"/>
        </w:rPr>
        <w:t>北京市教育委员会</w:t>
      </w:r>
    </w:p>
    <w:p w14:paraId="64B4719F">
      <w:pPr>
        <w:keepNext w:val="0"/>
        <w:keepLines w:val="0"/>
        <w:pageBreakBefore w:val="0"/>
        <w:widowControl w:val="0"/>
        <w:kinsoku/>
        <w:wordWrap/>
        <w:topLinePunct w:val="0"/>
        <w:bidi w:val="0"/>
        <w:snapToGrid/>
        <w:spacing w:line="560" w:lineRule="exact"/>
        <w:ind w:firstLine="640" w:firstLineChars="200"/>
        <w:textAlignment w:val="auto"/>
        <w:outlineLvl w:val="0"/>
        <w:rPr>
          <w:rFonts w:ascii="黑体" w:hAnsi="仿宋" w:eastAsia="黑体" w:cs="Times New Roman"/>
          <w:color w:val="000000"/>
          <w:sz w:val="32"/>
          <w:szCs w:val="32"/>
        </w:rPr>
      </w:pPr>
      <w:r>
        <w:rPr>
          <w:rFonts w:hint="eastAsia" w:ascii="黑体" w:hAnsi="仿宋" w:eastAsia="黑体" w:cs="黑体"/>
          <w:color w:val="000000"/>
          <w:sz w:val="32"/>
          <w:szCs w:val="32"/>
        </w:rPr>
        <w:t>二、承办单位</w:t>
      </w:r>
    </w:p>
    <w:p w14:paraId="07B35615">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sz w:val="32"/>
          <w:szCs w:val="32"/>
          <w:lang w:val="en-US" w:eastAsia="zh-CN"/>
        </w:rPr>
      </w:pPr>
      <w:r>
        <w:rPr>
          <w:rFonts w:hint="eastAsia" w:hAnsi="仿宋"/>
          <w:color w:val="000000"/>
          <w:sz w:val="32"/>
          <w:szCs w:val="32"/>
        </w:rPr>
        <w:t>北京市体育竞赛管理和国际交流中心</w:t>
      </w:r>
      <w:bookmarkStart w:id="0" w:name="OLE_LINK3"/>
    </w:p>
    <w:p w14:paraId="322B062B">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sz w:val="32"/>
          <w:szCs w:val="32"/>
          <w:lang w:val="en-US" w:eastAsia="zh-CN"/>
        </w:rPr>
      </w:pPr>
      <w:r>
        <w:rPr>
          <w:rFonts w:hint="eastAsia" w:hAnsi="仿宋"/>
          <w:color w:val="000000"/>
          <w:sz w:val="32"/>
          <w:szCs w:val="32"/>
          <w:lang w:val="en-US" w:eastAsia="zh-CN"/>
        </w:rPr>
        <w:t>北京市房山区体育局</w:t>
      </w:r>
    </w:p>
    <w:p w14:paraId="08515019">
      <w:pPr>
        <w:keepNext w:val="0"/>
        <w:keepLines w:val="0"/>
        <w:pageBreakBefore w:val="0"/>
        <w:widowControl w:val="0"/>
        <w:kinsoku/>
        <w:wordWrap/>
        <w:topLinePunct w:val="0"/>
        <w:bidi w:val="0"/>
        <w:snapToGrid/>
        <w:spacing w:line="560" w:lineRule="exact"/>
        <w:ind w:firstLine="640" w:firstLineChars="200"/>
        <w:textAlignment w:val="auto"/>
        <w:rPr>
          <w:rFonts w:hint="default" w:hAnsi="仿宋"/>
          <w:color w:val="000000"/>
          <w:sz w:val="32"/>
          <w:szCs w:val="32"/>
          <w:lang w:val="en-US" w:eastAsia="zh-CN"/>
        </w:rPr>
      </w:pPr>
      <w:r>
        <w:rPr>
          <w:rFonts w:hint="eastAsia" w:hAnsi="仿宋"/>
          <w:color w:val="000000"/>
          <w:sz w:val="32"/>
          <w:szCs w:val="32"/>
        </w:rPr>
        <w:t>北京市</w:t>
      </w:r>
      <w:r>
        <w:rPr>
          <w:rFonts w:hint="eastAsia" w:hAnsi="仿宋"/>
          <w:color w:val="000000"/>
          <w:sz w:val="32"/>
          <w:szCs w:val="32"/>
          <w:lang w:val="en-US" w:eastAsia="zh-CN"/>
        </w:rPr>
        <w:t>拳击协会</w:t>
      </w:r>
    </w:p>
    <w:p w14:paraId="0CE34216">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北京芯泰山大数据科技有限公司</w:t>
      </w:r>
    </w:p>
    <w:bookmarkEnd w:id="0"/>
    <w:p w14:paraId="50CDBB8D">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rPr>
        <w:t>三、时间和地点</w:t>
      </w:r>
    </w:p>
    <w:p w14:paraId="4D892EC8">
      <w:pPr>
        <w:keepNext w:val="0"/>
        <w:keepLines w:val="0"/>
        <w:pageBreakBefore w:val="0"/>
        <w:widowControl w:val="0"/>
        <w:kinsoku/>
        <w:wordWrap/>
        <w:topLinePunct w:val="0"/>
        <w:bidi w:val="0"/>
        <w:snapToGrid/>
        <w:spacing w:line="560" w:lineRule="exact"/>
        <w:ind w:firstLine="640" w:firstLineChars="200"/>
        <w:textAlignment w:val="auto"/>
        <w:rPr>
          <w:rFonts w:hint="default" w:hAnsi="仿宋"/>
          <w:sz w:val="32"/>
          <w:szCs w:val="32"/>
          <w:highlight w:val="yellow"/>
          <w:lang w:val="en-US" w:eastAsia="zh-CN"/>
        </w:rPr>
      </w:pPr>
      <w:r>
        <w:rPr>
          <w:rFonts w:hint="eastAsia"/>
          <w:sz w:val="32"/>
          <w:szCs w:val="32"/>
        </w:rPr>
        <w:t>202</w:t>
      </w:r>
      <w:r>
        <w:rPr>
          <w:sz w:val="32"/>
          <w:szCs w:val="32"/>
        </w:rPr>
        <w:t>6</w:t>
      </w:r>
      <w:r>
        <w:rPr>
          <w:rFonts w:hint="eastAsia"/>
          <w:sz w:val="32"/>
          <w:szCs w:val="32"/>
        </w:rPr>
        <w:t>年</w:t>
      </w:r>
      <w:r>
        <w:rPr>
          <w:sz w:val="32"/>
          <w:szCs w:val="32"/>
        </w:rPr>
        <w:t>5</w:t>
      </w:r>
      <w:r>
        <w:rPr>
          <w:rFonts w:hint="eastAsia"/>
          <w:sz w:val="32"/>
          <w:szCs w:val="32"/>
        </w:rPr>
        <w:t>月</w:t>
      </w:r>
      <w:r>
        <w:rPr>
          <w:rFonts w:hint="eastAsia"/>
          <w:sz w:val="32"/>
          <w:szCs w:val="32"/>
          <w:lang w:val="en-US" w:eastAsia="zh-CN"/>
        </w:rPr>
        <w:t>30</w:t>
      </w:r>
      <w:r>
        <w:rPr>
          <w:rFonts w:hint="eastAsia"/>
          <w:sz w:val="32"/>
          <w:szCs w:val="32"/>
        </w:rPr>
        <w:t>日-</w:t>
      </w:r>
      <w:r>
        <w:rPr>
          <w:rFonts w:hint="eastAsia"/>
          <w:sz w:val="32"/>
          <w:szCs w:val="32"/>
          <w:lang w:val="en-US" w:eastAsia="zh-CN"/>
        </w:rPr>
        <w:t>6月1</w:t>
      </w:r>
      <w:r>
        <w:rPr>
          <w:rFonts w:hint="eastAsia"/>
          <w:sz w:val="32"/>
          <w:szCs w:val="32"/>
        </w:rPr>
        <w:t>日</w:t>
      </w:r>
      <w:r>
        <w:rPr>
          <w:rFonts w:hint="eastAsia" w:hAnsi="仿宋"/>
          <w:sz w:val="32"/>
          <w:szCs w:val="32"/>
        </w:rPr>
        <w:t>在</w:t>
      </w:r>
      <w:bookmarkStart w:id="1" w:name="OLE_LINK2"/>
      <w:r>
        <w:rPr>
          <w:rFonts w:hint="eastAsia" w:hAnsi="仿宋"/>
          <w:sz w:val="32"/>
          <w:szCs w:val="32"/>
        </w:rPr>
        <w:t>良乡体育中心综合馆</w:t>
      </w:r>
      <w:bookmarkEnd w:id="1"/>
    </w:p>
    <w:p w14:paraId="3D45FF2A">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四、竞赛组别及项目</w:t>
      </w:r>
    </w:p>
    <w:p w14:paraId="42916EB4">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（一）竞赛组别</w:t>
      </w:r>
    </w:p>
    <w:p w14:paraId="1CD8622A">
      <w:pPr>
        <w:keepNext w:val="0"/>
        <w:keepLines w:val="0"/>
        <w:pageBreakBefore w:val="0"/>
        <w:widowControl w:val="0"/>
        <w:kinsoku/>
        <w:wordWrap/>
        <w:topLinePunct w:val="0"/>
        <w:bidi w:val="0"/>
        <w:snapToGrid/>
        <w:spacing w:line="560" w:lineRule="exact"/>
        <w:ind w:firstLine="576" w:firstLineChars="200"/>
        <w:textAlignment w:val="auto"/>
        <w:rPr>
          <w:rFonts w:hint="eastAsia" w:hAnsi="仿宋" w:eastAsia="仿宋_GB2312"/>
          <w:w w:val="90"/>
          <w:sz w:val="32"/>
          <w:szCs w:val="32"/>
          <w:lang w:eastAsia="zh-CN"/>
        </w:rPr>
      </w:pPr>
      <w:r>
        <w:rPr>
          <w:rFonts w:hAnsi="仿宋"/>
          <w:w w:val="90"/>
          <w:sz w:val="32"/>
          <w:szCs w:val="32"/>
        </w:rPr>
        <w:t>男子</w:t>
      </w:r>
      <w:r>
        <w:rPr>
          <w:rFonts w:hint="eastAsia" w:hAnsi="仿宋"/>
          <w:w w:val="90"/>
          <w:sz w:val="32"/>
          <w:szCs w:val="32"/>
        </w:rPr>
        <w:t>甲组：200</w:t>
      </w:r>
      <w:r>
        <w:rPr>
          <w:rFonts w:hAnsi="仿宋"/>
          <w:w w:val="90"/>
          <w:sz w:val="32"/>
          <w:szCs w:val="32"/>
        </w:rPr>
        <w:t>8</w:t>
      </w:r>
      <w:r>
        <w:rPr>
          <w:rFonts w:hint="eastAsia" w:hAnsi="仿宋"/>
          <w:w w:val="90"/>
          <w:sz w:val="32"/>
          <w:szCs w:val="32"/>
        </w:rPr>
        <w:t>年1月1日至200</w:t>
      </w:r>
      <w:r>
        <w:rPr>
          <w:rFonts w:hAnsi="仿宋"/>
          <w:w w:val="90"/>
          <w:sz w:val="32"/>
          <w:szCs w:val="32"/>
        </w:rPr>
        <w:t>9</w:t>
      </w:r>
      <w:r>
        <w:rPr>
          <w:rFonts w:hint="eastAsia" w:hAnsi="仿宋"/>
          <w:w w:val="90"/>
          <w:sz w:val="32"/>
          <w:szCs w:val="32"/>
        </w:rPr>
        <w:t>年12月31日出生（17至18岁）</w:t>
      </w:r>
    </w:p>
    <w:p w14:paraId="0C468C85">
      <w:pPr>
        <w:keepNext w:val="0"/>
        <w:keepLines w:val="0"/>
        <w:pageBreakBefore w:val="0"/>
        <w:widowControl w:val="0"/>
        <w:kinsoku/>
        <w:wordWrap/>
        <w:topLinePunct w:val="0"/>
        <w:bidi w:val="0"/>
        <w:snapToGrid/>
        <w:spacing w:line="560" w:lineRule="exact"/>
        <w:ind w:firstLine="576" w:firstLineChars="200"/>
        <w:textAlignment w:val="auto"/>
        <w:rPr>
          <w:rFonts w:hAnsi="仿宋"/>
          <w:w w:val="90"/>
          <w:sz w:val="32"/>
          <w:szCs w:val="32"/>
        </w:rPr>
      </w:pPr>
      <w:r>
        <w:rPr>
          <w:rFonts w:hAnsi="仿宋"/>
          <w:w w:val="90"/>
          <w:sz w:val="32"/>
          <w:szCs w:val="32"/>
        </w:rPr>
        <w:t>男子</w:t>
      </w:r>
      <w:r>
        <w:rPr>
          <w:rFonts w:hint="eastAsia" w:hAnsi="仿宋"/>
          <w:w w:val="90"/>
          <w:sz w:val="32"/>
          <w:szCs w:val="32"/>
        </w:rPr>
        <w:t>乙组：20</w:t>
      </w:r>
      <w:r>
        <w:rPr>
          <w:rFonts w:hAnsi="仿宋"/>
          <w:w w:val="90"/>
          <w:sz w:val="32"/>
          <w:szCs w:val="32"/>
        </w:rPr>
        <w:t>10</w:t>
      </w:r>
      <w:r>
        <w:rPr>
          <w:rFonts w:hint="eastAsia" w:hAnsi="仿宋"/>
          <w:w w:val="90"/>
          <w:sz w:val="32"/>
          <w:szCs w:val="32"/>
        </w:rPr>
        <w:t>年1月1日至20</w:t>
      </w:r>
      <w:r>
        <w:rPr>
          <w:rFonts w:hAnsi="仿宋"/>
          <w:w w:val="90"/>
          <w:sz w:val="32"/>
          <w:szCs w:val="32"/>
        </w:rPr>
        <w:t>11</w:t>
      </w:r>
      <w:r>
        <w:rPr>
          <w:rFonts w:hint="eastAsia" w:hAnsi="仿宋"/>
          <w:w w:val="90"/>
          <w:sz w:val="32"/>
          <w:szCs w:val="32"/>
        </w:rPr>
        <w:t>年12月31日出生（15至16岁）</w:t>
      </w:r>
    </w:p>
    <w:p w14:paraId="667AA08B">
      <w:pPr>
        <w:keepNext w:val="0"/>
        <w:keepLines w:val="0"/>
        <w:pageBreakBefore w:val="0"/>
        <w:widowControl w:val="0"/>
        <w:kinsoku/>
        <w:wordWrap/>
        <w:topLinePunct w:val="0"/>
        <w:bidi w:val="0"/>
        <w:snapToGrid/>
        <w:spacing w:line="560" w:lineRule="exact"/>
        <w:ind w:firstLine="576" w:firstLineChars="200"/>
        <w:textAlignment w:val="auto"/>
        <w:rPr>
          <w:rFonts w:hAnsi="仿宋"/>
          <w:w w:val="90"/>
          <w:sz w:val="32"/>
          <w:szCs w:val="32"/>
        </w:rPr>
      </w:pPr>
      <w:r>
        <w:rPr>
          <w:rFonts w:hint="eastAsia" w:hAnsi="仿宋"/>
          <w:w w:val="90"/>
          <w:sz w:val="32"/>
          <w:szCs w:val="32"/>
        </w:rPr>
        <w:t>女</w:t>
      </w:r>
      <w:r>
        <w:rPr>
          <w:rFonts w:hAnsi="仿宋"/>
          <w:w w:val="90"/>
          <w:sz w:val="32"/>
          <w:szCs w:val="32"/>
        </w:rPr>
        <w:t>子</w:t>
      </w:r>
      <w:r>
        <w:rPr>
          <w:rFonts w:hint="eastAsia" w:hAnsi="仿宋"/>
          <w:w w:val="90"/>
          <w:sz w:val="32"/>
          <w:szCs w:val="32"/>
        </w:rPr>
        <w:t>甲组：200</w:t>
      </w:r>
      <w:r>
        <w:rPr>
          <w:rFonts w:hAnsi="仿宋"/>
          <w:w w:val="90"/>
          <w:sz w:val="32"/>
          <w:szCs w:val="32"/>
        </w:rPr>
        <w:t>8</w:t>
      </w:r>
      <w:r>
        <w:rPr>
          <w:rFonts w:hint="eastAsia" w:hAnsi="仿宋"/>
          <w:w w:val="90"/>
          <w:sz w:val="32"/>
          <w:szCs w:val="32"/>
        </w:rPr>
        <w:t>年1月1日至20</w:t>
      </w:r>
      <w:r>
        <w:rPr>
          <w:rFonts w:hAnsi="仿宋"/>
          <w:w w:val="90"/>
          <w:sz w:val="32"/>
          <w:szCs w:val="32"/>
        </w:rPr>
        <w:t>09</w:t>
      </w:r>
      <w:r>
        <w:rPr>
          <w:rFonts w:hint="eastAsia" w:hAnsi="仿宋"/>
          <w:w w:val="90"/>
          <w:sz w:val="32"/>
          <w:szCs w:val="32"/>
        </w:rPr>
        <w:t>年12月31日出生（1</w:t>
      </w:r>
      <w:r>
        <w:rPr>
          <w:rFonts w:hAnsi="仿宋"/>
          <w:w w:val="90"/>
          <w:sz w:val="32"/>
          <w:szCs w:val="32"/>
        </w:rPr>
        <w:t>7</w:t>
      </w:r>
      <w:r>
        <w:rPr>
          <w:rFonts w:hint="eastAsia" w:hAnsi="仿宋"/>
          <w:w w:val="90"/>
          <w:sz w:val="32"/>
          <w:szCs w:val="32"/>
        </w:rPr>
        <w:t>至1</w:t>
      </w:r>
      <w:r>
        <w:rPr>
          <w:rFonts w:hAnsi="仿宋"/>
          <w:w w:val="90"/>
          <w:sz w:val="32"/>
          <w:szCs w:val="32"/>
        </w:rPr>
        <w:t>8</w:t>
      </w:r>
      <w:r>
        <w:rPr>
          <w:rFonts w:hint="eastAsia" w:hAnsi="仿宋"/>
          <w:w w:val="90"/>
          <w:sz w:val="32"/>
          <w:szCs w:val="32"/>
        </w:rPr>
        <w:t>岁）</w:t>
      </w:r>
    </w:p>
    <w:p w14:paraId="6F4FC22C">
      <w:pPr>
        <w:keepNext w:val="0"/>
        <w:keepLines w:val="0"/>
        <w:pageBreakBefore w:val="0"/>
        <w:widowControl w:val="0"/>
        <w:kinsoku/>
        <w:wordWrap/>
        <w:topLinePunct w:val="0"/>
        <w:bidi w:val="0"/>
        <w:snapToGrid/>
        <w:spacing w:line="560" w:lineRule="exact"/>
        <w:ind w:firstLine="576" w:firstLineChars="200"/>
        <w:textAlignment w:val="auto"/>
        <w:rPr>
          <w:rFonts w:hint="eastAsia" w:hAnsi="仿宋"/>
          <w:sz w:val="32"/>
          <w:szCs w:val="32"/>
        </w:rPr>
      </w:pPr>
      <w:r>
        <w:rPr>
          <w:rFonts w:hAnsi="仿宋"/>
          <w:w w:val="90"/>
          <w:sz w:val="32"/>
          <w:szCs w:val="32"/>
        </w:rPr>
        <w:t>女子</w:t>
      </w:r>
      <w:r>
        <w:rPr>
          <w:rFonts w:hint="eastAsia" w:hAnsi="仿宋"/>
          <w:w w:val="90"/>
          <w:sz w:val="32"/>
          <w:szCs w:val="32"/>
        </w:rPr>
        <w:t>乙组</w:t>
      </w:r>
      <w:r>
        <w:rPr>
          <w:rFonts w:hAnsi="仿宋"/>
          <w:w w:val="90"/>
          <w:sz w:val="32"/>
          <w:szCs w:val="32"/>
        </w:rPr>
        <w:t>：</w:t>
      </w:r>
      <w:r>
        <w:rPr>
          <w:rFonts w:hint="eastAsia" w:hAnsi="仿宋"/>
          <w:w w:val="90"/>
          <w:sz w:val="32"/>
          <w:szCs w:val="32"/>
        </w:rPr>
        <w:t>20</w:t>
      </w:r>
      <w:r>
        <w:rPr>
          <w:rFonts w:hAnsi="仿宋"/>
          <w:w w:val="90"/>
          <w:sz w:val="32"/>
          <w:szCs w:val="32"/>
        </w:rPr>
        <w:t>10</w:t>
      </w:r>
      <w:r>
        <w:rPr>
          <w:rFonts w:hint="eastAsia" w:hAnsi="仿宋"/>
          <w:w w:val="90"/>
          <w:sz w:val="32"/>
          <w:szCs w:val="32"/>
        </w:rPr>
        <w:t>年1月1日至20</w:t>
      </w:r>
      <w:r>
        <w:rPr>
          <w:rFonts w:hAnsi="仿宋"/>
          <w:w w:val="90"/>
          <w:sz w:val="32"/>
          <w:szCs w:val="32"/>
        </w:rPr>
        <w:t>11</w:t>
      </w:r>
      <w:r>
        <w:rPr>
          <w:rFonts w:hint="eastAsia" w:hAnsi="仿宋"/>
          <w:w w:val="90"/>
          <w:sz w:val="32"/>
          <w:szCs w:val="32"/>
        </w:rPr>
        <w:t>年12月31日出生（</w:t>
      </w:r>
      <w:r>
        <w:rPr>
          <w:rFonts w:hAnsi="仿宋"/>
          <w:w w:val="90"/>
          <w:sz w:val="32"/>
          <w:szCs w:val="32"/>
        </w:rPr>
        <w:t>15</w:t>
      </w:r>
      <w:r>
        <w:rPr>
          <w:rFonts w:hint="eastAsia" w:hAnsi="仿宋"/>
          <w:w w:val="90"/>
          <w:sz w:val="32"/>
          <w:szCs w:val="32"/>
        </w:rPr>
        <w:t>至1</w:t>
      </w:r>
      <w:r>
        <w:rPr>
          <w:rFonts w:hAnsi="仿宋"/>
          <w:w w:val="90"/>
          <w:sz w:val="32"/>
          <w:szCs w:val="32"/>
        </w:rPr>
        <w:t>6</w:t>
      </w:r>
      <w:r>
        <w:rPr>
          <w:rFonts w:hint="eastAsia" w:hAnsi="仿宋"/>
          <w:w w:val="90"/>
          <w:sz w:val="32"/>
          <w:szCs w:val="32"/>
        </w:rPr>
        <w:t>岁）</w:t>
      </w:r>
    </w:p>
    <w:p w14:paraId="1C78320D">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（二）竞赛项目</w:t>
      </w:r>
    </w:p>
    <w:p w14:paraId="212C23CA">
      <w:pPr>
        <w:keepNext w:val="0"/>
        <w:keepLines w:val="0"/>
        <w:pageBreakBefore w:val="0"/>
        <w:widowControl w:val="0"/>
        <w:kinsoku/>
        <w:wordWrap/>
        <w:topLinePunct w:val="0"/>
        <w:bidi w:val="0"/>
        <w:snapToGrid/>
        <w:spacing w:line="560" w:lineRule="exact"/>
        <w:ind w:firstLine="700" w:firstLineChars="250"/>
        <w:textAlignment w:val="auto"/>
        <w:rPr>
          <w:rFonts w:hAnsi="仿宋"/>
          <w:spacing w:val="-20"/>
          <w:sz w:val="32"/>
          <w:szCs w:val="32"/>
        </w:rPr>
      </w:pPr>
      <w:r>
        <w:rPr>
          <w:rFonts w:hAnsi="仿宋"/>
          <w:spacing w:val="-20"/>
          <w:sz w:val="32"/>
          <w:szCs w:val="32"/>
        </w:rPr>
        <w:t>男子</w:t>
      </w:r>
      <w:r>
        <w:rPr>
          <w:rFonts w:hint="eastAsia" w:hAnsi="仿宋"/>
          <w:spacing w:val="-20"/>
          <w:sz w:val="32"/>
          <w:szCs w:val="32"/>
        </w:rPr>
        <w:t>甲组</w:t>
      </w:r>
      <w:r>
        <w:rPr>
          <w:rFonts w:hAnsi="仿宋"/>
          <w:spacing w:val="-20"/>
          <w:sz w:val="32"/>
          <w:szCs w:val="32"/>
        </w:rPr>
        <w:t>：</w:t>
      </w:r>
      <w:r>
        <w:rPr>
          <w:rFonts w:hint="eastAsia" w:hAnsi="仿宋"/>
          <w:spacing w:val="-20"/>
          <w:sz w:val="32"/>
          <w:szCs w:val="32"/>
        </w:rPr>
        <w:t>48-51公斤级、54-57公斤级、60-63.5公斤级、67-71公斤级、75-80公斤级、86-92公斤级、92以上公斤级</w:t>
      </w:r>
      <w:r>
        <w:rPr>
          <w:rFonts w:hint="eastAsia" w:cs="Calibri"/>
          <w:sz w:val="32"/>
          <w:szCs w:val="32"/>
        </w:rPr>
        <w:t>；</w:t>
      </w:r>
    </w:p>
    <w:p w14:paraId="22B15611">
      <w:pPr>
        <w:keepNext w:val="0"/>
        <w:keepLines w:val="0"/>
        <w:pageBreakBefore w:val="0"/>
        <w:widowControl w:val="0"/>
        <w:kinsoku/>
        <w:wordWrap/>
        <w:topLinePunct w:val="0"/>
        <w:bidi w:val="0"/>
        <w:snapToGrid/>
        <w:spacing w:line="560" w:lineRule="exact"/>
        <w:ind w:firstLine="700" w:firstLineChars="250"/>
        <w:textAlignment w:val="auto"/>
        <w:rPr>
          <w:rFonts w:hAnsi="仿宋"/>
          <w:spacing w:val="-20"/>
          <w:sz w:val="32"/>
          <w:szCs w:val="32"/>
        </w:rPr>
      </w:pPr>
      <w:r>
        <w:rPr>
          <w:rFonts w:hAnsi="仿宋"/>
          <w:spacing w:val="-20"/>
          <w:sz w:val="32"/>
          <w:szCs w:val="32"/>
        </w:rPr>
        <w:t>男子</w:t>
      </w:r>
      <w:r>
        <w:rPr>
          <w:rFonts w:hint="eastAsia" w:hAnsi="仿宋"/>
          <w:spacing w:val="-20"/>
          <w:sz w:val="32"/>
          <w:szCs w:val="32"/>
        </w:rPr>
        <w:t>乙组</w:t>
      </w:r>
      <w:r>
        <w:rPr>
          <w:rFonts w:hAnsi="仿宋"/>
          <w:spacing w:val="-20"/>
          <w:sz w:val="32"/>
          <w:szCs w:val="32"/>
        </w:rPr>
        <w:t>：</w:t>
      </w:r>
      <w:r>
        <w:rPr>
          <w:rFonts w:hint="eastAsia" w:hAnsi="仿宋"/>
          <w:spacing w:val="-20"/>
          <w:sz w:val="32"/>
          <w:szCs w:val="32"/>
        </w:rPr>
        <w:t>46-48公斤级、50-52公斤级、54-57公斤级、60-63公斤级、66-70公斤级、70-75公斤级、80以上公斤级</w:t>
      </w:r>
      <w:r>
        <w:rPr>
          <w:rFonts w:hint="eastAsia" w:cs="Calibri"/>
          <w:sz w:val="32"/>
          <w:szCs w:val="32"/>
        </w:rPr>
        <w:t>；</w:t>
      </w:r>
    </w:p>
    <w:p w14:paraId="7626B490">
      <w:pPr>
        <w:keepNext w:val="0"/>
        <w:keepLines w:val="0"/>
        <w:pageBreakBefore w:val="0"/>
        <w:widowControl w:val="0"/>
        <w:kinsoku/>
        <w:wordWrap/>
        <w:topLinePunct w:val="0"/>
        <w:bidi w:val="0"/>
        <w:snapToGrid/>
        <w:spacing w:line="560" w:lineRule="exact"/>
        <w:ind w:firstLine="700" w:firstLineChars="250"/>
        <w:textAlignment w:val="auto"/>
        <w:rPr>
          <w:rFonts w:hAnsi="仿宋"/>
          <w:spacing w:val="-20"/>
          <w:sz w:val="32"/>
          <w:szCs w:val="32"/>
        </w:rPr>
      </w:pPr>
      <w:r>
        <w:rPr>
          <w:rFonts w:hAnsi="仿宋"/>
          <w:spacing w:val="-20"/>
          <w:sz w:val="32"/>
          <w:szCs w:val="32"/>
        </w:rPr>
        <w:t>女子</w:t>
      </w:r>
      <w:r>
        <w:rPr>
          <w:rFonts w:hint="eastAsia" w:hAnsi="仿宋"/>
          <w:spacing w:val="-20"/>
          <w:sz w:val="32"/>
          <w:szCs w:val="32"/>
        </w:rPr>
        <w:t>甲组</w:t>
      </w:r>
      <w:r>
        <w:rPr>
          <w:rFonts w:hAnsi="仿宋"/>
          <w:spacing w:val="-20"/>
          <w:sz w:val="32"/>
          <w:szCs w:val="32"/>
        </w:rPr>
        <w:t>：</w:t>
      </w:r>
      <w:r>
        <w:rPr>
          <w:rFonts w:hint="eastAsia" w:hAnsi="仿宋"/>
          <w:spacing w:val="-20"/>
          <w:sz w:val="32"/>
          <w:szCs w:val="32"/>
        </w:rPr>
        <w:t>48-50公斤级、50-54公斤级、54-57公斤级、57-60公斤级、63-66公斤级</w:t>
      </w:r>
      <w:r>
        <w:rPr>
          <w:rFonts w:hint="eastAsia" w:cs="Calibri"/>
          <w:sz w:val="32"/>
          <w:szCs w:val="32"/>
        </w:rPr>
        <w:t>；</w:t>
      </w:r>
    </w:p>
    <w:p w14:paraId="33A0DCB9">
      <w:pPr>
        <w:keepNext w:val="0"/>
        <w:keepLines w:val="0"/>
        <w:pageBreakBefore w:val="0"/>
        <w:widowControl w:val="0"/>
        <w:kinsoku/>
        <w:wordWrap/>
        <w:topLinePunct w:val="0"/>
        <w:bidi w:val="0"/>
        <w:snapToGrid/>
        <w:spacing w:line="560" w:lineRule="exact"/>
        <w:ind w:firstLine="700" w:firstLineChars="250"/>
        <w:textAlignment w:val="auto"/>
        <w:rPr>
          <w:rFonts w:hint="eastAsia" w:hAnsi="仿宋"/>
          <w:spacing w:val="-20"/>
          <w:sz w:val="32"/>
          <w:szCs w:val="32"/>
        </w:rPr>
      </w:pPr>
      <w:r>
        <w:rPr>
          <w:rFonts w:hAnsi="仿宋"/>
          <w:spacing w:val="-20"/>
          <w:sz w:val="32"/>
          <w:szCs w:val="32"/>
        </w:rPr>
        <w:t>女子</w:t>
      </w:r>
      <w:r>
        <w:rPr>
          <w:rFonts w:hint="eastAsia" w:hAnsi="仿宋"/>
          <w:spacing w:val="-20"/>
          <w:sz w:val="32"/>
          <w:szCs w:val="32"/>
        </w:rPr>
        <w:t>乙组</w:t>
      </w:r>
      <w:r>
        <w:rPr>
          <w:rFonts w:hAnsi="仿宋"/>
          <w:spacing w:val="-20"/>
          <w:sz w:val="32"/>
          <w:szCs w:val="32"/>
        </w:rPr>
        <w:t>：</w:t>
      </w:r>
      <w:r>
        <w:rPr>
          <w:sz w:val="32"/>
          <w:szCs w:val="32"/>
        </w:rPr>
        <w:t>44-46公斤级、52-54公斤级、60-63公斤级</w:t>
      </w:r>
      <w:r>
        <w:rPr>
          <w:rFonts w:hint="eastAsia" w:cs="Calibri"/>
          <w:sz w:val="32"/>
          <w:szCs w:val="32"/>
        </w:rPr>
        <w:t>。</w:t>
      </w:r>
    </w:p>
    <w:p w14:paraId="797C9618">
      <w:pPr>
        <w:keepNext w:val="0"/>
        <w:keepLines w:val="0"/>
        <w:pageBreakBefore w:val="0"/>
        <w:widowControl w:val="0"/>
        <w:kinsoku/>
        <w:wordWrap/>
        <w:topLinePunct w:val="0"/>
        <w:bidi w:val="0"/>
        <w:snapToGrid/>
        <w:spacing w:line="560" w:lineRule="exact"/>
        <w:ind w:firstLine="640" w:firstLineChars="200"/>
        <w:textAlignment w:val="auto"/>
        <w:rPr>
          <w:rFonts w:ascii="黑体" w:eastAsia="黑体"/>
          <w:sz w:val="32"/>
          <w:szCs w:val="32"/>
        </w:rPr>
      </w:pPr>
      <w:r>
        <w:rPr>
          <w:rFonts w:hint="eastAsia" w:ascii="黑体" w:eastAsia="黑体"/>
          <w:sz w:val="32"/>
          <w:szCs w:val="32"/>
        </w:rPr>
        <w:t>五、运动员资格</w:t>
      </w:r>
    </w:p>
    <w:p w14:paraId="5C787222">
      <w:pPr>
        <w:keepNext w:val="0"/>
        <w:keepLines w:val="0"/>
        <w:pageBreakBefore w:val="0"/>
        <w:widowControl w:val="0"/>
        <w:kinsoku/>
        <w:wordWrap/>
        <w:topLinePunct w:val="0"/>
        <w:bidi w:val="0"/>
        <w:snapToGrid/>
        <w:spacing w:line="560" w:lineRule="exact"/>
        <w:ind w:firstLine="640" w:firstLineChars="200"/>
        <w:textAlignment w:val="auto"/>
        <w:rPr>
          <w:rFonts w:hint="eastAsia" w:ascii="黑体" w:eastAsia="黑体"/>
          <w:sz w:val="32"/>
          <w:szCs w:val="32"/>
        </w:rPr>
      </w:pPr>
      <w:bookmarkStart w:id="2" w:name="OLE_LINK1"/>
      <w:r>
        <w:rPr>
          <w:rFonts w:hint="eastAsia" w:hAnsi="仿宋_GB2312"/>
          <w:sz w:val="32"/>
          <w:szCs w:val="32"/>
        </w:rPr>
        <w:t>符合北京市体育局《北京市青少年运动员注册管理办法（试行）》（京体青字〔2025〕2号）的有关规定，并完成2026年度注册。</w:t>
      </w:r>
      <w:bookmarkEnd w:id="2"/>
    </w:p>
    <w:p w14:paraId="05ED468A">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六、参加办法</w:t>
      </w:r>
    </w:p>
    <w:p w14:paraId="54B4B1CC">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（一）以区为单位组队参加，</w:t>
      </w:r>
      <w:r>
        <w:rPr>
          <w:rFonts w:hint="eastAsia"/>
          <w:sz w:val="32"/>
          <w:szCs w:val="32"/>
        </w:rPr>
        <w:t>参赛运动员需经区体育局选拔，择优报名参赛。</w:t>
      </w:r>
    </w:p>
    <w:p w14:paraId="024097B3">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（二）</w:t>
      </w:r>
      <w:r>
        <w:rPr>
          <w:rFonts w:hAnsi="仿宋"/>
          <w:color w:val="000000"/>
          <w:sz w:val="32"/>
          <w:szCs w:val="32"/>
        </w:rPr>
        <w:t>以</w:t>
      </w:r>
      <w:r>
        <w:rPr>
          <w:rFonts w:hint="eastAsia" w:hAnsi="仿宋"/>
          <w:color w:val="000000"/>
          <w:sz w:val="32"/>
          <w:szCs w:val="32"/>
        </w:rPr>
        <w:t>2026</w:t>
      </w:r>
      <w:r>
        <w:rPr>
          <w:rFonts w:hAnsi="仿宋"/>
          <w:color w:val="000000"/>
          <w:sz w:val="32"/>
          <w:szCs w:val="32"/>
        </w:rPr>
        <w:t>年度青少年运动员注册为依据，运动员只能代表</w:t>
      </w:r>
      <w:r>
        <w:rPr>
          <w:rFonts w:hint="eastAsia" w:hAnsi="仿宋"/>
          <w:color w:val="000000"/>
          <w:sz w:val="32"/>
          <w:szCs w:val="32"/>
        </w:rPr>
        <w:t>2026</w:t>
      </w:r>
      <w:r>
        <w:rPr>
          <w:rFonts w:hAnsi="仿宋"/>
          <w:color w:val="000000"/>
          <w:sz w:val="32"/>
          <w:szCs w:val="32"/>
        </w:rPr>
        <w:t>年度注册单位参加比赛。</w:t>
      </w:r>
    </w:p>
    <w:p w14:paraId="1D150A56">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（三）经二级（含）以上医院检查证明身体健康。</w:t>
      </w:r>
    </w:p>
    <w:p w14:paraId="7F08D7A5">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（四）每单位可报领队1人，教练员2-3人，医生1人，运动员报名甲组各级别可报2人，乙组各级别可报1人，其中任意两个级别可报2人。</w:t>
      </w:r>
      <w:r>
        <w:rPr>
          <w:rFonts w:hint="eastAsia" w:hAnsi="仿宋"/>
          <w:sz w:val="32"/>
          <w:szCs w:val="32"/>
          <w:lang w:val="en-US" w:eastAsia="zh-CN"/>
        </w:rPr>
        <w:t>另外，</w:t>
      </w:r>
      <w:r>
        <w:rPr>
          <w:rFonts w:hint="eastAsia" w:hAnsi="仿宋"/>
          <w:sz w:val="32"/>
          <w:szCs w:val="32"/>
          <w:highlight w:val="none"/>
          <w:lang w:val="en-US" w:eastAsia="zh-CN"/>
        </w:rPr>
        <w:t>各参赛队可依照《2026年北京市青少年拳击锦标赛额外参赛名额分配表》（详见附件）所分配名额，在任意组别、任意级别增加报名人数。</w:t>
      </w:r>
    </w:p>
    <w:p w14:paraId="1B80DF03">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（五）比赛时运动员须持本人注册时所提交的有效身份证件原件参赛。</w:t>
      </w:r>
    </w:p>
    <w:p w14:paraId="11423E53">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七、竞赛办法</w:t>
      </w:r>
    </w:p>
    <w:p w14:paraId="4A24D409">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（一）采用国家体育总局最新审定的《拳击竞赛规则》。</w:t>
      </w:r>
    </w:p>
    <w:p w14:paraId="673DBDE7">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（二）比赛使用赛会统一准备的头盔、拳套和护手绷带，运动员须自备护齿（禁止红色或部分红色），男子戴护裆、女子戴发网，否则不得参赛。</w:t>
      </w:r>
    </w:p>
    <w:p w14:paraId="155CD2E7">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（三）比赛进行个人赛（单败淘汰制）。</w:t>
      </w:r>
    </w:p>
    <w:p w14:paraId="28D9D0F2">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（四）报名确认后不得更改，如所报级别不足</w:t>
      </w:r>
      <w:r>
        <w:rPr>
          <w:rFonts w:hAnsi="仿宋"/>
          <w:sz w:val="32"/>
          <w:szCs w:val="32"/>
        </w:rPr>
        <w:t>3</w:t>
      </w:r>
      <w:r>
        <w:rPr>
          <w:rFonts w:hint="eastAsia" w:hAnsi="仿宋"/>
          <w:sz w:val="32"/>
          <w:szCs w:val="32"/>
        </w:rPr>
        <w:t>人时，可在领队会议上升降级别，但不允许跨级或替换运动员。如调整后仍不足</w:t>
      </w:r>
      <w:r>
        <w:rPr>
          <w:rFonts w:hAnsi="仿宋"/>
          <w:sz w:val="32"/>
          <w:szCs w:val="32"/>
        </w:rPr>
        <w:t>3</w:t>
      </w:r>
      <w:r>
        <w:rPr>
          <w:rFonts w:hint="eastAsia" w:hAnsi="仿宋"/>
          <w:sz w:val="32"/>
          <w:szCs w:val="32"/>
        </w:rPr>
        <w:t>人，不进行比赛。</w:t>
      </w:r>
    </w:p>
    <w:p w14:paraId="17E8F619">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cs="仿宋"/>
          <w:sz w:val="32"/>
          <w:szCs w:val="32"/>
        </w:rPr>
        <w:t>（五）</w:t>
      </w:r>
      <w:r>
        <w:rPr>
          <w:rFonts w:hint="eastAsia" w:hAnsi="仿宋"/>
          <w:sz w:val="32"/>
          <w:szCs w:val="32"/>
        </w:rPr>
        <w:t>比赛时，必须有报名表上填写的领队、教练员到比赛现场，运动员方可上场比赛；报名表上填写的领队、教练员未到比赛现场的，运动员不得上场参赛；超过《拳击竞赛规则》规定时间，领队、教练员仍未能到达比赛现场的，取消当场运动员比赛资格，按弃权论。</w:t>
      </w:r>
    </w:p>
    <w:p w14:paraId="2B5F5C6C">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（六）技术会议抽签确定的运动员必须进行赛前称重，称重合格后方获得参赛资格。运动员检录后必须上场比赛，凡检录后未上场的，按弃权论，不计成绩。</w:t>
      </w:r>
    </w:p>
    <w:p w14:paraId="25BB9CA4">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（七）弃权规定</w:t>
      </w:r>
    </w:p>
    <w:p w14:paraId="3AE27989">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1.比赛期间运动员因伤病或其他原因不能参赛，需书面告知组委会并加盖公章，内容包括弃权原因并明确弃权组别及项目。</w:t>
      </w:r>
    </w:p>
    <w:p w14:paraId="187D8E77">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2.因伤病弃权，需提供医院出具的诊断证明,其他原因弃权，需提前两日提出弃权申请。</w:t>
      </w:r>
    </w:p>
    <w:p w14:paraId="58F0B571">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3.未按弃权时间书面告知组委会不参赛的运动员，视为无故弃权取消本人本次比赛成绩及下一年度市级青少年体育赛事参赛资格。</w:t>
      </w:r>
    </w:p>
    <w:p w14:paraId="752D1070">
      <w:pPr>
        <w:keepNext w:val="0"/>
        <w:keepLines w:val="0"/>
        <w:pageBreakBefore w:val="0"/>
        <w:widowControl w:val="0"/>
        <w:kinsoku/>
        <w:wordWrap/>
        <w:topLinePunct w:val="0"/>
        <w:bidi w:val="0"/>
        <w:snapToGrid/>
        <w:spacing w:line="560" w:lineRule="exact"/>
        <w:ind w:firstLine="640" w:firstLineChars="200"/>
        <w:textAlignment w:val="auto"/>
        <w:rPr>
          <w:sz w:val="32"/>
          <w:szCs w:val="32"/>
        </w:rPr>
      </w:pPr>
      <w:r>
        <w:rPr>
          <w:rFonts w:hint="eastAsia" w:hAnsi="仿宋"/>
          <w:sz w:val="32"/>
          <w:szCs w:val="32"/>
        </w:rPr>
        <w:t>（八）</w:t>
      </w:r>
      <w:r>
        <w:rPr>
          <w:rFonts w:hint="eastAsia"/>
          <w:sz w:val="32"/>
          <w:szCs w:val="32"/>
        </w:rPr>
        <w:t>技术会议于赛前一周召开，会上将最后确认参赛运动员名单，教练员或领队签字后生效。</w:t>
      </w:r>
    </w:p>
    <w:p w14:paraId="44830325">
      <w:pPr>
        <w:keepNext w:val="0"/>
        <w:keepLines w:val="0"/>
        <w:pageBreakBefore w:val="0"/>
        <w:widowControl w:val="0"/>
        <w:kinsoku/>
        <w:wordWrap/>
        <w:topLinePunct w:val="0"/>
        <w:bidi w:val="0"/>
        <w:snapToGrid/>
        <w:spacing w:line="560" w:lineRule="exact"/>
        <w:ind w:firstLine="640" w:firstLineChars="200"/>
        <w:textAlignment w:val="auto"/>
        <w:rPr>
          <w:sz w:val="32"/>
          <w:szCs w:val="32"/>
        </w:rPr>
      </w:pPr>
      <w:r>
        <w:rPr>
          <w:rFonts w:hint="eastAsia" w:ascii="黑体" w:hAnsi="黑体" w:eastAsia="黑体"/>
          <w:sz w:val="32"/>
          <w:szCs w:val="32"/>
        </w:rPr>
        <w:t>八、报名办法</w:t>
      </w:r>
    </w:p>
    <w:p w14:paraId="4A9D107E">
      <w:pPr>
        <w:keepNext w:val="0"/>
        <w:keepLines w:val="0"/>
        <w:pageBreakBefore w:val="0"/>
        <w:widowControl w:val="0"/>
        <w:kinsoku/>
        <w:wordWrap/>
        <w:topLinePunct w:val="0"/>
        <w:bidi w:val="0"/>
        <w:snapToGrid/>
        <w:spacing w:line="560" w:lineRule="exact"/>
        <w:ind w:left="105" w:leftChars="50" w:firstLine="480" w:firstLineChars="150"/>
        <w:textAlignment w:val="auto"/>
        <w:rPr>
          <w:sz w:val="32"/>
          <w:szCs w:val="32"/>
        </w:rPr>
      </w:pPr>
      <w:r>
        <w:rPr>
          <w:rFonts w:hint="eastAsia" w:hAnsi="仿宋"/>
          <w:sz w:val="32"/>
          <w:szCs w:val="32"/>
        </w:rPr>
        <w:t>（一）网络报名：</w:t>
      </w:r>
      <w:r>
        <w:rPr>
          <w:rFonts w:hint="eastAsia" w:hAnsi="仿宋" w:cs="仿宋"/>
          <w:sz w:val="32"/>
          <w:szCs w:val="32"/>
        </w:rPr>
        <w:t>各参赛单位于</w:t>
      </w:r>
      <w:r>
        <w:rPr>
          <w:rFonts w:hint="eastAsia"/>
          <w:sz w:val="32"/>
          <w:szCs w:val="32"/>
        </w:rPr>
        <w:t>2026年</w:t>
      </w:r>
      <w:r>
        <w:rPr>
          <w:rFonts w:hint="eastAsia"/>
          <w:sz w:val="32"/>
          <w:szCs w:val="32"/>
          <w:lang w:val="en-US" w:eastAsia="zh-CN"/>
        </w:rPr>
        <w:t>5</w:t>
      </w:r>
      <w:r>
        <w:rPr>
          <w:rFonts w:hint="eastAsia" w:hAnsi="仿宋" w:cs="仿宋"/>
          <w:sz w:val="32"/>
          <w:szCs w:val="32"/>
        </w:rPr>
        <w:t>月</w:t>
      </w:r>
      <w:r>
        <w:rPr>
          <w:rFonts w:hint="eastAsia" w:hAnsi="仿宋" w:cs="仿宋"/>
          <w:sz w:val="32"/>
          <w:szCs w:val="32"/>
          <w:lang w:val="en-US" w:eastAsia="zh-CN"/>
        </w:rPr>
        <w:t>18</w:t>
      </w:r>
      <w:r>
        <w:rPr>
          <w:rFonts w:hint="eastAsia" w:hAnsi="仿宋" w:cs="仿宋"/>
          <w:sz w:val="32"/>
          <w:szCs w:val="32"/>
        </w:rPr>
        <w:t>日—</w:t>
      </w:r>
      <w:r>
        <w:rPr>
          <w:rFonts w:hint="eastAsia" w:hAnsi="仿宋" w:cs="仿宋"/>
          <w:sz w:val="32"/>
          <w:szCs w:val="32"/>
          <w:lang w:val="en-US" w:eastAsia="zh-CN"/>
        </w:rPr>
        <w:t>19</w:t>
      </w:r>
      <w:r>
        <w:rPr>
          <w:rFonts w:hint="eastAsia" w:hAnsi="仿宋" w:cs="仿宋"/>
          <w:sz w:val="32"/>
          <w:szCs w:val="32"/>
        </w:rPr>
        <w:t>日</w:t>
      </w:r>
      <w:r>
        <w:rPr>
          <w:rFonts w:hint="eastAsia"/>
          <w:sz w:val="32"/>
          <w:szCs w:val="32"/>
        </w:rPr>
        <w:t>在</w:t>
      </w:r>
      <w:r>
        <w:rPr>
          <w:sz w:val="32"/>
          <w:szCs w:val="32"/>
        </w:rPr>
        <w:t>北京市体育竞赛管理和国际交流中心官方网站</w:t>
      </w:r>
      <w:r>
        <w:rPr>
          <w:rFonts w:hint="eastAsia" w:hAnsi="仿宋"/>
          <w:spacing w:val="0"/>
          <w:kern w:val="0"/>
          <w:sz w:val="32"/>
          <w:szCs w:val="32"/>
          <w:fitText w:val="3206" w:id="1672238484"/>
        </w:rPr>
        <w:t>（</w:t>
      </w:r>
      <w:r>
        <w:rPr>
          <w:rFonts w:hAnsi="仿宋"/>
          <w:spacing w:val="0"/>
          <w:kern w:val="0"/>
          <w:sz w:val="32"/>
          <w:szCs w:val="32"/>
          <w:fitText w:val="3206" w:id="1672238484"/>
        </w:rPr>
        <w:t>www.bjcac.org.cn</w:t>
      </w:r>
      <w:r>
        <w:rPr>
          <w:rFonts w:hint="eastAsia" w:hAnsi="仿宋"/>
          <w:spacing w:val="0"/>
          <w:kern w:val="0"/>
          <w:sz w:val="32"/>
          <w:szCs w:val="32"/>
          <w:fitText w:val="3206" w:id="1672238484"/>
        </w:rPr>
        <w:t>）</w:t>
      </w:r>
      <w:r>
        <w:rPr>
          <w:rFonts w:hAnsi="仿宋"/>
          <w:sz w:val="32"/>
          <w:szCs w:val="32"/>
        </w:rPr>
        <w:t>进行网络预报名；</w:t>
      </w:r>
    </w:p>
    <w:p w14:paraId="16E845E7">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sz w:val="32"/>
          <w:szCs w:val="32"/>
        </w:rPr>
        <w:t>（二）现场报名：</w:t>
      </w:r>
      <w:r>
        <w:rPr>
          <w:rFonts w:hint="eastAsia" w:hAnsi="仿宋" w:cs="仿宋"/>
          <w:sz w:val="32"/>
          <w:szCs w:val="32"/>
        </w:rPr>
        <w:t>各参赛单位于2026</w:t>
      </w:r>
      <w:r>
        <w:rPr>
          <w:rFonts w:hAnsi="仿宋" w:cs="仿宋"/>
          <w:sz w:val="32"/>
          <w:szCs w:val="32"/>
        </w:rPr>
        <w:t>年</w:t>
      </w:r>
      <w:r>
        <w:rPr>
          <w:rFonts w:hint="eastAsia"/>
          <w:sz w:val="32"/>
          <w:szCs w:val="32"/>
          <w:lang w:val="en-US" w:eastAsia="zh-CN"/>
        </w:rPr>
        <w:t>5</w:t>
      </w:r>
      <w:r>
        <w:rPr>
          <w:rFonts w:hint="eastAsia" w:hAnsi="仿宋" w:cs="仿宋"/>
          <w:sz w:val="32"/>
          <w:szCs w:val="32"/>
        </w:rPr>
        <w:t>月</w:t>
      </w:r>
      <w:r>
        <w:rPr>
          <w:rFonts w:hint="eastAsia" w:hAnsi="仿宋" w:cs="仿宋"/>
          <w:sz w:val="32"/>
          <w:szCs w:val="32"/>
          <w:lang w:val="en-US" w:eastAsia="zh-CN"/>
        </w:rPr>
        <w:t>20</w:t>
      </w:r>
      <w:r>
        <w:rPr>
          <w:rFonts w:hint="eastAsia" w:hAnsi="仿宋" w:cs="仿宋"/>
          <w:sz w:val="32"/>
          <w:szCs w:val="32"/>
        </w:rPr>
        <w:t>日</w:t>
      </w:r>
      <w:r>
        <w:rPr>
          <w:rFonts w:hint="eastAsia"/>
          <w:sz w:val="32"/>
          <w:szCs w:val="32"/>
        </w:rPr>
        <w:t>将以下材料送交北京市体育竞赛管理和国际交流中心奥运项目管理二部。</w:t>
      </w:r>
    </w:p>
    <w:p w14:paraId="72D61212">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1.加盖参赛单位公章报名表一份；</w:t>
      </w:r>
    </w:p>
    <w:p w14:paraId="4D93FFE6">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2.领队签字并加盖参赛单位公章参赛承诺书一份；</w:t>
      </w:r>
    </w:p>
    <w:p w14:paraId="505A38CD">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3.参赛运动员及监护人签字运动员参赛声明。</w:t>
      </w:r>
    </w:p>
    <w:p w14:paraId="2E452BD7">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sz w:val="32"/>
          <w:szCs w:val="32"/>
        </w:rPr>
      </w:pPr>
      <w:r>
        <w:rPr>
          <w:rFonts w:hint="eastAsia" w:hAnsi="仿宋"/>
          <w:color w:val="000000"/>
          <w:sz w:val="32"/>
          <w:szCs w:val="32"/>
        </w:rPr>
        <w:t>4</w:t>
      </w:r>
      <w:r>
        <w:rPr>
          <w:rFonts w:hAnsi="仿宋"/>
          <w:color w:val="000000"/>
          <w:sz w:val="32"/>
          <w:szCs w:val="32"/>
        </w:rPr>
        <w:t>.</w:t>
      </w:r>
      <w:r>
        <w:rPr>
          <w:sz w:val="32"/>
          <w:szCs w:val="32"/>
        </w:rPr>
        <w:t>参赛教练员</w:t>
      </w:r>
      <w:r>
        <w:rPr>
          <w:rFonts w:hint="eastAsia"/>
          <w:sz w:val="32"/>
          <w:szCs w:val="32"/>
        </w:rPr>
        <w:t>资格</w:t>
      </w:r>
      <w:r>
        <w:rPr>
          <w:sz w:val="32"/>
          <w:szCs w:val="32"/>
        </w:rPr>
        <w:t>证复印件或</w:t>
      </w:r>
      <w:r>
        <w:rPr>
          <w:rFonts w:hint="eastAsia" w:hAnsi="仿宋"/>
          <w:color w:val="000000"/>
          <w:sz w:val="32"/>
          <w:szCs w:val="32"/>
        </w:rPr>
        <w:t>参赛单位</w:t>
      </w:r>
      <w:r>
        <w:rPr>
          <w:rFonts w:hint="eastAsia"/>
          <w:sz w:val="32"/>
          <w:szCs w:val="32"/>
        </w:rPr>
        <w:t>出具的在职</w:t>
      </w:r>
      <w:r>
        <w:rPr>
          <w:sz w:val="32"/>
          <w:szCs w:val="32"/>
        </w:rPr>
        <w:t>证明；</w:t>
      </w:r>
    </w:p>
    <w:p w14:paraId="5EFF67EC">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（三）逾期未报名或未提交材料按不参赛处理，报名后不得更改，不在参赛人员名单内的人员届时不得入场。</w:t>
      </w:r>
    </w:p>
    <w:p w14:paraId="6A51A40F">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sz w:val="32"/>
          <w:szCs w:val="32"/>
        </w:rPr>
      </w:pPr>
      <w:r>
        <w:rPr>
          <w:rFonts w:hint="eastAsia" w:hAnsi="仿宋"/>
          <w:color w:val="000000"/>
          <w:sz w:val="32"/>
          <w:szCs w:val="32"/>
        </w:rPr>
        <w:t>（四）本次比赛不收取报名费。</w:t>
      </w:r>
    </w:p>
    <w:p w14:paraId="6C3F2158">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联系人：田侠，联系电话：</w:t>
      </w:r>
      <w:r>
        <w:rPr>
          <w:rFonts w:hAnsi="仿宋"/>
          <w:sz w:val="32"/>
          <w:szCs w:val="32"/>
        </w:rPr>
        <w:t>63177012</w:t>
      </w:r>
    </w:p>
    <w:p w14:paraId="5A61D3F1">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电子邮箱：</w:t>
      </w:r>
      <w:bookmarkStart w:id="3" w:name="_Hlt219278378"/>
      <w:bookmarkStart w:id="4" w:name="_Hlt219278379"/>
      <w:r>
        <w:rPr>
          <w:sz w:val="32"/>
          <w:szCs w:val="32"/>
        </w:rPr>
        <w:fldChar w:fldCharType="begin"/>
      </w:r>
      <w:r>
        <w:rPr>
          <w:sz w:val="32"/>
          <w:szCs w:val="32"/>
        </w:rPr>
        <w:instrText xml:space="preserve"> HYPERLINK "mailto:tianxia</w:instrText>
      </w:r>
      <w:r>
        <w:rPr>
          <w:rFonts w:hint="eastAsia"/>
          <w:sz w:val="32"/>
          <w:szCs w:val="32"/>
        </w:rPr>
        <w:instrText xml:space="preserve">@</w:instrText>
      </w:r>
      <w:r>
        <w:rPr>
          <w:sz w:val="32"/>
          <w:szCs w:val="32"/>
        </w:rPr>
        <w:instrText xml:space="preserve">tyj.beijing.gov.cn" </w:instrText>
      </w:r>
      <w:r>
        <w:rPr>
          <w:sz w:val="32"/>
          <w:szCs w:val="32"/>
        </w:rPr>
        <w:fldChar w:fldCharType="separate"/>
      </w:r>
      <w:r>
        <w:rPr>
          <w:rStyle w:val="4"/>
          <w:sz w:val="32"/>
          <w:szCs w:val="32"/>
        </w:rPr>
        <w:t>tianxia@tyj.beijing.gov.cn</w:t>
      </w:r>
      <w:bookmarkEnd w:id="3"/>
      <w:bookmarkEnd w:id="4"/>
      <w:r>
        <w:rPr>
          <w:sz w:val="32"/>
          <w:szCs w:val="32"/>
        </w:rPr>
        <w:fldChar w:fldCharType="end"/>
      </w:r>
    </w:p>
    <w:p w14:paraId="1AA26CEE">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rPr>
        <w:t>九、录取名次和奖励办法</w:t>
      </w:r>
    </w:p>
    <w:p w14:paraId="4B1BF41D">
      <w:pPr>
        <w:keepNext w:val="0"/>
        <w:keepLines w:val="0"/>
        <w:pageBreakBefore w:val="0"/>
        <w:widowControl w:val="0"/>
        <w:kinsoku/>
        <w:wordWrap/>
        <w:topLinePunct w:val="0"/>
        <w:bidi w:val="0"/>
        <w:snapToGrid/>
        <w:spacing w:line="560" w:lineRule="exact"/>
        <w:ind w:firstLine="627" w:firstLineChars="196"/>
        <w:textAlignment w:val="auto"/>
        <w:rPr>
          <w:sz w:val="32"/>
          <w:szCs w:val="32"/>
        </w:rPr>
      </w:pPr>
      <w:r>
        <w:rPr>
          <w:rFonts w:hint="eastAsia"/>
          <w:sz w:val="32"/>
          <w:szCs w:val="32"/>
        </w:rPr>
        <w:t>（一）录取名次按照实际到场参赛人（队）数为准，比赛各项目</w:t>
      </w:r>
      <w:r>
        <w:rPr>
          <w:rFonts w:hint="eastAsia" w:hAnsi="仿宋"/>
          <w:sz w:val="32"/>
          <w:szCs w:val="32"/>
        </w:rPr>
        <w:t>组别录取前8名</w:t>
      </w:r>
      <w:r>
        <w:rPr>
          <w:rFonts w:hint="eastAsia"/>
          <w:sz w:val="32"/>
          <w:szCs w:val="32"/>
        </w:rPr>
        <w:t>，参赛不足8人（含）的，递减一名录取。</w:t>
      </w:r>
    </w:p>
    <w:p w14:paraId="749802B8">
      <w:pPr>
        <w:keepNext w:val="0"/>
        <w:keepLines w:val="0"/>
        <w:pageBreakBefore w:val="0"/>
        <w:widowControl w:val="0"/>
        <w:kinsoku/>
        <w:wordWrap/>
        <w:topLinePunct w:val="0"/>
        <w:bidi w:val="0"/>
        <w:snapToGrid/>
        <w:spacing w:line="560" w:lineRule="exact"/>
        <w:ind w:right="-63" w:rightChars="-30" w:firstLine="627" w:firstLineChars="196"/>
        <w:textAlignment w:val="auto"/>
        <w:rPr>
          <w:sz w:val="32"/>
          <w:szCs w:val="32"/>
        </w:rPr>
      </w:pPr>
      <w:r>
        <w:rPr>
          <w:rFonts w:hint="eastAsia"/>
          <w:sz w:val="32"/>
          <w:szCs w:val="32"/>
        </w:rPr>
        <w:t>（二）获得比赛前3名的运动员（队），运动员分别颁发奖牌和证书；其他获得名次者分别颁发证书。</w:t>
      </w:r>
    </w:p>
    <w:p w14:paraId="636D75BC">
      <w:pPr>
        <w:keepNext w:val="0"/>
        <w:keepLines w:val="0"/>
        <w:pageBreakBefore w:val="0"/>
        <w:widowControl w:val="0"/>
        <w:kinsoku/>
        <w:wordWrap/>
        <w:topLinePunct w:val="0"/>
        <w:bidi w:val="0"/>
        <w:snapToGrid/>
        <w:spacing w:line="560" w:lineRule="exact"/>
        <w:ind w:right="-63" w:rightChars="-30" w:firstLine="627" w:firstLineChars="196"/>
        <w:textAlignment w:val="auto"/>
        <w:rPr>
          <w:rFonts w:hint="eastAsia" w:ascii="黑体" w:hAnsi="仿宋" w:eastAsia="黑体" w:cs="黑体"/>
          <w:sz w:val="32"/>
          <w:szCs w:val="32"/>
        </w:rPr>
      </w:pPr>
      <w:r>
        <w:rPr>
          <w:rFonts w:hint="eastAsia" w:ascii="黑体" w:hAnsi="仿宋" w:eastAsia="黑体" w:cs="黑体"/>
          <w:sz w:val="32"/>
          <w:szCs w:val="32"/>
        </w:rPr>
        <w:t>十、本次锦标赛为北京市第十七届运动会拳击比赛资格赛。获得本次比赛甲组、乙组各级别前16名的运动员并符合《北京市第十七届运动会竞赛规程总则》中运动员资格要求，方有资格参加北京市第十七届运动会拳击比赛。</w:t>
      </w:r>
    </w:p>
    <w:p w14:paraId="4BA91616">
      <w:pPr>
        <w:keepNext w:val="0"/>
        <w:keepLines w:val="0"/>
        <w:pageBreakBefore w:val="0"/>
        <w:widowControl w:val="0"/>
        <w:kinsoku/>
        <w:wordWrap/>
        <w:overflowPunct w:val="0"/>
        <w:topLinePunct w:val="0"/>
        <w:autoSpaceDE w:val="0"/>
        <w:autoSpaceDN w:val="0"/>
        <w:bidi w:val="0"/>
        <w:adjustRightInd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十一、运动员技术等级</w:t>
      </w:r>
    </w:p>
    <w:p w14:paraId="6BCD1766">
      <w:pPr>
        <w:keepNext w:val="0"/>
        <w:keepLines w:val="0"/>
        <w:pageBreakBefore w:val="0"/>
        <w:widowControl w:val="0"/>
        <w:kinsoku/>
        <w:wordWrap/>
        <w:overflowPunct w:val="0"/>
        <w:topLinePunct w:val="0"/>
        <w:autoSpaceDE w:val="0"/>
        <w:autoSpaceDN w:val="0"/>
        <w:bidi w:val="0"/>
        <w:adjustRightInd w:val="0"/>
        <w:snapToGrid/>
        <w:spacing w:line="560" w:lineRule="exact"/>
        <w:ind w:firstLine="640" w:firstLineChars="200"/>
        <w:textAlignment w:val="auto"/>
        <w:rPr>
          <w:rFonts w:hint="eastAsia"/>
          <w:sz w:val="32"/>
          <w:szCs w:val="32"/>
        </w:rPr>
      </w:pPr>
      <w:r>
        <w:rPr>
          <w:rFonts w:hint="eastAsia"/>
          <w:sz w:val="32"/>
          <w:szCs w:val="32"/>
        </w:rPr>
        <w:t>（一）根据《运动员技术等级管理办法》（国家体育总局令第32号）和《运动员技术等级标准》（体竞字〔2024〕121号）有关规定，本次比赛男子、女子甲组各公斤级可授予运动员技术等级称号（以下简称等级称号）。</w:t>
      </w:r>
    </w:p>
    <w:p w14:paraId="58FF5A0D">
      <w:pPr>
        <w:keepNext w:val="0"/>
        <w:keepLines w:val="0"/>
        <w:pageBreakBefore w:val="0"/>
        <w:widowControl w:val="0"/>
        <w:kinsoku/>
        <w:wordWrap/>
        <w:overflowPunct w:val="0"/>
        <w:topLinePunct w:val="0"/>
        <w:autoSpaceDE w:val="0"/>
        <w:autoSpaceDN w:val="0"/>
        <w:bidi w:val="0"/>
        <w:adjustRightInd w:val="0"/>
        <w:snapToGrid/>
        <w:spacing w:line="560" w:lineRule="exact"/>
        <w:ind w:firstLine="640" w:firstLineChars="200"/>
        <w:textAlignment w:val="auto"/>
        <w:rPr>
          <w:rFonts w:hint="eastAsia"/>
          <w:sz w:val="32"/>
          <w:szCs w:val="32"/>
        </w:rPr>
      </w:pPr>
      <w:r>
        <w:rPr>
          <w:rFonts w:hint="eastAsia"/>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577A7111">
      <w:pPr>
        <w:keepNext w:val="0"/>
        <w:keepLines w:val="0"/>
        <w:pageBreakBefore w:val="0"/>
        <w:widowControl w:val="0"/>
        <w:kinsoku/>
        <w:wordWrap/>
        <w:topLinePunct w:val="0"/>
        <w:bidi w:val="0"/>
        <w:snapToGrid/>
        <w:spacing w:line="560" w:lineRule="exact"/>
        <w:ind w:right="-63" w:rightChars="-30" w:firstLine="627" w:firstLineChars="196"/>
        <w:textAlignment w:val="auto"/>
        <w:rPr>
          <w:rFonts w:hint="eastAsia"/>
          <w:sz w:val="32"/>
          <w:szCs w:val="32"/>
        </w:rPr>
      </w:pPr>
      <w:r>
        <w:rPr>
          <w:rFonts w:hint="eastAsia"/>
          <w:sz w:val="32"/>
          <w:szCs w:val="32"/>
        </w:rPr>
        <w:t>（三）等级称号公示、授予通知以及等级证书可通过下载体教联盟(CSEA)APP查询，等级证书为电子证书。</w:t>
      </w:r>
    </w:p>
    <w:p w14:paraId="21D5C76D">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rPr>
        <w:t>十二、人身安全</w:t>
      </w:r>
      <w:r>
        <w:rPr>
          <w:rFonts w:hint="eastAsia" w:ascii="黑体" w:hAnsi="黑体" w:eastAsia="黑体" w:cs="黑体"/>
          <w:sz w:val="32"/>
          <w:szCs w:val="32"/>
        </w:rPr>
        <w:t>和医疗保险</w:t>
      </w:r>
    </w:p>
    <w:p w14:paraId="0B7BB183">
      <w:pPr>
        <w:keepNext w:val="0"/>
        <w:keepLines w:val="0"/>
        <w:pageBreakBefore w:val="0"/>
        <w:widowControl w:val="0"/>
        <w:kinsoku/>
        <w:wordWrap/>
        <w:topLinePunct w:val="0"/>
        <w:bidi w:val="0"/>
        <w:snapToGrid/>
        <w:spacing w:line="560" w:lineRule="exact"/>
        <w:ind w:firstLine="640" w:firstLineChars="200"/>
        <w:textAlignment w:val="auto"/>
        <w:rPr>
          <w:sz w:val="32"/>
          <w:szCs w:val="32"/>
        </w:rPr>
      </w:pPr>
      <w:r>
        <w:rPr>
          <w:rFonts w:hint="eastAsia" w:hAnsi="仿宋"/>
          <w:sz w:val="32"/>
          <w:szCs w:val="32"/>
        </w:rPr>
        <w:t>（一）</w:t>
      </w:r>
      <w:r>
        <w:rPr>
          <w:sz w:val="32"/>
          <w:szCs w:val="32"/>
        </w:rPr>
        <w:t>所有参赛人员要按照赛事主办及承办单位有关要求做好参赛各项安全保障工作。</w:t>
      </w:r>
    </w:p>
    <w:p w14:paraId="6F409CFB">
      <w:pPr>
        <w:keepNext w:val="0"/>
        <w:keepLines w:val="0"/>
        <w:pageBreakBefore w:val="0"/>
        <w:widowControl w:val="0"/>
        <w:kinsoku/>
        <w:wordWrap/>
        <w:topLinePunct w:val="0"/>
        <w:bidi w:val="0"/>
        <w:snapToGrid/>
        <w:spacing w:line="560" w:lineRule="exact"/>
        <w:ind w:firstLine="640" w:firstLineChars="200"/>
        <w:textAlignment w:val="auto"/>
        <w:rPr>
          <w:sz w:val="32"/>
          <w:szCs w:val="32"/>
        </w:rPr>
      </w:pPr>
      <w:r>
        <w:rPr>
          <w:rFonts w:hint="eastAsia"/>
          <w:sz w:val="32"/>
          <w:szCs w:val="32"/>
        </w:rPr>
        <w:t>（二）</w:t>
      </w:r>
      <w:r>
        <w:rPr>
          <w:sz w:val="32"/>
          <w:szCs w:val="32"/>
        </w:rPr>
        <w:t>各参赛单位须为本单位所有参赛运动员、教练员购买意外伤害保险，</w:t>
      </w:r>
      <w:r>
        <w:rPr>
          <w:rFonts w:hint="eastAsia"/>
          <w:sz w:val="32"/>
          <w:szCs w:val="32"/>
        </w:rPr>
        <w:t>承保范围须包含拳击运动。</w:t>
      </w:r>
      <w:r>
        <w:rPr>
          <w:sz w:val="32"/>
          <w:szCs w:val="32"/>
        </w:rPr>
        <w:t>参赛运动员、教练员应确保身体健康，其在比赛中发生的任何意外伤害、伤病等事故，主办和承办单位不承担任何责任。</w:t>
      </w:r>
    </w:p>
    <w:p w14:paraId="6EC9809E">
      <w:pPr>
        <w:keepNext w:val="0"/>
        <w:keepLines w:val="0"/>
        <w:pageBreakBefore w:val="0"/>
        <w:widowControl w:val="0"/>
        <w:kinsoku/>
        <w:wordWrap/>
        <w:topLinePunct w:val="0"/>
        <w:bidi w:val="0"/>
        <w:snapToGrid/>
        <w:spacing w:line="560" w:lineRule="exact"/>
        <w:ind w:firstLine="707" w:firstLineChars="221"/>
        <w:textAlignment w:val="auto"/>
        <w:rPr>
          <w:rFonts w:ascii="黑体" w:hAnsi="黑体" w:eastAsia="黑体" w:cs="黑体"/>
          <w:sz w:val="32"/>
          <w:szCs w:val="32"/>
        </w:rPr>
      </w:pPr>
      <w:r>
        <w:rPr>
          <w:rFonts w:hint="eastAsia" w:ascii="黑体" w:hAnsi="黑体" w:eastAsia="黑体" w:cs="黑体"/>
          <w:sz w:val="32"/>
          <w:szCs w:val="32"/>
        </w:rPr>
        <w:t>十三、反兴奋剂和赛风赛纪</w:t>
      </w:r>
    </w:p>
    <w:p w14:paraId="79CDE376">
      <w:pPr>
        <w:keepNext w:val="0"/>
        <w:keepLines w:val="0"/>
        <w:pageBreakBefore w:val="0"/>
        <w:widowControl w:val="0"/>
        <w:kinsoku/>
        <w:wordWrap/>
        <w:topLinePunct w:val="0"/>
        <w:bidi w:val="0"/>
        <w:snapToGrid/>
        <w:spacing w:line="560" w:lineRule="exact"/>
        <w:ind w:firstLine="640" w:firstLineChars="200"/>
        <w:textAlignment w:val="auto"/>
        <w:rPr>
          <w:rFonts w:hint="eastAsia"/>
          <w:sz w:val="32"/>
          <w:szCs w:val="32"/>
        </w:rPr>
      </w:pPr>
      <w:r>
        <w:rPr>
          <w:sz w:val="32"/>
          <w:szCs w:val="32"/>
        </w:rPr>
        <w:t>（一）若比赛中出现兴奋剂违规行为</w:t>
      </w:r>
      <w:r>
        <w:rPr>
          <w:rFonts w:hint="eastAsia"/>
          <w:sz w:val="32"/>
          <w:szCs w:val="32"/>
        </w:rPr>
        <w:t>，将取消运动员所获比赛成绩名次及</w:t>
      </w:r>
      <w:r>
        <w:rPr>
          <w:sz w:val="32"/>
          <w:szCs w:val="32"/>
        </w:rPr>
        <w:t>奖励，</w:t>
      </w:r>
      <w:bookmarkStart w:id="5" w:name="_GoBack"/>
      <w:bookmarkEnd w:id="5"/>
      <w:r>
        <w:rPr>
          <w:sz w:val="32"/>
          <w:szCs w:val="32"/>
        </w:rPr>
        <w:t>并按照国家体育总局《反兴奋剂规则》及相关规定对违规运动员及运动队进行追加处罚。</w:t>
      </w:r>
    </w:p>
    <w:p w14:paraId="69C9F64D">
      <w:pPr>
        <w:keepNext w:val="0"/>
        <w:keepLines w:val="0"/>
        <w:pageBreakBefore w:val="0"/>
        <w:widowControl w:val="0"/>
        <w:kinsoku/>
        <w:wordWrap/>
        <w:overflowPunct w:val="0"/>
        <w:topLinePunct w:val="0"/>
        <w:autoSpaceDE w:val="0"/>
        <w:autoSpaceDN w:val="0"/>
        <w:bidi w:val="0"/>
        <w:adjustRightInd w:val="0"/>
        <w:snapToGrid/>
        <w:spacing w:line="560" w:lineRule="exact"/>
        <w:ind w:firstLine="640" w:firstLineChars="200"/>
        <w:textAlignment w:val="auto"/>
        <w:rPr>
          <w:rFonts w:hint="eastAsia"/>
          <w:sz w:val="32"/>
          <w:szCs w:val="32"/>
        </w:rPr>
      </w:pPr>
      <w:r>
        <w:rPr>
          <w:rFonts w:hint="eastAsia"/>
          <w:sz w:val="32"/>
          <w:szCs w:val="32"/>
        </w:rPr>
        <w:t>（二）</w:t>
      </w:r>
      <w:r>
        <w:rPr>
          <w:color w:val="000000"/>
          <w:sz w:val="32"/>
          <w:szCs w:val="32"/>
        </w:rPr>
        <w:t>参赛人员</w:t>
      </w:r>
      <w:r>
        <w:rPr>
          <w:rFonts w:hint="eastAsia"/>
          <w:color w:val="000000"/>
          <w:sz w:val="32"/>
          <w:szCs w:val="32"/>
        </w:rPr>
        <w:t>违反赛风赛纪规定，弄虚作假、冒名顶替、干扰赛场秩序、拒绝领奖、采用不正当手段获取名次者，一经查实，取消其参赛资格和成绩名次及</w:t>
      </w:r>
      <w:r>
        <w:rPr>
          <w:color w:val="000000"/>
          <w:sz w:val="32"/>
          <w:szCs w:val="32"/>
        </w:rPr>
        <w:t>奖励，并按照</w:t>
      </w:r>
      <w:r>
        <w:rPr>
          <w:rFonts w:hint="eastAsia"/>
          <w:color w:val="000000"/>
          <w:sz w:val="32"/>
          <w:szCs w:val="32"/>
        </w:rPr>
        <w:t>国家体育总局最新颁布的《体育赛事活动赛风赛纪管理办法》及相关规定</w:t>
      </w:r>
      <w:r>
        <w:rPr>
          <w:color w:val="000000"/>
          <w:sz w:val="32"/>
          <w:szCs w:val="32"/>
        </w:rPr>
        <w:t>追加处罚。</w:t>
      </w:r>
    </w:p>
    <w:p w14:paraId="7AC2117A">
      <w:pPr>
        <w:keepNext w:val="0"/>
        <w:keepLines w:val="0"/>
        <w:pageBreakBefore w:val="0"/>
        <w:widowControl w:val="0"/>
        <w:kinsoku/>
        <w:wordWrap/>
        <w:topLinePunct w:val="0"/>
        <w:bidi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十四、</w:t>
      </w:r>
      <w:r>
        <w:rPr>
          <w:rFonts w:ascii="黑体" w:hAnsi="黑体" w:eastAsia="黑体" w:cs="黑体"/>
          <w:sz w:val="32"/>
          <w:szCs w:val="32"/>
        </w:rPr>
        <w:t>纠纷解决和裁判员</w:t>
      </w:r>
    </w:p>
    <w:p w14:paraId="3D1751F7">
      <w:pPr>
        <w:keepNext w:val="0"/>
        <w:keepLines w:val="0"/>
        <w:pageBreakBefore w:val="0"/>
        <w:widowControl w:val="0"/>
        <w:kinsoku/>
        <w:wordWrap/>
        <w:topLinePunct w:val="0"/>
        <w:bidi w:val="0"/>
        <w:snapToGrid/>
        <w:spacing w:line="560" w:lineRule="exact"/>
        <w:ind w:firstLine="640" w:firstLineChars="200"/>
        <w:textAlignment w:val="auto"/>
        <w:rPr>
          <w:rFonts w:hAnsi="仿宋"/>
          <w:sz w:val="32"/>
          <w:szCs w:val="32"/>
        </w:rPr>
      </w:pPr>
      <w:r>
        <w:rPr>
          <w:rFonts w:hint="eastAsia" w:hAnsi="仿宋"/>
          <w:sz w:val="32"/>
          <w:szCs w:val="32"/>
        </w:rPr>
        <w:t>（一）在本次比赛中发生的纠纷，可以依法向中国体育仲裁委员会申请仲裁；</w:t>
      </w:r>
    </w:p>
    <w:p w14:paraId="19CAA382">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sz w:val="32"/>
          <w:szCs w:val="32"/>
        </w:rPr>
      </w:pPr>
      <w:r>
        <w:rPr>
          <w:rFonts w:hint="eastAsia" w:hAnsi="仿宋"/>
          <w:sz w:val="32"/>
          <w:szCs w:val="32"/>
        </w:rPr>
        <w:t>（二）所有裁判员由北京市体育竞赛管理和国际交流中心商市拳击协会统一选派。</w:t>
      </w:r>
    </w:p>
    <w:p w14:paraId="69B9E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十五、本规程解释、修改权属北京市体育竞赛管理和国际交流中心，未尽事宜由承办单位另行通知</w:t>
      </w:r>
      <w:r>
        <w:rPr>
          <w:rFonts w:hint="eastAsia" w:ascii="黑体" w:hAnsi="黑体" w:eastAsia="黑体" w:cs="黑体"/>
          <w:sz w:val="32"/>
          <w:szCs w:val="32"/>
          <w:lang w:eastAsia="zh-CN"/>
        </w:rPr>
        <w:t>。</w:t>
      </w:r>
    </w:p>
    <w:p w14:paraId="648ED33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eastAsia="zh-CN"/>
        </w:rPr>
      </w:pPr>
    </w:p>
    <w:p w14:paraId="643EC1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eastAsia="zh-CN"/>
        </w:rPr>
      </w:pPr>
    </w:p>
    <w:p w14:paraId="16089481">
      <w:pPr>
        <w:spacing w:line="600" w:lineRule="exact"/>
        <w:jc w:val="center"/>
        <w:rPr>
          <w:rFonts w:hint="eastAsia" w:ascii="方正小标宋简体" w:hAnsi="方正小标宋简体" w:eastAsia="方正小标宋简体"/>
          <w:sz w:val="36"/>
          <w:szCs w:val="36"/>
          <w:highlight w:val="none"/>
        </w:rPr>
      </w:pPr>
    </w:p>
    <w:p w14:paraId="796BB11A">
      <w:pPr>
        <w:spacing w:line="600" w:lineRule="exact"/>
        <w:jc w:val="center"/>
        <w:rPr>
          <w:rFonts w:hint="eastAsia" w:ascii="方正小标宋简体" w:hAnsi="方正小标宋简体" w:eastAsia="方正小标宋简体"/>
          <w:sz w:val="36"/>
          <w:szCs w:val="36"/>
          <w:highlight w:val="none"/>
        </w:rPr>
      </w:pPr>
      <w:r>
        <w:rPr>
          <w:rFonts w:hint="eastAsia" w:ascii="方正小标宋简体" w:hAnsi="方正小标宋简体" w:eastAsia="方正小标宋简体"/>
          <w:sz w:val="36"/>
          <w:szCs w:val="36"/>
          <w:highlight w:val="none"/>
        </w:rPr>
        <w:t>202</w:t>
      </w:r>
      <w:r>
        <w:rPr>
          <w:rFonts w:ascii="方正小标宋简体" w:hAnsi="方正小标宋简体" w:eastAsia="方正小标宋简体"/>
          <w:sz w:val="36"/>
          <w:szCs w:val="36"/>
          <w:highlight w:val="none"/>
        </w:rPr>
        <w:t>6</w:t>
      </w:r>
      <w:r>
        <w:rPr>
          <w:rFonts w:hint="eastAsia" w:ascii="方正小标宋简体" w:hAnsi="方正小标宋简体" w:eastAsia="方正小标宋简体"/>
          <w:sz w:val="36"/>
          <w:szCs w:val="36"/>
          <w:highlight w:val="none"/>
        </w:rPr>
        <w:t>年北京市青少年拳击锦标赛</w:t>
      </w:r>
    </w:p>
    <w:p w14:paraId="43C99002">
      <w:pPr>
        <w:spacing w:line="600" w:lineRule="exact"/>
        <w:jc w:val="center"/>
        <w:rPr>
          <w:rFonts w:hint="eastAsia" w:ascii="方正小标宋简体" w:hAnsi="方正小标宋简体" w:eastAsia="方正小标宋简体"/>
          <w:sz w:val="36"/>
          <w:szCs w:val="36"/>
          <w:highlight w:val="none"/>
        </w:rPr>
      </w:pPr>
      <w:r>
        <w:rPr>
          <w:rFonts w:hint="eastAsia" w:ascii="方正小标宋简体" w:hAnsi="方正小标宋简体" w:eastAsia="方正小标宋简体"/>
          <w:sz w:val="36"/>
          <w:szCs w:val="36"/>
          <w:highlight w:val="none"/>
        </w:rPr>
        <w:t>参赛名额分配表</w:t>
      </w:r>
    </w:p>
    <w:p w14:paraId="23D1074C">
      <w:pPr>
        <w:spacing w:line="600" w:lineRule="exact"/>
        <w:jc w:val="center"/>
        <w:rPr>
          <w:rFonts w:hint="eastAsia" w:ascii="方正小标宋简体" w:hAnsi="方正小标宋简体" w:eastAsia="方正小标宋简体"/>
          <w:sz w:val="36"/>
          <w:szCs w:val="36"/>
          <w:highlight w:val="none"/>
        </w:rPr>
      </w:pPr>
    </w:p>
    <w:tbl>
      <w:tblPr>
        <w:tblStyle w:val="2"/>
        <w:tblW w:w="8452" w:type="dxa"/>
        <w:jc w:val="center"/>
        <w:tblLayout w:type="fixed"/>
        <w:tblCellMar>
          <w:top w:w="0" w:type="dxa"/>
          <w:left w:w="108" w:type="dxa"/>
          <w:bottom w:w="0" w:type="dxa"/>
          <w:right w:w="108" w:type="dxa"/>
        </w:tblCellMar>
      </w:tblPr>
      <w:tblGrid>
        <w:gridCol w:w="848"/>
        <w:gridCol w:w="1245"/>
        <w:gridCol w:w="1644"/>
        <w:gridCol w:w="965"/>
        <w:gridCol w:w="1878"/>
        <w:gridCol w:w="1872"/>
      </w:tblGrid>
      <w:tr w14:paraId="71576745">
        <w:trPr>
          <w:trHeight w:val="1183" w:hRule="atLeast"/>
          <w:jc w:val="center"/>
        </w:trPr>
        <w:tc>
          <w:tcPr>
            <w:tcW w:w="848" w:type="dxa"/>
            <w:tcBorders>
              <w:top w:val="single" w:color="auto" w:sz="4" w:space="0"/>
              <w:left w:val="single" w:color="auto" w:sz="4" w:space="0"/>
              <w:bottom w:val="single" w:color="auto" w:sz="4" w:space="0"/>
              <w:right w:val="single" w:color="auto" w:sz="4" w:space="0"/>
            </w:tcBorders>
            <w:noWrap/>
            <w:vAlign w:val="center"/>
          </w:tcPr>
          <w:p w14:paraId="0FAE802E">
            <w:pPr>
              <w:widowControl/>
              <w:spacing w:line="320" w:lineRule="exact"/>
              <w:jc w:val="center"/>
              <w:rPr>
                <w:rFonts w:hint="eastAsia" w:hAnsi="仿宋_GB2312" w:cs="黑体"/>
                <w:b/>
                <w:bCs/>
                <w:color w:val="000000"/>
                <w:kern w:val="0"/>
                <w:sz w:val="24"/>
                <w:szCs w:val="24"/>
                <w:highlight w:val="none"/>
              </w:rPr>
            </w:pPr>
            <w:r>
              <w:rPr>
                <w:rFonts w:hint="eastAsia" w:hAnsi="仿宋_GB2312" w:cs="黑体"/>
                <w:b/>
                <w:bCs/>
                <w:color w:val="000000"/>
                <w:kern w:val="0"/>
                <w:sz w:val="24"/>
                <w:szCs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ign w:val="center"/>
          </w:tcPr>
          <w:p w14:paraId="4461DA25">
            <w:pPr>
              <w:widowControl/>
              <w:spacing w:line="320" w:lineRule="exact"/>
              <w:jc w:val="center"/>
              <w:rPr>
                <w:rFonts w:hint="eastAsia" w:hAnsi="仿宋_GB2312" w:cs="黑体"/>
                <w:b/>
                <w:bCs/>
                <w:color w:val="000000"/>
                <w:kern w:val="0"/>
                <w:sz w:val="24"/>
                <w:szCs w:val="24"/>
                <w:highlight w:val="none"/>
              </w:rPr>
            </w:pPr>
            <w:r>
              <w:rPr>
                <w:rFonts w:hint="eastAsia" w:hAnsi="仿宋_GB2312" w:cs="黑体"/>
                <w:b/>
                <w:bCs/>
                <w:color w:val="000000"/>
                <w:kern w:val="0"/>
                <w:sz w:val="24"/>
                <w:szCs w:val="24"/>
                <w:highlight w:val="none"/>
              </w:rPr>
              <w:t>代表队</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357A6C8">
            <w:pPr>
              <w:widowControl/>
              <w:spacing w:line="320" w:lineRule="exact"/>
              <w:jc w:val="center"/>
              <w:rPr>
                <w:rFonts w:hint="eastAsia" w:hAnsi="仿宋_GB2312" w:cs="黑体"/>
                <w:b/>
                <w:bCs/>
                <w:color w:val="000000"/>
                <w:kern w:val="0"/>
                <w:sz w:val="24"/>
                <w:szCs w:val="24"/>
                <w:highlight w:val="none"/>
              </w:rPr>
            </w:pPr>
            <w:r>
              <w:rPr>
                <w:rFonts w:hint="eastAsia" w:hAnsi="仿宋_GB2312" w:cs="黑体"/>
                <w:b/>
                <w:bCs/>
                <w:color w:val="000000"/>
                <w:kern w:val="0"/>
                <w:sz w:val="24"/>
                <w:szCs w:val="24"/>
                <w:highlight w:val="none"/>
              </w:rPr>
              <w:t>202</w:t>
            </w:r>
            <w:r>
              <w:rPr>
                <w:rFonts w:hAnsi="仿宋_GB2312" w:cs="黑体"/>
                <w:b/>
                <w:bCs/>
                <w:color w:val="000000"/>
                <w:kern w:val="0"/>
                <w:sz w:val="24"/>
                <w:szCs w:val="24"/>
                <w:highlight w:val="none"/>
              </w:rPr>
              <w:t>5</w:t>
            </w:r>
            <w:r>
              <w:rPr>
                <w:rFonts w:hint="eastAsia" w:hAnsi="仿宋_GB2312" w:cs="黑体"/>
                <w:b/>
                <w:bCs/>
                <w:color w:val="000000"/>
                <w:kern w:val="0"/>
                <w:sz w:val="24"/>
                <w:szCs w:val="24"/>
                <w:highlight w:val="none"/>
              </w:rPr>
              <w:t>年冠军赛报名人数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66941B48">
            <w:pPr>
              <w:widowControl/>
              <w:spacing w:line="320" w:lineRule="exact"/>
              <w:jc w:val="center"/>
              <w:rPr>
                <w:rFonts w:hint="eastAsia" w:hAnsi="仿宋_GB2312" w:cs="黑体"/>
                <w:b/>
                <w:bCs/>
                <w:color w:val="000000"/>
                <w:kern w:val="0"/>
                <w:sz w:val="24"/>
                <w:szCs w:val="24"/>
                <w:highlight w:val="none"/>
              </w:rPr>
            </w:pPr>
            <w:r>
              <w:rPr>
                <w:rFonts w:hint="eastAsia" w:hAnsi="仿宋_GB2312" w:cs="黑体"/>
                <w:b/>
                <w:bCs/>
                <w:color w:val="000000"/>
                <w:kern w:val="0"/>
                <w:sz w:val="24"/>
                <w:szCs w:val="24"/>
                <w:highlight w:val="none"/>
              </w:rPr>
              <w:t>前八名总和</w:t>
            </w:r>
          </w:p>
        </w:tc>
        <w:tc>
          <w:tcPr>
            <w:tcW w:w="1878" w:type="dxa"/>
            <w:tcBorders>
              <w:top w:val="single" w:color="auto" w:sz="4" w:space="0"/>
              <w:left w:val="nil"/>
              <w:bottom w:val="single" w:color="auto" w:sz="4" w:space="0"/>
              <w:right w:val="single" w:color="auto" w:sz="4" w:space="0"/>
            </w:tcBorders>
            <w:noWrap/>
            <w:vAlign w:val="center"/>
          </w:tcPr>
          <w:p w14:paraId="0118C4FA">
            <w:pPr>
              <w:widowControl/>
              <w:spacing w:line="320" w:lineRule="exact"/>
              <w:jc w:val="center"/>
              <w:rPr>
                <w:rFonts w:hint="default" w:hAnsi="仿宋_GB2312" w:eastAsia="仿宋_GB2312" w:cs="黑体"/>
                <w:b/>
                <w:bCs/>
                <w:color w:val="000000"/>
                <w:kern w:val="0"/>
                <w:sz w:val="24"/>
                <w:szCs w:val="24"/>
                <w:highlight w:val="none"/>
                <w:lang w:val="en-US" w:eastAsia="zh-CN"/>
              </w:rPr>
            </w:pPr>
            <w:r>
              <w:rPr>
                <w:rFonts w:hint="eastAsia" w:hAnsi="仿宋_GB2312" w:cs="黑体"/>
                <w:b/>
                <w:bCs/>
                <w:color w:val="000000"/>
                <w:kern w:val="0"/>
                <w:sz w:val="24"/>
                <w:szCs w:val="24"/>
                <w:highlight w:val="none"/>
                <w:lang w:val="en-US" w:eastAsia="zh-CN"/>
              </w:rPr>
              <w:t>额外参赛名额（按排名顺序）</w:t>
            </w:r>
          </w:p>
        </w:tc>
        <w:tc>
          <w:tcPr>
            <w:tcW w:w="1872" w:type="dxa"/>
            <w:tcBorders>
              <w:top w:val="single" w:color="auto" w:sz="4" w:space="0"/>
              <w:left w:val="nil"/>
              <w:bottom w:val="single" w:color="auto" w:sz="4" w:space="0"/>
              <w:right w:val="single" w:color="auto" w:sz="4" w:space="0"/>
            </w:tcBorders>
            <w:noWrap/>
            <w:vAlign w:val="center"/>
          </w:tcPr>
          <w:p w14:paraId="5B1F8292">
            <w:pPr>
              <w:widowControl/>
              <w:spacing w:line="320" w:lineRule="exact"/>
              <w:jc w:val="center"/>
              <w:rPr>
                <w:rFonts w:hint="default" w:hAnsi="仿宋_GB2312" w:cs="黑体"/>
                <w:b/>
                <w:bCs/>
                <w:color w:val="000000"/>
                <w:kern w:val="0"/>
                <w:sz w:val="24"/>
                <w:szCs w:val="24"/>
                <w:highlight w:val="none"/>
                <w:lang w:val="en-US" w:eastAsia="zh-CN"/>
              </w:rPr>
            </w:pPr>
            <w:r>
              <w:rPr>
                <w:rFonts w:hint="eastAsia" w:hAnsi="仿宋_GB2312" w:cs="黑体"/>
                <w:b/>
                <w:bCs/>
                <w:color w:val="000000"/>
                <w:kern w:val="0"/>
                <w:sz w:val="24"/>
                <w:szCs w:val="24"/>
                <w:highlight w:val="none"/>
                <w:lang w:val="en-US" w:eastAsia="zh-CN"/>
              </w:rPr>
              <w:t>最终可报人数（含每队36名基础人数）</w:t>
            </w:r>
          </w:p>
        </w:tc>
      </w:tr>
      <w:tr w14:paraId="613B907E">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71056E98">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1</w:t>
            </w:r>
          </w:p>
        </w:tc>
        <w:tc>
          <w:tcPr>
            <w:tcW w:w="1245" w:type="dxa"/>
            <w:tcBorders>
              <w:top w:val="nil"/>
              <w:left w:val="nil"/>
              <w:bottom w:val="single" w:color="auto" w:sz="4" w:space="0"/>
              <w:right w:val="single" w:color="auto" w:sz="4" w:space="0"/>
            </w:tcBorders>
            <w:noWrap/>
            <w:vAlign w:val="center"/>
          </w:tcPr>
          <w:p w14:paraId="294B755D">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东城区</w:t>
            </w:r>
          </w:p>
        </w:tc>
        <w:tc>
          <w:tcPr>
            <w:tcW w:w="1644" w:type="dxa"/>
            <w:tcBorders>
              <w:top w:val="nil"/>
              <w:left w:val="nil"/>
              <w:bottom w:val="single" w:color="auto" w:sz="4" w:space="0"/>
              <w:right w:val="single" w:color="auto" w:sz="4" w:space="0"/>
            </w:tcBorders>
            <w:noWrap/>
            <w:vAlign w:val="center"/>
          </w:tcPr>
          <w:p w14:paraId="342F5373">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43</w:t>
            </w:r>
          </w:p>
        </w:tc>
        <w:tc>
          <w:tcPr>
            <w:tcW w:w="965" w:type="dxa"/>
            <w:tcBorders>
              <w:top w:val="nil"/>
              <w:left w:val="nil"/>
              <w:bottom w:val="single" w:color="auto" w:sz="4" w:space="0"/>
              <w:right w:val="single" w:color="auto" w:sz="4" w:space="0"/>
            </w:tcBorders>
            <w:noWrap/>
            <w:vAlign w:val="center"/>
          </w:tcPr>
          <w:p w14:paraId="4FEA7010">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38</w:t>
            </w:r>
          </w:p>
        </w:tc>
        <w:tc>
          <w:tcPr>
            <w:tcW w:w="1878" w:type="dxa"/>
            <w:tcBorders>
              <w:top w:val="nil"/>
              <w:left w:val="nil"/>
              <w:bottom w:val="single" w:color="auto" w:sz="4" w:space="0"/>
              <w:right w:val="single" w:color="auto" w:sz="4" w:space="0"/>
            </w:tcBorders>
            <w:noWrap/>
            <w:vAlign w:val="center"/>
          </w:tcPr>
          <w:p w14:paraId="55FADF21">
            <w:pPr>
              <w:widowControl/>
              <w:spacing w:line="320" w:lineRule="exact"/>
              <w:jc w:val="center"/>
              <w:rPr>
                <w:rFonts w:hint="default"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10</w:t>
            </w:r>
          </w:p>
        </w:tc>
        <w:tc>
          <w:tcPr>
            <w:tcW w:w="1872" w:type="dxa"/>
            <w:tcBorders>
              <w:top w:val="nil"/>
              <w:left w:val="nil"/>
              <w:bottom w:val="single" w:color="auto" w:sz="4" w:space="0"/>
              <w:right w:val="single" w:color="auto" w:sz="4" w:space="0"/>
            </w:tcBorders>
            <w:noWrap/>
            <w:vAlign w:val="center"/>
          </w:tcPr>
          <w:p w14:paraId="728F970A">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46</w:t>
            </w:r>
          </w:p>
        </w:tc>
      </w:tr>
      <w:tr w14:paraId="62418FF3">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621B0826">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2</w:t>
            </w:r>
          </w:p>
        </w:tc>
        <w:tc>
          <w:tcPr>
            <w:tcW w:w="1245" w:type="dxa"/>
            <w:tcBorders>
              <w:top w:val="nil"/>
              <w:left w:val="nil"/>
              <w:bottom w:val="single" w:color="auto" w:sz="4" w:space="0"/>
              <w:right w:val="single" w:color="auto" w:sz="4" w:space="0"/>
            </w:tcBorders>
            <w:noWrap/>
            <w:vAlign w:val="center"/>
          </w:tcPr>
          <w:p w14:paraId="6641163C">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西城区</w:t>
            </w:r>
          </w:p>
        </w:tc>
        <w:tc>
          <w:tcPr>
            <w:tcW w:w="1644" w:type="dxa"/>
            <w:tcBorders>
              <w:top w:val="nil"/>
              <w:left w:val="nil"/>
              <w:bottom w:val="single" w:color="auto" w:sz="4" w:space="0"/>
              <w:right w:val="single" w:color="auto" w:sz="4" w:space="0"/>
            </w:tcBorders>
            <w:noWrap/>
            <w:vAlign w:val="center"/>
          </w:tcPr>
          <w:p w14:paraId="2F0A10A6">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40</w:t>
            </w:r>
          </w:p>
        </w:tc>
        <w:tc>
          <w:tcPr>
            <w:tcW w:w="965" w:type="dxa"/>
            <w:tcBorders>
              <w:top w:val="nil"/>
              <w:left w:val="nil"/>
              <w:bottom w:val="single" w:color="auto" w:sz="4" w:space="0"/>
              <w:right w:val="single" w:color="auto" w:sz="4" w:space="0"/>
            </w:tcBorders>
            <w:noWrap/>
            <w:vAlign w:val="center"/>
          </w:tcPr>
          <w:p w14:paraId="101C2491">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28</w:t>
            </w:r>
          </w:p>
        </w:tc>
        <w:tc>
          <w:tcPr>
            <w:tcW w:w="1878" w:type="dxa"/>
            <w:tcBorders>
              <w:top w:val="nil"/>
              <w:left w:val="nil"/>
              <w:bottom w:val="single" w:color="auto" w:sz="4" w:space="0"/>
              <w:right w:val="single" w:color="auto" w:sz="4" w:space="0"/>
            </w:tcBorders>
            <w:noWrap/>
            <w:vAlign w:val="center"/>
          </w:tcPr>
          <w:p w14:paraId="31D585AB">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9</w:t>
            </w:r>
          </w:p>
        </w:tc>
        <w:tc>
          <w:tcPr>
            <w:tcW w:w="1872" w:type="dxa"/>
            <w:tcBorders>
              <w:top w:val="nil"/>
              <w:left w:val="nil"/>
              <w:bottom w:val="single" w:color="auto" w:sz="4" w:space="0"/>
              <w:right w:val="single" w:color="auto" w:sz="4" w:space="0"/>
            </w:tcBorders>
            <w:noWrap/>
            <w:vAlign w:val="center"/>
          </w:tcPr>
          <w:p w14:paraId="7BC3D13F">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45</w:t>
            </w:r>
          </w:p>
        </w:tc>
      </w:tr>
      <w:tr w14:paraId="02000DE3">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102C7C63">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3</w:t>
            </w:r>
          </w:p>
        </w:tc>
        <w:tc>
          <w:tcPr>
            <w:tcW w:w="1245" w:type="dxa"/>
            <w:tcBorders>
              <w:top w:val="nil"/>
              <w:left w:val="nil"/>
              <w:bottom w:val="single" w:color="auto" w:sz="4" w:space="0"/>
              <w:right w:val="single" w:color="auto" w:sz="4" w:space="0"/>
            </w:tcBorders>
            <w:noWrap/>
            <w:vAlign w:val="center"/>
          </w:tcPr>
          <w:p w14:paraId="69DFC38A">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朝阳区</w:t>
            </w:r>
          </w:p>
        </w:tc>
        <w:tc>
          <w:tcPr>
            <w:tcW w:w="1644" w:type="dxa"/>
            <w:tcBorders>
              <w:top w:val="nil"/>
              <w:left w:val="nil"/>
              <w:bottom w:val="single" w:color="auto" w:sz="4" w:space="0"/>
              <w:right w:val="single" w:color="auto" w:sz="4" w:space="0"/>
            </w:tcBorders>
            <w:noWrap/>
            <w:vAlign w:val="center"/>
          </w:tcPr>
          <w:p w14:paraId="1F3A33D5">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44</w:t>
            </w:r>
          </w:p>
        </w:tc>
        <w:tc>
          <w:tcPr>
            <w:tcW w:w="965" w:type="dxa"/>
            <w:tcBorders>
              <w:top w:val="nil"/>
              <w:left w:val="nil"/>
              <w:bottom w:val="single" w:color="auto" w:sz="4" w:space="0"/>
              <w:right w:val="single" w:color="auto" w:sz="4" w:space="0"/>
            </w:tcBorders>
            <w:noWrap/>
            <w:vAlign w:val="center"/>
          </w:tcPr>
          <w:p w14:paraId="4408163F">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23</w:t>
            </w:r>
          </w:p>
        </w:tc>
        <w:tc>
          <w:tcPr>
            <w:tcW w:w="1878" w:type="dxa"/>
            <w:tcBorders>
              <w:top w:val="nil"/>
              <w:left w:val="nil"/>
              <w:bottom w:val="single" w:color="auto" w:sz="4" w:space="0"/>
              <w:right w:val="single" w:color="auto" w:sz="4" w:space="0"/>
            </w:tcBorders>
            <w:noWrap/>
            <w:vAlign w:val="center"/>
          </w:tcPr>
          <w:p w14:paraId="3B779591">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8</w:t>
            </w:r>
          </w:p>
        </w:tc>
        <w:tc>
          <w:tcPr>
            <w:tcW w:w="1872" w:type="dxa"/>
            <w:tcBorders>
              <w:top w:val="nil"/>
              <w:left w:val="nil"/>
              <w:bottom w:val="single" w:color="auto" w:sz="4" w:space="0"/>
              <w:right w:val="single" w:color="auto" w:sz="4" w:space="0"/>
            </w:tcBorders>
            <w:noWrap/>
            <w:vAlign w:val="center"/>
          </w:tcPr>
          <w:p w14:paraId="57C0B9B0">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44</w:t>
            </w:r>
          </w:p>
        </w:tc>
      </w:tr>
      <w:tr w14:paraId="177A45F5">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35B2026F">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4</w:t>
            </w:r>
          </w:p>
        </w:tc>
        <w:tc>
          <w:tcPr>
            <w:tcW w:w="1245" w:type="dxa"/>
            <w:tcBorders>
              <w:top w:val="nil"/>
              <w:left w:val="nil"/>
              <w:bottom w:val="single" w:color="auto" w:sz="4" w:space="0"/>
              <w:right w:val="single" w:color="auto" w:sz="4" w:space="0"/>
            </w:tcBorders>
            <w:noWrap/>
            <w:vAlign w:val="center"/>
          </w:tcPr>
          <w:p w14:paraId="6A247E65">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顺义区</w:t>
            </w:r>
          </w:p>
        </w:tc>
        <w:tc>
          <w:tcPr>
            <w:tcW w:w="1644" w:type="dxa"/>
            <w:tcBorders>
              <w:top w:val="nil"/>
              <w:left w:val="nil"/>
              <w:bottom w:val="single" w:color="auto" w:sz="4" w:space="0"/>
              <w:right w:val="single" w:color="auto" w:sz="4" w:space="0"/>
            </w:tcBorders>
            <w:noWrap/>
            <w:vAlign w:val="center"/>
          </w:tcPr>
          <w:p w14:paraId="3C012333">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28</w:t>
            </w:r>
          </w:p>
        </w:tc>
        <w:tc>
          <w:tcPr>
            <w:tcW w:w="965" w:type="dxa"/>
            <w:tcBorders>
              <w:top w:val="nil"/>
              <w:left w:val="nil"/>
              <w:bottom w:val="single" w:color="auto" w:sz="4" w:space="0"/>
              <w:right w:val="single" w:color="auto" w:sz="4" w:space="0"/>
            </w:tcBorders>
            <w:noWrap/>
            <w:vAlign w:val="center"/>
          </w:tcPr>
          <w:p w14:paraId="1E49E94C">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18</w:t>
            </w:r>
          </w:p>
        </w:tc>
        <w:tc>
          <w:tcPr>
            <w:tcW w:w="1878" w:type="dxa"/>
            <w:tcBorders>
              <w:top w:val="nil"/>
              <w:left w:val="nil"/>
              <w:bottom w:val="single" w:color="auto" w:sz="4" w:space="0"/>
              <w:right w:val="single" w:color="auto" w:sz="4" w:space="0"/>
            </w:tcBorders>
            <w:noWrap/>
            <w:vAlign w:val="center"/>
          </w:tcPr>
          <w:p w14:paraId="64118A3E">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7</w:t>
            </w:r>
          </w:p>
        </w:tc>
        <w:tc>
          <w:tcPr>
            <w:tcW w:w="1872" w:type="dxa"/>
            <w:tcBorders>
              <w:top w:val="nil"/>
              <w:left w:val="nil"/>
              <w:bottom w:val="single" w:color="auto" w:sz="4" w:space="0"/>
              <w:right w:val="single" w:color="auto" w:sz="4" w:space="0"/>
            </w:tcBorders>
            <w:noWrap/>
            <w:vAlign w:val="center"/>
          </w:tcPr>
          <w:p w14:paraId="3B168740">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43</w:t>
            </w:r>
          </w:p>
        </w:tc>
      </w:tr>
      <w:tr w14:paraId="07814A99">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0A1525C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5</w:t>
            </w:r>
          </w:p>
        </w:tc>
        <w:tc>
          <w:tcPr>
            <w:tcW w:w="1245" w:type="dxa"/>
            <w:tcBorders>
              <w:top w:val="nil"/>
              <w:left w:val="nil"/>
              <w:bottom w:val="single" w:color="auto" w:sz="4" w:space="0"/>
              <w:right w:val="single" w:color="auto" w:sz="4" w:space="0"/>
            </w:tcBorders>
            <w:noWrap/>
            <w:vAlign w:val="center"/>
          </w:tcPr>
          <w:p w14:paraId="60701732">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丰台区</w:t>
            </w:r>
          </w:p>
        </w:tc>
        <w:tc>
          <w:tcPr>
            <w:tcW w:w="1644" w:type="dxa"/>
            <w:tcBorders>
              <w:top w:val="nil"/>
              <w:left w:val="nil"/>
              <w:bottom w:val="single" w:color="auto" w:sz="4" w:space="0"/>
              <w:right w:val="single" w:color="auto" w:sz="4" w:space="0"/>
            </w:tcBorders>
            <w:noWrap/>
            <w:vAlign w:val="center"/>
          </w:tcPr>
          <w:p w14:paraId="55D5114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16</w:t>
            </w:r>
          </w:p>
        </w:tc>
        <w:tc>
          <w:tcPr>
            <w:tcW w:w="965" w:type="dxa"/>
            <w:tcBorders>
              <w:top w:val="nil"/>
              <w:left w:val="nil"/>
              <w:bottom w:val="single" w:color="auto" w:sz="4" w:space="0"/>
              <w:right w:val="single" w:color="auto" w:sz="4" w:space="0"/>
            </w:tcBorders>
            <w:noWrap/>
            <w:vAlign w:val="center"/>
          </w:tcPr>
          <w:p w14:paraId="4040D2B6">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13</w:t>
            </w:r>
          </w:p>
        </w:tc>
        <w:tc>
          <w:tcPr>
            <w:tcW w:w="1878" w:type="dxa"/>
            <w:tcBorders>
              <w:top w:val="nil"/>
              <w:left w:val="nil"/>
              <w:bottom w:val="single" w:color="auto" w:sz="4" w:space="0"/>
              <w:right w:val="single" w:color="auto" w:sz="4" w:space="0"/>
            </w:tcBorders>
            <w:noWrap/>
            <w:vAlign w:val="center"/>
          </w:tcPr>
          <w:p w14:paraId="62BD626D">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6</w:t>
            </w:r>
          </w:p>
        </w:tc>
        <w:tc>
          <w:tcPr>
            <w:tcW w:w="1872" w:type="dxa"/>
            <w:tcBorders>
              <w:top w:val="nil"/>
              <w:left w:val="nil"/>
              <w:bottom w:val="single" w:color="auto" w:sz="4" w:space="0"/>
              <w:right w:val="single" w:color="auto" w:sz="4" w:space="0"/>
            </w:tcBorders>
            <w:noWrap/>
            <w:vAlign w:val="center"/>
          </w:tcPr>
          <w:p w14:paraId="7B6352C0">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42</w:t>
            </w:r>
          </w:p>
        </w:tc>
      </w:tr>
      <w:tr w14:paraId="592586F9">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161C2BA1">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6</w:t>
            </w:r>
          </w:p>
        </w:tc>
        <w:tc>
          <w:tcPr>
            <w:tcW w:w="1245" w:type="dxa"/>
            <w:tcBorders>
              <w:top w:val="nil"/>
              <w:left w:val="nil"/>
              <w:bottom w:val="single" w:color="auto" w:sz="4" w:space="0"/>
              <w:right w:val="single" w:color="auto" w:sz="4" w:space="0"/>
            </w:tcBorders>
            <w:noWrap/>
            <w:vAlign w:val="center"/>
          </w:tcPr>
          <w:p w14:paraId="73D7E917">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海淀区</w:t>
            </w:r>
          </w:p>
        </w:tc>
        <w:tc>
          <w:tcPr>
            <w:tcW w:w="1644" w:type="dxa"/>
            <w:tcBorders>
              <w:top w:val="nil"/>
              <w:left w:val="nil"/>
              <w:bottom w:val="single" w:color="auto" w:sz="4" w:space="0"/>
              <w:right w:val="single" w:color="auto" w:sz="4" w:space="0"/>
            </w:tcBorders>
            <w:noWrap/>
            <w:vAlign w:val="center"/>
          </w:tcPr>
          <w:p w14:paraId="7475C0D6">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16</w:t>
            </w:r>
          </w:p>
        </w:tc>
        <w:tc>
          <w:tcPr>
            <w:tcW w:w="965" w:type="dxa"/>
            <w:tcBorders>
              <w:top w:val="nil"/>
              <w:left w:val="nil"/>
              <w:bottom w:val="single" w:color="auto" w:sz="4" w:space="0"/>
              <w:right w:val="single" w:color="auto" w:sz="4" w:space="0"/>
            </w:tcBorders>
            <w:noWrap/>
            <w:vAlign w:val="center"/>
          </w:tcPr>
          <w:p w14:paraId="307055F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10</w:t>
            </w:r>
          </w:p>
        </w:tc>
        <w:tc>
          <w:tcPr>
            <w:tcW w:w="1878" w:type="dxa"/>
            <w:tcBorders>
              <w:top w:val="nil"/>
              <w:left w:val="nil"/>
              <w:bottom w:val="single" w:color="auto" w:sz="4" w:space="0"/>
              <w:right w:val="single" w:color="auto" w:sz="4" w:space="0"/>
            </w:tcBorders>
            <w:noWrap/>
            <w:vAlign w:val="center"/>
          </w:tcPr>
          <w:p w14:paraId="1B1A3863">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5</w:t>
            </w:r>
          </w:p>
        </w:tc>
        <w:tc>
          <w:tcPr>
            <w:tcW w:w="1872" w:type="dxa"/>
            <w:tcBorders>
              <w:top w:val="nil"/>
              <w:left w:val="nil"/>
              <w:bottom w:val="single" w:color="auto" w:sz="4" w:space="0"/>
              <w:right w:val="single" w:color="auto" w:sz="4" w:space="0"/>
            </w:tcBorders>
            <w:noWrap/>
            <w:vAlign w:val="center"/>
          </w:tcPr>
          <w:p w14:paraId="62DFEC6E">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41</w:t>
            </w:r>
          </w:p>
        </w:tc>
      </w:tr>
      <w:tr w14:paraId="1F01FED6">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5C931037">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7</w:t>
            </w:r>
          </w:p>
        </w:tc>
        <w:tc>
          <w:tcPr>
            <w:tcW w:w="1245" w:type="dxa"/>
            <w:tcBorders>
              <w:top w:val="nil"/>
              <w:left w:val="nil"/>
              <w:bottom w:val="single" w:color="auto" w:sz="4" w:space="0"/>
              <w:right w:val="single" w:color="auto" w:sz="4" w:space="0"/>
            </w:tcBorders>
            <w:noWrap/>
            <w:vAlign w:val="center"/>
          </w:tcPr>
          <w:p w14:paraId="6CE45EC3">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房山区</w:t>
            </w:r>
          </w:p>
        </w:tc>
        <w:tc>
          <w:tcPr>
            <w:tcW w:w="1644" w:type="dxa"/>
            <w:tcBorders>
              <w:top w:val="nil"/>
              <w:left w:val="nil"/>
              <w:bottom w:val="single" w:color="auto" w:sz="4" w:space="0"/>
              <w:right w:val="single" w:color="auto" w:sz="4" w:space="0"/>
            </w:tcBorders>
            <w:noWrap/>
            <w:vAlign w:val="center"/>
          </w:tcPr>
          <w:p w14:paraId="676D6801">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19</w:t>
            </w:r>
          </w:p>
        </w:tc>
        <w:tc>
          <w:tcPr>
            <w:tcW w:w="965" w:type="dxa"/>
            <w:tcBorders>
              <w:top w:val="nil"/>
              <w:left w:val="nil"/>
              <w:bottom w:val="single" w:color="auto" w:sz="4" w:space="0"/>
              <w:right w:val="single" w:color="auto" w:sz="4" w:space="0"/>
            </w:tcBorders>
            <w:noWrap/>
            <w:vAlign w:val="center"/>
          </w:tcPr>
          <w:p w14:paraId="2F8420B8">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10</w:t>
            </w:r>
          </w:p>
        </w:tc>
        <w:tc>
          <w:tcPr>
            <w:tcW w:w="1878" w:type="dxa"/>
            <w:tcBorders>
              <w:top w:val="nil"/>
              <w:left w:val="nil"/>
              <w:bottom w:val="single" w:color="auto" w:sz="4" w:space="0"/>
              <w:right w:val="single" w:color="auto" w:sz="4" w:space="0"/>
            </w:tcBorders>
            <w:noWrap/>
            <w:vAlign w:val="center"/>
          </w:tcPr>
          <w:p w14:paraId="3282C945">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5</w:t>
            </w:r>
          </w:p>
        </w:tc>
        <w:tc>
          <w:tcPr>
            <w:tcW w:w="1872" w:type="dxa"/>
            <w:tcBorders>
              <w:top w:val="nil"/>
              <w:left w:val="nil"/>
              <w:bottom w:val="single" w:color="auto" w:sz="4" w:space="0"/>
              <w:right w:val="single" w:color="auto" w:sz="4" w:space="0"/>
            </w:tcBorders>
            <w:noWrap/>
            <w:vAlign w:val="center"/>
          </w:tcPr>
          <w:p w14:paraId="59B2DBA8">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41</w:t>
            </w:r>
          </w:p>
        </w:tc>
      </w:tr>
      <w:tr w14:paraId="17DB9301">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41A0EEF0">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8</w:t>
            </w:r>
          </w:p>
        </w:tc>
        <w:tc>
          <w:tcPr>
            <w:tcW w:w="1245" w:type="dxa"/>
            <w:tcBorders>
              <w:top w:val="nil"/>
              <w:left w:val="nil"/>
              <w:bottom w:val="single" w:color="auto" w:sz="4" w:space="0"/>
              <w:right w:val="single" w:color="auto" w:sz="4" w:space="0"/>
            </w:tcBorders>
            <w:noWrap/>
            <w:vAlign w:val="center"/>
          </w:tcPr>
          <w:p w14:paraId="39BAF034">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门头沟区</w:t>
            </w:r>
          </w:p>
        </w:tc>
        <w:tc>
          <w:tcPr>
            <w:tcW w:w="1644" w:type="dxa"/>
            <w:tcBorders>
              <w:top w:val="nil"/>
              <w:left w:val="nil"/>
              <w:bottom w:val="single" w:color="auto" w:sz="4" w:space="0"/>
              <w:right w:val="single" w:color="auto" w:sz="4" w:space="0"/>
            </w:tcBorders>
            <w:noWrap/>
            <w:vAlign w:val="center"/>
          </w:tcPr>
          <w:p w14:paraId="3603D9E4">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10</w:t>
            </w:r>
          </w:p>
        </w:tc>
        <w:tc>
          <w:tcPr>
            <w:tcW w:w="965" w:type="dxa"/>
            <w:tcBorders>
              <w:top w:val="nil"/>
              <w:left w:val="nil"/>
              <w:bottom w:val="single" w:color="auto" w:sz="4" w:space="0"/>
              <w:right w:val="single" w:color="auto" w:sz="4" w:space="0"/>
            </w:tcBorders>
            <w:noWrap/>
            <w:vAlign w:val="center"/>
          </w:tcPr>
          <w:p w14:paraId="6246AEAA">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7</w:t>
            </w:r>
          </w:p>
        </w:tc>
        <w:tc>
          <w:tcPr>
            <w:tcW w:w="1878" w:type="dxa"/>
            <w:tcBorders>
              <w:top w:val="nil"/>
              <w:left w:val="nil"/>
              <w:bottom w:val="single" w:color="auto" w:sz="4" w:space="0"/>
              <w:right w:val="single" w:color="auto" w:sz="4" w:space="0"/>
            </w:tcBorders>
            <w:noWrap/>
            <w:vAlign w:val="center"/>
          </w:tcPr>
          <w:p w14:paraId="6FBDE072">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w:t>
            </w:r>
          </w:p>
        </w:tc>
        <w:tc>
          <w:tcPr>
            <w:tcW w:w="1872" w:type="dxa"/>
            <w:tcBorders>
              <w:top w:val="nil"/>
              <w:left w:val="nil"/>
              <w:bottom w:val="single" w:color="auto" w:sz="4" w:space="0"/>
              <w:right w:val="single" w:color="auto" w:sz="4" w:space="0"/>
            </w:tcBorders>
            <w:noWrap/>
            <w:vAlign w:val="center"/>
          </w:tcPr>
          <w:p w14:paraId="6178FE9B">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40</w:t>
            </w:r>
          </w:p>
        </w:tc>
      </w:tr>
      <w:tr w14:paraId="46C77BBD">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165EA45B">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9</w:t>
            </w:r>
          </w:p>
        </w:tc>
        <w:tc>
          <w:tcPr>
            <w:tcW w:w="1245" w:type="dxa"/>
            <w:tcBorders>
              <w:top w:val="nil"/>
              <w:left w:val="nil"/>
              <w:bottom w:val="single" w:color="auto" w:sz="4" w:space="0"/>
              <w:right w:val="single" w:color="auto" w:sz="4" w:space="0"/>
            </w:tcBorders>
            <w:noWrap/>
            <w:vAlign w:val="center"/>
          </w:tcPr>
          <w:p w14:paraId="125F046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大兴区</w:t>
            </w:r>
          </w:p>
        </w:tc>
        <w:tc>
          <w:tcPr>
            <w:tcW w:w="1644" w:type="dxa"/>
            <w:tcBorders>
              <w:top w:val="nil"/>
              <w:left w:val="nil"/>
              <w:bottom w:val="single" w:color="auto" w:sz="4" w:space="0"/>
              <w:right w:val="single" w:color="auto" w:sz="4" w:space="0"/>
            </w:tcBorders>
            <w:noWrap/>
            <w:vAlign w:val="center"/>
          </w:tcPr>
          <w:p w14:paraId="22ED3B1B">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7</w:t>
            </w:r>
          </w:p>
        </w:tc>
        <w:tc>
          <w:tcPr>
            <w:tcW w:w="965" w:type="dxa"/>
            <w:tcBorders>
              <w:top w:val="nil"/>
              <w:left w:val="nil"/>
              <w:bottom w:val="single" w:color="auto" w:sz="4" w:space="0"/>
              <w:right w:val="single" w:color="auto" w:sz="4" w:space="0"/>
            </w:tcBorders>
            <w:noWrap/>
            <w:vAlign w:val="center"/>
          </w:tcPr>
          <w:p w14:paraId="6C8C8390">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6</w:t>
            </w:r>
          </w:p>
        </w:tc>
        <w:tc>
          <w:tcPr>
            <w:tcW w:w="1878" w:type="dxa"/>
            <w:tcBorders>
              <w:top w:val="nil"/>
              <w:left w:val="nil"/>
              <w:bottom w:val="single" w:color="auto" w:sz="4" w:space="0"/>
              <w:right w:val="single" w:color="auto" w:sz="4" w:space="0"/>
            </w:tcBorders>
            <w:noWrap/>
            <w:vAlign w:val="center"/>
          </w:tcPr>
          <w:p w14:paraId="4BC8DE85">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3</w:t>
            </w:r>
          </w:p>
        </w:tc>
        <w:tc>
          <w:tcPr>
            <w:tcW w:w="1872" w:type="dxa"/>
            <w:tcBorders>
              <w:top w:val="nil"/>
              <w:left w:val="nil"/>
              <w:bottom w:val="single" w:color="auto" w:sz="4" w:space="0"/>
              <w:right w:val="single" w:color="auto" w:sz="4" w:space="0"/>
            </w:tcBorders>
            <w:noWrap/>
            <w:vAlign w:val="center"/>
          </w:tcPr>
          <w:p w14:paraId="651034F9">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39</w:t>
            </w:r>
          </w:p>
        </w:tc>
      </w:tr>
      <w:tr w14:paraId="735677AF">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16090103">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10</w:t>
            </w:r>
          </w:p>
        </w:tc>
        <w:tc>
          <w:tcPr>
            <w:tcW w:w="1245" w:type="dxa"/>
            <w:tcBorders>
              <w:top w:val="nil"/>
              <w:left w:val="nil"/>
              <w:bottom w:val="single" w:color="auto" w:sz="4" w:space="0"/>
              <w:right w:val="single" w:color="auto" w:sz="4" w:space="0"/>
            </w:tcBorders>
            <w:noWrap/>
            <w:vAlign w:val="center"/>
          </w:tcPr>
          <w:p w14:paraId="3EAC7AF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通州区</w:t>
            </w:r>
          </w:p>
        </w:tc>
        <w:tc>
          <w:tcPr>
            <w:tcW w:w="1644" w:type="dxa"/>
            <w:tcBorders>
              <w:top w:val="nil"/>
              <w:left w:val="nil"/>
              <w:bottom w:val="single" w:color="auto" w:sz="4" w:space="0"/>
              <w:right w:val="single" w:color="auto" w:sz="4" w:space="0"/>
            </w:tcBorders>
            <w:noWrap/>
            <w:vAlign w:val="center"/>
          </w:tcPr>
          <w:p w14:paraId="2AEB892A">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5</w:t>
            </w:r>
          </w:p>
        </w:tc>
        <w:tc>
          <w:tcPr>
            <w:tcW w:w="965" w:type="dxa"/>
            <w:tcBorders>
              <w:top w:val="nil"/>
              <w:left w:val="nil"/>
              <w:bottom w:val="single" w:color="auto" w:sz="4" w:space="0"/>
              <w:right w:val="single" w:color="auto" w:sz="4" w:space="0"/>
            </w:tcBorders>
            <w:noWrap/>
            <w:vAlign w:val="center"/>
          </w:tcPr>
          <w:p w14:paraId="2219313E">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3</w:t>
            </w:r>
          </w:p>
        </w:tc>
        <w:tc>
          <w:tcPr>
            <w:tcW w:w="1878" w:type="dxa"/>
            <w:tcBorders>
              <w:top w:val="nil"/>
              <w:left w:val="nil"/>
              <w:bottom w:val="single" w:color="auto" w:sz="4" w:space="0"/>
              <w:right w:val="single" w:color="auto" w:sz="4" w:space="0"/>
            </w:tcBorders>
            <w:noWrap/>
            <w:vAlign w:val="center"/>
          </w:tcPr>
          <w:p w14:paraId="263B5023">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2</w:t>
            </w:r>
          </w:p>
        </w:tc>
        <w:tc>
          <w:tcPr>
            <w:tcW w:w="1872" w:type="dxa"/>
            <w:tcBorders>
              <w:top w:val="nil"/>
              <w:left w:val="nil"/>
              <w:bottom w:val="single" w:color="auto" w:sz="4" w:space="0"/>
              <w:right w:val="single" w:color="auto" w:sz="4" w:space="0"/>
            </w:tcBorders>
            <w:noWrap/>
            <w:vAlign w:val="center"/>
          </w:tcPr>
          <w:p w14:paraId="48F82A97">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38</w:t>
            </w:r>
          </w:p>
        </w:tc>
      </w:tr>
      <w:tr w14:paraId="3D87DE6D">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0C9C76DB">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11</w:t>
            </w:r>
          </w:p>
        </w:tc>
        <w:tc>
          <w:tcPr>
            <w:tcW w:w="1245" w:type="dxa"/>
            <w:tcBorders>
              <w:top w:val="nil"/>
              <w:left w:val="nil"/>
              <w:bottom w:val="single" w:color="auto" w:sz="4" w:space="0"/>
              <w:right w:val="single" w:color="auto" w:sz="4" w:space="0"/>
            </w:tcBorders>
            <w:noWrap/>
            <w:vAlign w:val="center"/>
          </w:tcPr>
          <w:p w14:paraId="17D901E9">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石景山区</w:t>
            </w:r>
          </w:p>
        </w:tc>
        <w:tc>
          <w:tcPr>
            <w:tcW w:w="1644" w:type="dxa"/>
            <w:tcBorders>
              <w:top w:val="nil"/>
              <w:left w:val="nil"/>
              <w:bottom w:val="single" w:color="auto" w:sz="4" w:space="0"/>
              <w:right w:val="single" w:color="auto" w:sz="4" w:space="0"/>
            </w:tcBorders>
            <w:noWrap/>
            <w:vAlign w:val="center"/>
          </w:tcPr>
          <w:p w14:paraId="28F9396F">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6</w:t>
            </w:r>
          </w:p>
        </w:tc>
        <w:tc>
          <w:tcPr>
            <w:tcW w:w="965" w:type="dxa"/>
            <w:tcBorders>
              <w:top w:val="nil"/>
              <w:left w:val="nil"/>
              <w:bottom w:val="single" w:color="auto" w:sz="4" w:space="0"/>
              <w:right w:val="single" w:color="auto" w:sz="4" w:space="0"/>
            </w:tcBorders>
            <w:noWrap/>
            <w:vAlign w:val="center"/>
          </w:tcPr>
          <w:p w14:paraId="07FC1D52">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2</w:t>
            </w:r>
          </w:p>
        </w:tc>
        <w:tc>
          <w:tcPr>
            <w:tcW w:w="1878" w:type="dxa"/>
            <w:tcBorders>
              <w:top w:val="nil"/>
              <w:left w:val="nil"/>
              <w:bottom w:val="single" w:color="auto" w:sz="4" w:space="0"/>
              <w:right w:val="single" w:color="auto" w:sz="4" w:space="0"/>
            </w:tcBorders>
            <w:noWrap/>
            <w:vAlign w:val="center"/>
          </w:tcPr>
          <w:p w14:paraId="453B25BD">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1</w:t>
            </w:r>
          </w:p>
        </w:tc>
        <w:tc>
          <w:tcPr>
            <w:tcW w:w="1872" w:type="dxa"/>
            <w:tcBorders>
              <w:top w:val="nil"/>
              <w:left w:val="nil"/>
              <w:bottom w:val="single" w:color="auto" w:sz="4" w:space="0"/>
              <w:right w:val="single" w:color="auto" w:sz="4" w:space="0"/>
            </w:tcBorders>
            <w:noWrap/>
            <w:vAlign w:val="center"/>
          </w:tcPr>
          <w:p w14:paraId="539AA6FE">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37</w:t>
            </w:r>
          </w:p>
        </w:tc>
      </w:tr>
      <w:tr w14:paraId="1F81D5AD">
        <w:trPr>
          <w:trHeight w:val="365" w:hRule="atLeast"/>
          <w:jc w:val="center"/>
        </w:trPr>
        <w:tc>
          <w:tcPr>
            <w:tcW w:w="848" w:type="dxa"/>
            <w:tcBorders>
              <w:top w:val="nil"/>
              <w:left w:val="single" w:color="auto" w:sz="4" w:space="0"/>
              <w:bottom w:val="single" w:color="auto" w:sz="4" w:space="0"/>
              <w:right w:val="single" w:color="auto" w:sz="4" w:space="0"/>
            </w:tcBorders>
            <w:noWrap/>
            <w:vAlign w:val="center"/>
          </w:tcPr>
          <w:p w14:paraId="5734A376">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12</w:t>
            </w:r>
          </w:p>
        </w:tc>
        <w:tc>
          <w:tcPr>
            <w:tcW w:w="1245" w:type="dxa"/>
            <w:tcBorders>
              <w:top w:val="nil"/>
              <w:left w:val="nil"/>
              <w:bottom w:val="single" w:color="auto" w:sz="4" w:space="0"/>
              <w:right w:val="single" w:color="auto" w:sz="4" w:space="0"/>
            </w:tcBorders>
            <w:noWrap/>
            <w:vAlign w:val="center"/>
          </w:tcPr>
          <w:p w14:paraId="5BD9477D">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密云区</w:t>
            </w:r>
          </w:p>
        </w:tc>
        <w:tc>
          <w:tcPr>
            <w:tcW w:w="1644" w:type="dxa"/>
            <w:tcBorders>
              <w:top w:val="nil"/>
              <w:left w:val="nil"/>
              <w:bottom w:val="single" w:color="auto" w:sz="4" w:space="0"/>
              <w:right w:val="single" w:color="auto" w:sz="4" w:space="0"/>
            </w:tcBorders>
            <w:noWrap/>
            <w:vAlign w:val="center"/>
          </w:tcPr>
          <w:p w14:paraId="2E8D5D09">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1</w:t>
            </w:r>
          </w:p>
        </w:tc>
        <w:tc>
          <w:tcPr>
            <w:tcW w:w="965" w:type="dxa"/>
            <w:tcBorders>
              <w:top w:val="nil"/>
              <w:left w:val="nil"/>
              <w:bottom w:val="single" w:color="auto" w:sz="4" w:space="0"/>
              <w:right w:val="single" w:color="auto" w:sz="4" w:space="0"/>
            </w:tcBorders>
            <w:noWrap/>
            <w:vAlign w:val="center"/>
          </w:tcPr>
          <w:p w14:paraId="605DFE0C">
            <w:pPr>
              <w:widowControl/>
              <w:spacing w:line="320" w:lineRule="exact"/>
              <w:jc w:val="center"/>
              <w:rPr>
                <w:rFonts w:hint="eastAsia" w:ascii="仿宋_GB2312" w:hAnsi="仿宋_GB2312" w:eastAsia="仿宋_GB2312" w:cs="仿宋_GB2312"/>
                <w:color w:val="000000"/>
                <w:kern w:val="0"/>
                <w:sz w:val="24"/>
                <w:szCs w:val="24"/>
                <w:highlight w:val="none"/>
                <w:lang w:val="en-US" w:eastAsia="zh-CN" w:bidi="ar-SA"/>
              </w:rPr>
            </w:pPr>
            <w:r>
              <w:rPr>
                <w:rFonts w:hint="eastAsia" w:hAnsi="仿宋_GB2312"/>
                <w:color w:val="000000"/>
                <w:sz w:val="24"/>
                <w:szCs w:val="24"/>
                <w:highlight w:val="none"/>
              </w:rPr>
              <w:t>0</w:t>
            </w:r>
          </w:p>
        </w:tc>
        <w:tc>
          <w:tcPr>
            <w:tcW w:w="1878" w:type="dxa"/>
            <w:tcBorders>
              <w:top w:val="nil"/>
              <w:left w:val="nil"/>
              <w:bottom w:val="single" w:color="auto" w:sz="4" w:space="0"/>
              <w:right w:val="single" w:color="auto" w:sz="4" w:space="0"/>
            </w:tcBorders>
            <w:noWrap/>
            <w:vAlign w:val="center"/>
          </w:tcPr>
          <w:p w14:paraId="2EC24995">
            <w:pPr>
              <w:widowControl/>
              <w:spacing w:line="320" w:lineRule="exact"/>
              <w:jc w:val="center"/>
              <w:rPr>
                <w:rFonts w:hint="eastAsia" w:hAnsi="仿宋_GB2312" w:eastAsia="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0</w:t>
            </w:r>
          </w:p>
        </w:tc>
        <w:tc>
          <w:tcPr>
            <w:tcW w:w="1872" w:type="dxa"/>
            <w:tcBorders>
              <w:top w:val="nil"/>
              <w:left w:val="nil"/>
              <w:bottom w:val="single" w:color="auto" w:sz="4" w:space="0"/>
              <w:right w:val="single" w:color="auto" w:sz="4" w:space="0"/>
            </w:tcBorders>
            <w:noWrap/>
            <w:vAlign w:val="center"/>
          </w:tcPr>
          <w:p w14:paraId="2435F2C1">
            <w:pPr>
              <w:widowControl/>
              <w:spacing w:line="320" w:lineRule="exact"/>
              <w:jc w:val="center"/>
              <w:rPr>
                <w:rFonts w:hint="default" w:hAnsi="仿宋_GB2312"/>
                <w:b w:val="0"/>
                <w:bCs w:val="0"/>
                <w:color w:val="000000"/>
                <w:kern w:val="0"/>
                <w:sz w:val="24"/>
                <w:szCs w:val="24"/>
                <w:highlight w:val="none"/>
                <w:lang w:val="en-US" w:eastAsia="zh-CN"/>
              </w:rPr>
            </w:pPr>
            <w:r>
              <w:rPr>
                <w:rFonts w:hint="eastAsia" w:hAnsi="仿宋_GB2312"/>
                <w:b w:val="0"/>
                <w:bCs w:val="0"/>
                <w:color w:val="000000"/>
                <w:kern w:val="0"/>
                <w:sz w:val="24"/>
                <w:szCs w:val="24"/>
                <w:highlight w:val="none"/>
                <w:lang w:val="en-US" w:eastAsia="zh-CN"/>
              </w:rPr>
              <w:t>36</w:t>
            </w:r>
          </w:p>
        </w:tc>
      </w:tr>
      <w:tr w14:paraId="17D424F0">
        <w:trPr>
          <w:trHeight w:val="365" w:hRule="atLeast"/>
          <w:jc w:val="center"/>
        </w:trPr>
        <w:tc>
          <w:tcPr>
            <w:tcW w:w="2093" w:type="dxa"/>
            <w:gridSpan w:val="2"/>
            <w:tcBorders>
              <w:top w:val="single" w:color="auto" w:sz="4" w:space="0"/>
              <w:left w:val="single" w:color="auto" w:sz="4" w:space="0"/>
              <w:bottom w:val="single" w:color="auto" w:sz="4" w:space="0"/>
              <w:right w:val="single" w:color="000000" w:sz="4" w:space="0"/>
            </w:tcBorders>
            <w:noWrap/>
            <w:vAlign w:val="center"/>
          </w:tcPr>
          <w:p w14:paraId="18EFE504">
            <w:pPr>
              <w:widowControl/>
              <w:spacing w:line="320" w:lineRule="exact"/>
              <w:jc w:val="center"/>
              <w:rPr>
                <w:rFonts w:hint="eastAsia" w:hAnsi="仿宋_GB2312"/>
                <w:color w:val="000000"/>
                <w:kern w:val="0"/>
                <w:sz w:val="24"/>
                <w:szCs w:val="24"/>
                <w:highlight w:val="none"/>
              </w:rPr>
            </w:pPr>
            <w:r>
              <w:rPr>
                <w:rFonts w:hint="eastAsia" w:hAnsi="仿宋_GB2312"/>
                <w:color w:val="000000"/>
                <w:kern w:val="0"/>
                <w:sz w:val="24"/>
                <w:szCs w:val="24"/>
                <w:highlight w:val="none"/>
              </w:rPr>
              <w:t>合计</w:t>
            </w:r>
          </w:p>
        </w:tc>
        <w:tc>
          <w:tcPr>
            <w:tcW w:w="1644" w:type="dxa"/>
            <w:tcBorders>
              <w:top w:val="nil"/>
              <w:left w:val="nil"/>
              <w:bottom w:val="single" w:color="auto" w:sz="4" w:space="0"/>
              <w:right w:val="single" w:color="auto" w:sz="4" w:space="0"/>
            </w:tcBorders>
            <w:noWrap/>
            <w:vAlign w:val="center"/>
          </w:tcPr>
          <w:p w14:paraId="1503880C">
            <w:pPr>
              <w:widowControl/>
              <w:spacing w:line="320" w:lineRule="exact"/>
              <w:jc w:val="center"/>
              <w:rPr>
                <w:rFonts w:hint="eastAsia" w:hAnsi="仿宋_GB2312"/>
                <w:color w:val="000000"/>
                <w:kern w:val="0"/>
                <w:sz w:val="24"/>
                <w:szCs w:val="24"/>
                <w:highlight w:val="none"/>
              </w:rPr>
            </w:pPr>
            <w:r>
              <w:rPr>
                <w:rFonts w:hint="eastAsia" w:hAnsi="仿宋_GB2312"/>
                <w:color w:val="000000"/>
                <w:kern w:val="0"/>
                <w:sz w:val="24"/>
                <w:szCs w:val="24"/>
                <w:highlight w:val="none"/>
              </w:rPr>
              <w:t>2</w:t>
            </w:r>
            <w:r>
              <w:rPr>
                <w:rFonts w:hAnsi="仿宋_GB2312"/>
                <w:color w:val="000000"/>
                <w:kern w:val="0"/>
                <w:sz w:val="24"/>
                <w:szCs w:val="24"/>
                <w:highlight w:val="none"/>
              </w:rPr>
              <w:t>35</w:t>
            </w:r>
          </w:p>
        </w:tc>
        <w:tc>
          <w:tcPr>
            <w:tcW w:w="965" w:type="dxa"/>
            <w:tcBorders>
              <w:top w:val="nil"/>
              <w:left w:val="nil"/>
              <w:bottom w:val="single" w:color="auto" w:sz="4" w:space="0"/>
              <w:right w:val="single" w:color="auto" w:sz="4" w:space="0"/>
            </w:tcBorders>
            <w:noWrap/>
            <w:vAlign w:val="center"/>
          </w:tcPr>
          <w:p w14:paraId="324536ED">
            <w:pPr>
              <w:widowControl/>
              <w:spacing w:line="320" w:lineRule="exact"/>
              <w:jc w:val="center"/>
              <w:rPr>
                <w:rFonts w:hint="eastAsia" w:hAnsi="仿宋_GB2312"/>
                <w:color w:val="000000"/>
                <w:kern w:val="0"/>
                <w:sz w:val="24"/>
                <w:szCs w:val="24"/>
                <w:highlight w:val="none"/>
              </w:rPr>
            </w:pPr>
            <w:r>
              <w:rPr>
                <w:rFonts w:hint="eastAsia" w:hAnsi="仿宋_GB2312"/>
                <w:color w:val="000000"/>
                <w:sz w:val="24"/>
                <w:szCs w:val="24"/>
                <w:highlight w:val="none"/>
              </w:rPr>
              <w:t>158</w:t>
            </w:r>
          </w:p>
        </w:tc>
        <w:tc>
          <w:tcPr>
            <w:tcW w:w="1878" w:type="dxa"/>
            <w:tcBorders>
              <w:top w:val="nil"/>
              <w:left w:val="nil"/>
              <w:bottom w:val="single" w:color="auto" w:sz="4" w:space="0"/>
              <w:right w:val="single" w:color="auto" w:sz="4" w:space="0"/>
            </w:tcBorders>
            <w:noWrap/>
            <w:vAlign w:val="center"/>
          </w:tcPr>
          <w:p w14:paraId="1208217F">
            <w:pPr>
              <w:widowControl/>
              <w:spacing w:line="320" w:lineRule="exact"/>
              <w:jc w:val="center"/>
              <w:rPr>
                <w:rFonts w:hint="default" w:hAnsi="仿宋_GB2312" w:eastAsia="仿宋_GB2312"/>
                <w:b w:val="0"/>
                <w:bCs w:val="0"/>
                <w:color w:val="000000"/>
                <w:kern w:val="0"/>
                <w:sz w:val="24"/>
                <w:szCs w:val="24"/>
                <w:highlight w:val="none"/>
                <w:lang w:val="en-US" w:eastAsia="zh-CN"/>
              </w:rPr>
            </w:pPr>
            <w:r>
              <w:rPr>
                <w:rFonts w:hint="eastAsia" w:hAnsi="仿宋_GB2312"/>
                <w:b w:val="0"/>
                <w:bCs w:val="0"/>
                <w:color w:val="000000"/>
                <w:sz w:val="24"/>
                <w:szCs w:val="24"/>
                <w:highlight w:val="none"/>
                <w:lang w:val="en-US" w:eastAsia="zh-CN"/>
              </w:rPr>
              <w:t>60</w:t>
            </w:r>
          </w:p>
        </w:tc>
        <w:tc>
          <w:tcPr>
            <w:tcW w:w="1872" w:type="dxa"/>
            <w:tcBorders>
              <w:top w:val="nil"/>
              <w:left w:val="nil"/>
              <w:bottom w:val="single" w:color="auto" w:sz="4" w:space="0"/>
              <w:right w:val="single" w:color="auto" w:sz="4" w:space="0"/>
            </w:tcBorders>
            <w:noWrap/>
            <w:vAlign w:val="center"/>
          </w:tcPr>
          <w:p w14:paraId="35BA3439">
            <w:pPr>
              <w:widowControl/>
              <w:spacing w:line="320" w:lineRule="exact"/>
              <w:jc w:val="center"/>
              <w:rPr>
                <w:rFonts w:hint="default" w:hAnsi="仿宋_GB2312"/>
                <w:b w:val="0"/>
                <w:bCs w:val="0"/>
                <w:color w:val="000000"/>
                <w:sz w:val="24"/>
                <w:szCs w:val="24"/>
                <w:highlight w:val="none"/>
                <w:lang w:val="en-US" w:eastAsia="zh-CN"/>
              </w:rPr>
            </w:pPr>
            <w:r>
              <w:rPr>
                <w:rFonts w:hint="eastAsia" w:hAnsi="仿宋_GB2312"/>
                <w:b w:val="0"/>
                <w:bCs w:val="0"/>
                <w:color w:val="000000"/>
                <w:sz w:val="24"/>
                <w:szCs w:val="24"/>
                <w:highlight w:val="none"/>
                <w:lang w:val="en-US" w:eastAsia="zh-CN"/>
              </w:rPr>
              <w:t>492</w:t>
            </w:r>
          </w:p>
        </w:tc>
      </w:tr>
    </w:tbl>
    <w:p w14:paraId="04251E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注：额外参赛名额数量是根据2025年冠军赛各队获得前八名人数总和进行排名，根据排名进行额外参赛名额分配。</w:t>
      </w:r>
    </w:p>
    <w:p w14:paraId="7F42BAA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2675646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38C46A4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29A0A5F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2EBEDF2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08FA2F8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6A9CF49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bCs/>
          <w:sz w:val="24"/>
          <w:szCs w:val="24"/>
          <w:lang w:val="en-US" w:eastAsia="zh-CN"/>
        </w:rPr>
      </w:pPr>
    </w:p>
    <w:p w14:paraId="2208BA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6675"/>
    <w:rsid w:val="1DBC74B5"/>
    <w:rsid w:val="52D9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nhideWhenUsed/>
    <w:qFormat/>
    <w:uiPriority w:val="0"/>
    <w:rPr>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2702</Words>
  <Characters>2978</Characters>
  <Lines>0</Lines>
  <Paragraphs>0</Paragraphs>
  <TotalTime>0</TotalTime>
  <ScaleCrop>false</ScaleCrop>
  <LinksUpToDate>false</LinksUpToDate>
  <CharactersWithSpaces>2978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2026-05-11T07:03:00Z</dcterms:created>
  <dc:creator>邓莹</dc:creator>
  <cp:lastModifiedBy>匿名用户</cp:lastModifiedBy>
  <dcterms:modified xsi:type="dcterms:W3CDTF">2026-05-11T08:38:36Z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9B08552537F4417E941DF2F392DF9972_11</vt:lpwstr>
  </property>
  <property fmtid="{D5CDD505-2E9C-101B-9397-08002B2CF9AE}" pid="4" name="KSOTemplateDocerSaveRecord">
    <vt:lpwstr>eyJoZGlkIjoiZTRmMmVkZThkZmZjNDk0ZWEzNzNkNWRmMDUzYmJiZDEiLCJ1c2VySWQiOiI3NjM2NDA2NTQifQ==</vt:lpwstr>
  </property>
</Properties>
</file>