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C2BB9">
      <w:pPr>
        <w:pStyle w:val="2"/>
        <w:keepNext w:val="0"/>
        <w:keepLines w:val="0"/>
        <w:pageBreakBefore w:val="0"/>
        <w:kinsoku/>
        <w:wordWrap/>
        <w:overflowPunct/>
        <w:topLinePunct w:val="0"/>
        <w:autoSpaceDE/>
        <w:autoSpaceDN/>
        <w:bidi w:val="0"/>
        <w:adjustRightInd/>
        <w:snapToGrid/>
        <w:spacing w:line="560" w:lineRule="exact"/>
        <w:ind w:right="502"/>
        <w:textAlignment w:val="auto"/>
        <w:rPr>
          <w:rFonts w:hint="eastAsia" w:ascii="黑体" w:eastAsia="黑体"/>
          <w:sz w:val="32"/>
          <w:szCs w:val="32"/>
          <w:highlight w:val="none"/>
          <w:lang w:val="en-US" w:eastAsia="zh-CN"/>
        </w:rPr>
      </w:pPr>
      <w:r>
        <w:rPr>
          <w:rFonts w:hint="eastAsia" w:ascii="黑体" w:eastAsia="黑体"/>
          <w:sz w:val="32"/>
          <w:szCs w:val="32"/>
          <w:highlight w:val="none"/>
          <w:lang w:eastAsia="zh-CN"/>
        </w:rPr>
        <w:t>附件</w:t>
      </w:r>
      <w:r>
        <w:rPr>
          <w:rFonts w:hint="eastAsia" w:ascii="黑体" w:eastAsia="黑体"/>
          <w:sz w:val="32"/>
          <w:szCs w:val="32"/>
          <w:highlight w:val="none"/>
          <w:lang w:val="en-US" w:eastAsia="zh-CN"/>
        </w:rPr>
        <w:t>7</w:t>
      </w:r>
    </w:p>
    <w:p w14:paraId="46A7E813">
      <w:pPr>
        <w:pStyle w:val="2"/>
        <w:keepNext w:val="0"/>
        <w:keepLines w:val="0"/>
        <w:pageBreakBefore w:val="0"/>
        <w:kinsoku/>
        <w:wordWrap/>
        <w:overflowPunct/>
        <w:topLinePunct w:val="0"/>
        <w:autoSpaceDE/>
        <w:autoSpaceDN/>
        <w:bidi w:val="0"/>
        <w:adjustRightInd/>
        <w:snapToGrid/>
        <w:spacing w:line="560" w:lineRule="exact"/>
        <w:ind w:right="502"/>
        <w:textAlignment w:val="auto"/>
        <w:rPr>
          <w:rFonts w:hint="default" w:ascii="黑体" w:eastAsia="黑体"/>
          <w:sz w:val="32"/>
          <w:szCs w:val="32"/>
          <w:highlight w:val="none"/>
          <w:lang w:val="en-US" w:eastAsia="zh-CN"/>
        </w:rPr>
      </w:pPr>
    </w:p>
    <w:p w14:paraId="2F6396C2">
      <w:pPr>
        <w:pStyle w:val="2"/>
        <w:spacing w:before="17"/>
        <w:jc w:val="center"/>
        <w:rPr>
          <w:rFonts w:hint="eastAsia" w:ascii="方正小标宋简体" w:hAnsi="方正小标宋简体" w:eastAsia="方正小标宋简体" w:cs="方正小标宋简体"/>
          <w:i/>
          <w:sz w:val="44"/>
          <w:szCs w:val="44"/>
          <w:highlight w:val="none"/>
          <w:lang w:eastAsia="zh-CN"/>
        </w:rPr>
      </w:pPr>
      <w:r>
        <w:rPr>
          <w:rFonts w:hint="eastAsia" w:ascii="方正小标宋简体" w:hAnsi="方正小标宋简体" w:eastAsia="方正小标宋简体" w:cs="方正小标宋简体"/>
          <w:iCs/>
          <w:sz w:val="44"/>
          <w:szCs w:val="44"/>
          <w:highlight w:val="none"/>
          <w:lang w:eastAsia="zh-CN"/>
        </w:rPr>
        <w:t>2026年北京市青少年</w:t>
      </w:r>
      <w:r>
        <w:rPr>
          <w:rFonts w:hint="eastAsia" w:ascii="方正小标宋简体" w:hAnsi="方正小标宋简体" w:eastAsia="方正小标宋简体" w:cs="方正小标宋简体"/>
          <w:iCs/>
          <w:sz w:val="44"/>
          <w:szCs w:val="44"/>
          <w:highlight w:val="none"/>
          <w:lang w:val="en-US" w:eastAsia="zh-CN"/>
        </w:rPr>
        <w:t>赛艇</w:t>
      </w:r>
      <w:r>
        <w:rPr>
          <w:rFonts w:hint="eastAsia" w:ascii="方正小标宋简体" w:hAnsi="方正小标宋简体" w:eastAsia="方正小标宋简体" w:cs="方正小标宋简体"/>
          <w:iCs/>
          <w:sz w:val="44"/>
          <w:szCs w:val="44"/>
          <w:highlight w:val="none"/>
          <w:lang w:eastAsia="zh-CN"/>
        </w:rPr>
        <w:t>锦标赛竞赛规程</w:t>
      </w:r>
    </w:p>
    <w:p w14:paraId="7FDC66A9">
      <w:pPr>
        <w:pStyle w:val="2"/>
        <w:spacing w:line="560" w:lineRule="exact"/>
        <w:ind w:left="743"/>
        <w:rPr>
          <w:rFonts w:hint="eastAsia" w:ascii="黑体" w:eastAsia="黑体"/>
          <w:highlight w:val="none"/>
          <w:lang w:eastAsia="zh-CN"/>
        </w:rPr>
      </w:pPr>
    </w:p>
    <w:p w14:paraId="00048E31">
      <w:pPr>
        <w:pStyle w:val="2"/>
        <w:keepNext w:val="0"/>
        <w:keepLines w:val="0"/>
        <w:pageBreakBefore w:val="0"/>
        <w:kinsoku/>
        <w:wordWrap/>
        <w:overflowPunct/>
        <w:topLinePunct w:val="0"/>
        <w:autoSpaceDE w:val="0"/>
        <w:autoSpaceDN w:val="0"/>
        <w:bidi w:val="0"/>
        <w:adjustRightInd/>
        <w:snapToGrid/>
        <w:spacing w:line="560" w:lineRule="exact"/>
        <w:ind w:left="743"/>
        <w:textAlignment w:val="auto"/>
        <w:rPr>
          <w:rFonts w:hint="eastAsia" w:ascii="黑体" w:eastAsia="黑体"/>
          <w:highlight w:val="none"/>
          <w:lang w:eastAsia="zh-CN"/>
        </w:rPr>
      </w:pPr>
      <w:r>
        <w:rPr>
          <w:rFonts w:hint="eastAsia" w:ascii="黑体" w:eastAsia="黑体"/>
          <w:highlight w:val="none"/>
          <w:lang w:eastAsia="zh-CN"/>
        </w:rPr>
        <w:t>一、主办单位</w:t>
      </w:r>
    </w:p>
    <w:p w14:paraId="3A8CF011">
      <w:pPr>
        <w:pStyle w:val="2"/>
        <w:keepNext w:val="0"/>
        <w:keepLines w:val="0"/>
        <w:pageBreakBefore w:val="0"/>
        <w:kinsoku/>
        <w:wordWrap/>
        <w:overflowPunct/>
        <w:topLinePunct w:val="0"/>
        <w:autoSpaceDE w:val="0"/>
        <w:autoSpaceDN w:val="0"/>
        <w:bidi w:val="0"/>
        <w:adjustRightInd/>
        <w:snapToGrid/>
        <w:spacing w:line="560" w:lineRule="exact"/>
        <w:ind w:left="743"/>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北京市体育局</w:t>
      </w:r>
    </w:p>
    <w:p w14:paraId="09CA85D9">
      <w:pPr>
        <w:pStyle w:val="2"/>
        <w:keepNext w:val="0"/>
        <w:keepLines w:val="0"/>
        <w:pageBreakBefore w:val="0"/>
        <w:kinsoku/>
        <w:wordWrap/>
        <w:overflowPunct/>
        <w:topLinePunct w:val="0"/>
        <w:autoSpaceDE w:val="0"/>
        <w:autoSpaceDN w:val="0"/>
        <w:bidi w:val="0"/>
        <w:adjustRightInd/>
        <w:snapToGrid/>
        <w:spacing w:line="560" w:lineRule="exact"/>
        <w:ind w:left="743"/>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北京市教育委员会</w:t>
      </w:r>
    </w:p>
    <w:p w14:paraId="6C12966C">
      <w:pPr>
        <w:pStyle w:val="2"/>
        <w:keepNext w:val="0"/>
        <w:keepLines w:val="0"/>
        <w:pageBreakBefore w:val="0"/>
        <w:kinsoku/>
        <w:wordWrap/>
        <w:overflowPunct/>
        <w:topLinePunct w:val="0"/>
        <w:autoSpaceDE w:val="0"/>
        <w:autoSpaceDN w:val="0"/>
        <w:bidi w:val="0"/>
        <w:adjustRightInd/>
        <w:snapToGrid/>
        <w:spacing w:line="560" w:lineRule="exact"/>
        <w:ind w:left="743"/>
        <w:textAlignment w:val="auto"/>
        <w:rPr>
          <w:rFonts w:hint="eastAsia" w:ascii="黑体" w:eastAsia="黑体"/>
          <w:highlight w:val="none"/>
          <w:lang w:eastAsia="zh-CN"/>
        </w:rPr>
      </w:pPr>
      <w:r>
        <w:rPr>
          <w:rFonts w:hint="eastAsia" w:ascii="黑体" w:eastAsia="黑体"/>
          <w:highlight w:val="none"/>
          <w:lang w:eastAsia="zh-CN"/>
        </w:rPr>
        <w:t>二、承办单位</w:t>
      </w:r>
    </w:p>
    <w:p w14:paraId="5B836163">
      <w:pPr>
        <w:pStyle w:val="2"/>
        <w:keepNext w:val="0"/>
        <w:keepLines w:val="0"/>
        <w:pageBreakBefore w:val="0"/>
        <w:kinsoku/>
        <w:wordWrap/>
        <w:overflowPunct/>
        <w:topLinePunct w:val="0"/>
        <w:autoSpaceDE w:val="0"/>
        <w:autoSpaceDN w:val="0"/>
        <w:bidi w:val="0"/>
        <w:adjustRightInd/>
        <w:snapToGrid/>
        <w:spacing w:line="560" w:lineRule="exact"/>
        <w:ind w:left="743" w:right="402" w:rightChars="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北京市体育竞赛管理和国际交流中心</w:t>
      </w:r>
    </w:p>
    <w:p w14:paraId="189FF507">
      <w:pPr>
        <w:pStyle w:val="2"/>
        <w:keepNext w:val="0"/>
        <w:keepLines w:val="0"/>
        <w:pageBreakBefore w:val="0"/>
        <w:kinsoku/>
        <w:wordWrap/>
        <w:overflowPunct/>
        <w:topLinePunct w:val="0"/>
        <w:autoSpaceDE w:val="0"/>
        <w:autoSpaceDN w:val="0"/>
        <w:bidi w:val="0"/>
        <w:adjustRightInd/>
        <w:snapToGrid/>
        <w:spacing w:line="560" w:lineRule="exact"/>
        <w:ind w:left="743" w:right="402" w:rightChars="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北京市</w:t>
      </w:r>
      <w:r>
        <w:rPr>
          <w:rFonts w:hint="eastAsia" w:ascii="仿宋_GB2312" w:hAnsi="仿宋_GB2312" w:eastAsia="仿宋_GB2312" w:cs="仿宋_GB2312"/>
          <w:sz w:val="32"/>
          <w:szCs w:val="32"/>
          <w:highlight w:val="none"/>
          <w:lang w:val="en-US" w:eastAsia="zh-CN"/>
        </w:rPr>
        <w:t>水上</w:t>
      </w:r>
      <w:r>
        <w:rPr>
          <w:rFonts w:hint="eastAsia" w:ascii="仿宋_GB2312" w:hAnsi="仿宋_GB2312" w:eastAsia="仿宋_GB2312" w:cs="仿宋_GB2312"/>
          <w:sz w:val="32"/>
          <w:szCs w:val="32"/>
          <w:highlight w:val="none"/>
          <w:lang w:eastAsia="zh-CN"/>
        </w:rPr>
        <w:t>运动协会</w:t>
      </w:r>
    </w:p>
    <w:p w14:paraId="4CCD4597">
      <w:pPr>
        <w:pStyle w:val="2"/>
        <w:keepNext w:val="0"/>
        <w:keepLines w:val="0"/>
        <w:pageBreakBefore w:val="0"/>
        <w:kinsoku/>
        <w:wordWrap/>
        <w:overflowPunct/>
        <w:topLinePunct w:val="0"/>
        <w:autoSpaceDE w:val="0"/>
        <w:autoSpaceDN w:val="0"/>
        <w:bidi w:val="0"/>
        <w:adjustRightInd/>
        <w:snapToGrid/>
        <w:spacing w:line="560" w:lineRule="exact"/>
        <w:ind w:left="743" w:right="402" w:righ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北京市顺义区体育局</w:t>
      </w:r>
    </w:p>
    <w:p w14:paraId="0FBE6794">
      <w:pPr>
        <w:pStyle w:val="2"/>
        <w:keepNext w:val="0"/>
        <w:keepLines w:val="0"/>
        <w:pageBreakBefore w:val="0"/>
        <w:kinsoku/>
        <w:wordWrap/>
        <w:overflowPunct/>
        <w:topLinePunct w:val="0"/>
        <w:autoSpaceDE w:val="0"/>
        <w:autoSpaceDN w:val="0"/>
        <w:bidi w:val="0"/>
        <w:adjustRightInd/>
        <w:snapToGrid/>
        <w:spacing w:line="560" w:lineRule="exact"/>
        <w:ind w:left="743" w:right="402" w:righ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北京鼎盛时代文化传播有限公司</w:t>
      </w:r>
    </w:p>
    <w:p w14:paraId="37F2F4A0">
      <w:pPr>
        <w:pStyle w:val="2"/>
        <w:keepNext w:val="0"/>
        <w:keepLines w:val="0"/>
        <w:pageBreakBefore w:val="0"/>
        <w:kinsoku/>
        <w:wordWrap/>
        <w:overflowPunct/>
        <w:topLinePunct w:val="0"/>
        <w:autoSpaceDE w:val="0"/>
        <w:autoSpaceDN w:val="0"/>
        <w:bidi w:val="0"/>
        <w:adjustRightInd/>
        <w:snapToGrid/>
        <w:spacing w:line="560" w:lineRule="exact"/>
        <w:ind w:left="743"/>
        <w:textAlignment w:val="auto"/>
        <w:rPr>
          <w:rFonts w:hint="eastAsia" w:ascii="黑体" w:eastAsia="黑体"/>
          <w:highlight w:val="none"/>
          <w:lang w:eastAsia="zh-CN"/>
        </w:rPr>
      </w:pPr>
      <w:r>
        <w:rPr>
          <w:rFonts w:hint="eastAsia" w:ascii="黑体" w:eastAsia="黑体"/>
          <w:highlight w:val="none"/>
          <w:lang w:eastAsia="zh-CN"/>
        </w:rPr>
        <w:t>三、时间和地点</w:t>
      </w:r>
    </w:p>
    <w:p w14:paraId="66BFC354">
      <w:pPr>
        <w:keepNext w:val="0"/>
        <w:keepLines w:val="0"/>
        <w:pageBreakBefore w:val="0"/>
        <w:kinsoku/>
        <w:wordWrap/>
        <w:overflowPunct/>
        <w:topLinePunct w:val="0"/>
        <w:autoSpaceDE w:val="0"/>
        <w:autoSpaceDN w:val="0"/>
        <w:bidi w:val="0"/>
        <w:adjustRightInd/>
        <w:snapToGrid/>
        <w:spacing w:line="560" w:lineRule="exact"/>
        <w:ind w:right="27" w:firstLine="640" w:firstLineChars="200"/>
        <w:textAlignment w:val="auto"/>
        <w:rPr>
          <w:rFonts w:hint="default"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rPr>
        <w:t>2026年</w:t>
      </w:r>
      <w:r>
        <w:rPr>
          <w:rFonts w:hint="eastAsia" w:hAnsi="仿宋" w:cs="仿宋_GB2312"/>
          <w:sz w:val="32"/>
          <w:szCs w:val="32"/>
          <w:highlight w:val="none"/>
          <w:lang w:val="en-US" w:eastAsia="zh-CN"/>
        </w:rPr>
        <w:t>6</w:t>
      </w:r>
      <w:r>
        <w:rPr>
          <w:rFonts w:hint="eastAsia" w:ascii="仿宋_GB2312" w:hAnsi="仿宋" w:eastAsia="仿宋_GB2312" w:cs="仿宋_GB2312"/>
          <w:sz w:val="32"/>
          <w:szCs w:val="32"/>
          <w:highlight w:val="none"/>
        </w:rPr>
        <w:t>月</w:t>
      </w:r>
      <w:r>
        <w:rPr>
          <w:rFonts w:hint="eastAsia" w:hAnsi="仿宋" w:cs="仿宋_GB2312"/>
          <w:sz w:val="32"/>
          <w:szCs w:val="32"/>
          <w:highlight w:val="none"/>
          <w:lang w:val="en-US" w:eastAsia="zh-CN"/>
        </w:rPr>
        <w:t>13</w:t>
      </w:r>
      <w:r>
        <w:rPr>
          <w:rFonts w:hint="eastAsia" w:ascii="仿宋_GB2312" w:hAnsi="仿宋" w:eastAsia="仿宋_GB2312" w:cs="仿宋_GB2312"/>
          <w:sz w:val="32"/>
          <w:szCs w:val="32"/>
          <w:highlight w:val="none"/>
        </w:rPr>
        <w:t>日</w:t>
      </w:r>
      <w:r>
        <w:rPr>
          <w:rFonts w:hint="eastAsia" w:hAnsi="仿宋" w:cs="仿宋_GB2312"/>
          <w:sz w:val="32"/>
          <w:szCs w:val="32"/>
          <w:highlight w:val="none"/>
          <w:lang w:val="en-US" w:eastAsia="zh-CN"/>
        </w:rPr>
        <w:t>—14日</w:t>
      </w:r>
      <w:r>
        <w:rPr>
          <w:rFonts w:hint="eastAsia" w:ascii="仿宋_GB2312" w:hAnsi="仿宋" w:eastAsia="仿宋_GB2312" w:cs="仿宋_GB2312"/>
          <w:sz w:val="32"/>
          <w:szCs w:val="32"/>
          <w:highlight w:val="none"/>
        </w:rPr>
        <w:t>在</w:t>
      </w:r>
      <w:r>
        <w:rPr>
          <w:rFonts w:hint="eastAsia" w:hAnsi="仿宋" w:cs="仿宋_GB2312"/>
          <w:sz w:val="32"/>
          <w:szCs w:val="32"/>
          <w:highlight w:val="none"/>
          <w:lang w:val="en-US" w:eastAsia="zh-CN"/>
        </w:rPr>
        <w:t>顺义区奥林匹克水上公园</w:t>
      </w:r>
    </w:p>
    <w:p w14:paraId="1949CE51">
      <w:pPr>
        <w:pStyle w:val="2"/>
        <w:keepNext w:val="0"/>
        <w:keepLines w:val="0"/>
        <w:pageBreakBefore w:val="0"/>
        <w:kinsoku/>
        <w:wordWrap/>
        <w:overflowPunct/>
        <w:topLinePunct w:val="0"/>
        <w:autoSpaceDE w:val="0"/>
        <w:autoSpaceDN w:val="0"/>
        <w:bidi w:val="0"/>
        <w:adjustRightInd/>
        <w:snapToGrid/>
        <w:spacing w:line="560" w:lineRule="exact"/>
        <w:ind w:left="743"/>
        <w:textAlignment w:val="auto"/>
        <w:rPr>
          <w:rFonts w:hint="eastAsia" w:ascii="黑体" w:eastAsia="黑体"/>
          <w:highlight w:val="none"/>
          <w:lang w:eastAsia="zh-CN"/>
        </w:rPr>
      </w:pPr>
      <w:r>
        <w:rPr>
          <w:rFonts w:hint="eastAsia" w:ascii="黑体" w:eastAsia="黑体"/>
          <w:highlight w:val="none"/>
          <w:lang w:eastAsia="zh-CN"/>
        </w:rPr>
        <w:t>四、竞赛组别及项目</w:t>
      </w:r>
    </w:p>
    <w:p w14:paraId="52664B33">
      <w:pPr>
        <w:pStyle w:val="2"/>
        <w:keepNext w:val="0"/>
        <w:keepLines w:val="0"/>
        <w:pageBreakBefore w:val="0"/>
        <w:kinsoku/>
        <w:wordWrap/>
        <w:overflowPunct/>
        <w:topLinePunct w:val="0"/>
        <w:autoSpaceDE w:val="0"/>
        <w:autoSpaceDN w:val="0"/>
        <w:bidi w:val="0"/>
        <w:adjustRightInd/>
        <w:snapToGrid/>
        <w:spacing w:line="560" w:lineRule="exact"/>
        <w:ind w:left="743"/>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（一）竞赛组别</w:t>
      </w:r>
    </w:p>
    <w:p w14:paraId="12F9DD5B">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甲组（男、女）：2008年1月1日至2010年12月31日出生（16至18岁）</w:t>
      </w:r>
      <w:r>
        <w:rPr>
          <w:rFonts w:hint="eastAsia" w:ascii="仿宋_GB2312" w:hAnsi="仿宋_GB2312" w:eastAsia="仿宋_GB2312" w:cs="仿宋_GB2312"/>
          <w:color w:val="000000"/>
          <w:sz w:val="32"/>
          <w:szCs w:val="32"/>
          <w:highlight w:val="none"/>
          <w:lang w:eastAsia="zh-CN"/>
        </w:rPr>
        <w:t>；</w:t>
      </w:r>
    </w:p>
    <w:p w14:paraId="796EBD4F">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乙组（男、女）：2011年1月1日至2012年12月31日出生（14至15岁）</w:t>
      </w:r>
      <w:r>
        <w:rPr>
          <w:rFonts w:hint="eastAsia" w:ascii="仿宋_GB2312" w:hAnsi="仿宋_GB2312" w:eastAsia="仿宋_GB2312" w:cs="仿宋_GB2312"/>
          <w:color w:val="000000"/>
          <w:sz w:val="32"/>
          <w:szCs w:val="32"/>
          <w:highlight w:val="none"/>
          <w:lang w:eastAsia="zh-CN"/>
        </w:rPr>
        <w:t>；</w:t>
      </w:r>
    </w:p>
    <w:p w14:paraId="3262A53F">
      <w:pPr>
        <w:pStyle w:val="2"/>
        <w:keepNext w:val="0"/>
        <w:keepLines w:val="0"/>
        <w:pageBreakBefore w:val="0"/>
        <w:kinsoku/>
        <w:wordWrap/>
        <w:overflowPunct/>
        <w:topLinePunct w:val="0"/>
        <w:autoSpaceDE w:val="0"/>
        <w:autoSpaceDN w:val="0"/>
        <w:bidi w:val="0"/>
        <w:adjustRightInd/>
        <w:snapToGrid/>
        <w:spacing w:line="560" w:lineRule="exact"/>
        <w:ind w:left="743"/>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（二）竞赛项目</w:t>
      </w:r>
    </w:p>
    <w:p w14:paraId="024D59DE">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男子（甲组、乙组）：500米单人双桨、双人双桨；1000米单人双桨、双人双桨；2000米单人双桨、双人双桨。</w:t>
      </w:r>
    </w:p>
    <w:p w14:paraId="6FF58152">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rPr>
        <w:t>女子（甲组、乙组）：500米单人双桨、双人双桨；1000米单人双桨、双人双桨；2000米单人双桨、双人双桨。</w:t>
      </w:r>
    </w:p>
    <w:p w14:paraId="0117776A">
      <w:pPr>
        <w:pStyle w:val="2"/>
        <w:keepNext w:val="0"/>
        <w:keepLines w:val="0"/>
        <w:pageBreakBefore w:val="0"/>
        <w:kinsoku/>
        <w:wordWrap/>
        <w:overflowPunct/>
        <w:topLinePunct w:val="0"/>
        <w:autoSpaceDE w:val="0"/>
        <w:autoSpaceDN w:val="0"/>
        <w:bidi w:val="0"/>
        <w:adjustRightInd/>
        <w:snapToGrid/>
        <w:spacing w:line="560" w:lineRule="exact"/>
        <w:ind w:left="743"/>
        <w:textAlignment w:val="auto"/>
        <w:rPr>
          <w:rFonts w:hint="eastAsia"/>
          <w:highlight w:val="none"/>
          <w:lang w:eastAsia="zh-CN"/>
        </w:rPr>
      </w:pPr>
      <w:r>
        <w:rPr>
          <w:rFonts w:hint="eastAsia" w:ascii="黑体" w:eastAsia="黑体"/>
          <w:highlight w:val="none"/>
          <w:lang w:eastAsia="zh-CN"/>
        </w:rPr>
        <w:t>五、运动员资格</w:t>
      </w:r>
    </w:p>
    <w:p w14:paraId="321D7EF3">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default"/>
          <w:highlight w:val="none"/>
          <w:lang w:val="en-US" w:eastAsia="zh-CN"/>
        </w:rPr>
      </w:pPr>
      <w:r>
        <w:rPr>
          <w:rFonts w:hint="eastAsia" w:ascii="仿宋_GB2312" w:hAnsi="仿宋_GB2312" w:eastAsia="仿宋_GB2312" w:cs="仿宋_GB2312"/>
          <w:sz w:val="32"/>
          <w:szCs w:val="32"/>
          <w:highlight w:val="none"/>
        </w:rPr>
        <w:t>符合北京市体育局《北京市青少年运动员注册管理办法（试行）》（京体青字〔2025〕2号）的有关规定，并完成2026年度注册。</w:t>
      </w:r>
    </w:p>
    <w:p w14:paraId="055C6CDE">
      <w:pPr>
        <w:pStyle w:val="2"/>
        <w:keepNext w:val="0"/>
        <w:keepLines w:val="0"/>
        <w:pageBreakBefore w:val="0"/>
        <w:kinsoku/>
        <w:wordWrap/>
        <w:overflowPunct/>
        <w:topLinePunct w:val="0"/>
        <w:autoSpaceDE w:val="0"/>
        <w:autoSpaceDN w:val="0"/>
        <w:bidi w:val="0"/>
        <w:adjustRightInd/>
        <w:snapToGrid/>
        <w:spacing w:line="560" w:lineRule="exact"/>
        <w:ind w:left="743"/>
        <w:textAlignment w:val="auto"/>
        <w:rPr>
          <w:rFonts w:hint="default" w:ascii="黑体" w:eastAsia="黑体"/>
          <w:highlight w:val="none"/>
          <w:lang w:val="en-US" w:eastAsia="zh-CN"/>
        </w:rPr>
      </w:pPr>
      <w:r>
        <w:rPr>
          <w:rFonts w:hint="eastAsia" w:ascii="黑体" w:eastAsia="黑体"/>
          <w:highlight w:val="none"/>
          <w:lang w:eastAsia="zh-CN"/>
        </w:rPr>
        <w:t>六、参加办法</w:t>
      </w:r>
    </w:p>
    <w:p w14:paraId="5D345872">
      <w:pPr>
        <w:pStyle w:val="2"/>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（一）以区为单位组队参加。参赛运动员需经区体育局选拔，择优报名参赛。</w:t>
      </w:r>
    </w:p>
    <w:p w14:paraId="5A1D553A">
      <w:pPr>
        <w:pStyle w:val="2"/>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（二）以2026年度青少年运动员注册为依据，运动员只能代表2026年度注册单位参加比赛。</w:t>
      </w:r>
    </w:p>
    <w:p w14:paraId="345686C5">
      <w:pPr>
        <w:pStyle w:val="2"/>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（三）经二级（</w:t>
      </w:r>
      <w:r>
        <w:rPr>
          <w:rFonts w:hint="eastAsia" w:ascii="仿宋_GB2312" w:hAnsi="仿宋_GB2312" w:eastAsia="仿宋_GB2312" w:cs="仿宋_GB2312"/>
          <w:sz w:val="32"/>
          <w:szCs w:val="32"/>
          <w:highlight w:val="none"/>
          <w:lang w:val="en-US" w:eastAsia="zh-CN"/>
        </w:rPr>
        <w:t>含</w:t>
      </w:r>
      <w:r>
        <w:rPr>
          <w:rFonts w:hint="eastAsia" w:ascii="仿宋_GB2312" w:hAnsi="仿宋_GB2312" w:eastAsia="仿宋_GB2312" w:cs="仿宋_GB2312"/>
          <w:sz w:val="32"/>
          <w:szCs w:val="32"/>
          <w:highlight w:val="none"/>
          <w:lang w:eastAsia="zh-CN"/>
        </w:rPr>
        <w:t>）以上医院检查证明身体健康。</w:t>
      </w:r>
    </w:p>
    <w:p w14:paraId="6DB7C109">
      <w:pPr>
        <w:pStyle w:val="2"/>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（四）各单位</w:t>
      </w:r>
      <w:r>
        <w:rPr>
          <w:rFonts w:hint="eastAsia" w:ascii="仿宋_GB2312" w:hAnsi="仿宋_GB2312" w:eastAsia="仿宋_GB2312" w:cs="仿宋_GB2312"/>
          <w:sz w:val="32"/>
          <w:szCs w:val="32"/>
          <w:highlight w:val="none"/>
        </w:rPr>
        <w:t>可报领队1人，教练员</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eastAsia="zh-CN"/>
        </w:rPr>
        <w:t>队医</w:t>
      </w:r>
      <w:r>
        <w:rPr>
          <w:rFonts w:hint="eastAsia" w:ascii="仿宋_GB2312" w:hAnsi="仿宋_GB2312" w:eastAsia="仿宋_GB2312" w:cs="仿宋_GB2312"/>
          <w:sz w:val="32"/>
          <w:szCs w:val="32"/>
          <w:highlight w:val="none"/>
          <w:lang w:val="en-US" w:eastAsia="zh-CN"/>
        </w:rPr>
        <w:t>1人</w:t>
      </w:r>
      <w:r>
        <w:rPr>
          <w:rFonts w:hint="eastAsia" w:ascii="仿宋_GB2312" w:hAnsi="仿宋_GB2312" w:eastAsia="仿宋_GB2312" w:cs="仿宋_GB2312"/>
          <w:sz w:val="32"/>
          <w:szCs w:val="32"/>
          <w:highlight w:val="none"/>
        </w:rPr>
        <w:t>，运动员人数不限，兼项不限（兼项要按照竞赛项目日程表）</w:t>
      </w:r>
      <w:r>
        <w:rPr>
          <w:rFonts w:hint="eastAsia" w:ascii="仿宋_GB2312" w:hAnsi="仿宋_GB2312" w:eastAsia="仿宋_GB2312" w:cs="仿宋_GB2312"/>
          <w:sz w:val="32"/>
          <w:szCs w:val="32"/>
          <w:highlight w:val="none"/>
          <w:lang w:eastAsia="zh-CN"/>
        </w:rPr>
        <w:t>，只能代表1个参赛单位进行报名。</w:t>
      </w:r>
    </w:p>
    <w:p w14:paraId="4A3F0A07">
      <w:pPr>
        <w:keepNext w:val="0"/>
        <w:keepLines w:val="0"/>
        <w:pageBreakBefore w:val="0"/>
        <w:widowControl/>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）比赛时运动员须持本人注册时所提交的有效身份证件原件参赛。</w:t>
      </w:r>
    </w:p>
    <w:p w14:paraId="01E80F78">
      <w:pPr>
        <w:pStyle w:val="2"/>
        <w:keepNext w:val="0"/>
        <w:keepLines w:val="0"/>
        <w:pageBreakBefore w:val="0"/>
        <w:kinsoku/>
        <w:wordWrap/>
        <w:overflowPunct/>
        <w:topLinePunct w:val="0"/>
        <w:autoSpaceDE w:val="0"/>
        <w:autoSpaceDN w:val="0"/>
        <w:bidi w:val="0"/>
        <w:adjustRightInd/>
        <w:snapToGrid/>
        <w:spacing w:line="560" w:lineRule="exact"/>
        <w:ind w:left="743"/>
        <w:textAlignment w:val="auto"/>
        <w:rPr>
          <w:rFonts w:hint="eastAsia" w:ascii="黑体" w:eastAsia="黑体"/>
          <w:highlight w:val="none"/>
          <w:lang w:eastAsia="zh-CN"/>
        </w:rPr>
      </w:pPr>
      <w:r>
        <w:rPr>
          <w:rFonts w:hint="eastAsia" w:ascii="黑体" w:eastAsia="黑体"/>
          <w:highlight w:val="none"/>
          <w:lang w:eastAsia="zh-CN"/>
        </w:rPr>
        <w:t>七、竞赛办法</w:t>
      </w:r>
    </w:p>
    <w:p w14:paraId="45F630EC">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（一）执行中国</w:t>
      </w:r>
      <w:r>
        <w:rPr>
          <w:rFonts w:hint="eastAsia" w:hAnsi="仿宋" w:cs="仿宋_GB2312"/>
          <w:sz w:val="32"/>
          <w:szCs w:val="32"/>
          <w:highlight w:val="none"/>
          <w:lang w:val="en-US" w:eastAsia="zh-CN"/>
        </w:rPr>
        <w:t>赛艇</w:t>
      </w:r>
      <w:r>
        <w:rPr>
          <w:rFonts w:hint="eastAsia" w:ascii="仿宋_GB2312" w:hAnsi="仿宋" w:eastAsia="仿宋_GB2312" w:cs="仿宋_GB2312"/>
          <w:sz w:val="32"/>
          <w:szCs w:val="32"/>
          <w:highlight w:val="none"/>
        </w:rPr>
        <w:t>协会审定的最新</w:t>
      </w:r>
      <w:r>
        <w:rPr>
          <w:rFonts w:hint="eastAsia" w:hAnsi="仿宋" w:cs="仿宋_GB2312"/>
          <w:sz w:val="32"/>
          <w:szCs w:val="32"/>
          <w:highlight w:val="none"/>
          <w:lang w:val="en-US" w:eastAsia="zh-CN"/>
        </w:rPr>
        <w:t>赛艇</w:t>
      </w:r>
      <w:r>
        <w:rPr>
          <w:rFonts w:hint="eastAsia" w:ascii="仿宋_GB2312" w:hAnsi="仿宋" w:eastAsia="仿宋_GB2312" w:cs="仿宋_GB2312"/>
          <w:sz w:val="32"/>
          <w:szCs w:val="32"/>
          <w:highlight w:val="none"/>
        </w:rPr>
        <w:t>竞赛规则。</w:t>
      </w:r>
    </w:p>
    <w:p w14:paraId="27502BF2">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（二）比赛场地设八条航道。</w:t>
      </w:r>
    </w:p>
    <w:p w14:paraId="5FD3CF5B">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hAnsi="仿宋" w:cs="仿宋_GB2312"/>
          <w:sz w:val="32"/>
          <w:szCs w:val="32"/>
          <w:highlight w:val="none"/>
          <w:lang w:val="en-US" w:eastAsia="zh-CN"/>
        </w:rPr>
      </w:pPr>
      <w:r>
        <w:rPr>
          <w:rFonts w:hint="eastAsia" w:ascii="仿宋_GB2312" w:hAnsi="仿宋" w:eastAsia="仿宋_GB2312" w:cs="仿宋_GB2312"/>
          <w:sz w:val="32"/>
          <w:szCs w:val="32"/>
          <w:highlight w:val="none"/>
        </w:rPr>
        <w:t>（三）比赛</w:t>
      </w:r>
      <w:r>
        <w:rPr>
          <w:rFonts w:hint="eastAsia" w:ascii="仿宋_GB2312" w:hAnsi="仿宋" w:eastAsia="仿宋_GB2312" w:cs="仿宋_GB2312"/>
          <w:sz w:val="32"/>
          <w:szCs w:val="32"/>
          <w:highlight w:val="none"/>
          <w:lang w:val="en-US" w:eastAsia="zh-CN"/>
        </w:rPr>
        <w:t>赛制</w:t>
      </w:r>
      <w:r>
        <w:rPr>
          <w:rFonts w:hint="eastAsia" w:hAnsi="仿宋" w:cs="仿宋_GB2312"/>
          <w:sz w:val="32"/>
          <w:szCs w:val="32"/>
          <w:highlight w:val="none"/>
          <w:lang w:val="en-US" w:eastAsia="zh-CN"/>
        </w:rPr>
        <w:t>采用各项目（小项）抽签分组，按完成时间成绩一次性比赛决出成绩和名次，不再进行预赛、决赛。</w:t>
      </w:r>
    </w:p>
    <w:p w14:paraId="198F82D6">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（四）比赛器材各单位自备，只限使用国产艇，桨不限。</w:t>
      </w:r>
    </w:p>
    <w:p w14:paraId="0F1F56B4">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（五）参赛运动员服装颜色</w:t>
      </w:r>
      <w:r>
        <w:rPr>
          <w:rFonts w:hint="eastAsia" w:ascii="仿宋_GB2312" w:hAnsi="仿宋" w:eastAsia="仿宋_GB2312" w:cs="仿宋_GB2312"/>
          <w:sz w:val="32"/>
          <w:szCs w:val="32"/>
          <w:highlight w:val="none"/>
          <w:lang w:val="en-US" w:eastAsia="zh-CN"/>
        </w:rPr>
        <w:t>式样必须</w:t>
      </w:r>
      <w:r>
        <w:rPr>
          <w:rFonts w:hint="eastAsia" w:ascii="仿宋_GB2312" w:hAnsi="仿宋" w:eastAsia="仿宋_GB2312" w:cs="仿宋_GB2312"/>
          <w:sz w:val="32"/>
          <w:szCs w:val="32"/>
          <w:highlight w:val="none"/>
        </w:rPr>
        <w:t>统一，服装背后应印有本单位名称标志，每个文字尺寸不小于15×15厘米。</w:t>
      </w:r>
    </w:p>
    <w:p w14:paraId="2070E912">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w:t>
      </w:r>
      <w:r>
        <w:rPr>
          <w:rFonts w:hint="eastAsia" w:hAnsi="仿宋" w:cs="仿宋_GB2312"/>
          <w:color w:val="auto"/>
          <w:sz w:val="32"/>
          <w:szCs w:val="32"/>
          <w:highlight w:val="none"/>
          <w:lang w:val="en-US" w:eastAsia="zh-CN"/>
        </w:rPr>
        <w:t>六</w:t>
      </w:r>
      <w:r>
        <w:rPr>
          <w:rFonts w:hint="eastAsia" w:ascii="仿宋_GB2312" w:hAnsi="仿宋" w:eastAsia="仿宋_GB2312" w:cs="仿宋_GB2312"/>
          <w:color w:val="auto"/>
          <w:sz w:val="32"/>
          <w:szCs w:val="32"/>
          <w:highlight w:val="none"/>
        </w:rPr>
        <w:t>）各项目各组别报名不足</w:t>
      </w:r>
      <w:r>
        <w:rPr>
          <w:rFonts w:hint="eastAsia" w:ascii="仿宋_GB2312" w:hAnsi="仿宋" w:eastAsia="仿宋_GB2312" w:cs="仿宋_GB2312"/>
          <w:color w:val="auto"/>
          <w:sz w:val="32"/>
          <w:szCs w:val="32"/>
          <w:highlight w:val="none"/>
          <w:lang w:val="en-US" w:eastAsia="zh-CN"/>
        </w:rPr>
        <w:t>2个单位参赛的</w:t>
      </w:r>
      <w:r>
        <w:rPr>
          <w:rFonts w:hint="eastAsia" w:ascii="仿宋_GB2312" w:hAnsi="仿宋" w:eastAsia="仿宋_GB2312" w:cs="仿宋_GB2312"/>
          <w:color w:val="auto"/>
          <w:sz w:val="32"/>
          <w:szCs w:val="32"/>
          <w:highlight w:val="none"/>
        </w:rPr>
        <w:t>，不进行比赛；各项目各组别已报名而上场不足3条艇时，</w:t>
      </w:r>
      <w:r>
        <w:rPr>
          <w:rFonts w:hint="eastAsia" w:ascii="仿宋_GB2312" w:hAnsi="仿宋" w:eastAsia="仿宋_GB2312" w:cs="仿宋_GB2312"/>
          <w:color w:val="auto"/>
          <w:sz w:val="32"/>
          <w:szCs w:val="32"/>
          <w:highlight w:val="none"/>
          <w:lang w:val="en-US" w:eastAsia="zh-CN"/>
        </w:rPr>
        <w:t>不</w:t>
      </w:r>
      <w:r>
        <w:rPr>
          <w:rFonts w:hint="eastAsia" w:ascii="仿宋_GB2312" w:hAnsi="仿宋" w:eastAsia="仿宋_GB2312" w:cs="仿宋_GB2312"/>
          <w:color w:val="auto"/>
          <w:sz w:val="32"/>
          <w:szCs w:val="32"/>
          <w:highlight w:val="none"/>
        </w:rPr>
        <w:t>进行比赛</w:t>
      </w:r>
      <w:r>
        <w:rPr>
          <w:rFonts w:hint="eastAsia" w:ascii="仿宋_GB2312" w:hAnsi="仿宋" w:eastAsia="仿宋_GB2312" w:cs="仿宋_GB2312"/>
          <w:color w:val="auto"/>
          <w:sz w:val="32"/>
          <w:szCs w:val="32"/>
          <w:highlight w:val="none"/>
          <w:lang w:val="en-US" w:eastAsia="zh-CN"/>
        </w:rPr>
        <w:t>和录取名次。</w:t>
      </w:r>
    </w:p>
    <w:p w14:paraId="5147A9FE">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w:t>
      </w:r>
      <w:r>
        <w:rPr>
          <w:rFonts w:hint="eastAsia" w:hAnsi="仿宋" w:cs="仿宋_GB2312"/>
          <w:sz w:val="32"/>
          <w:szCs w:val="32"/>
          <w:highlight w:val="none"/>
          <w:lang w:val="en-US" w:eastAsia="zh-CN"/>
        </w:rPr>
        <w:t>七</w:t>
      </w:r>
      <w:r>
        <w:rPr>
          <w:rFonts w:hint="eastAsia" w:ascii="仿宋_GB2312" w:hAnsi="仿宋" w:eastAsia="仿宋_GB2312" w:cs="仿宋_GB2312"/>
          <w:sz w:val="32"/>
          <w:szCs w:val="32"/>
          <w:highlight w:val="none"/>
        </w:rPr>
        <w:t>）弃权规定</w:t>
      </w:r>
    </w:p>
    <w:p w14:paraId="18E3AEAB">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1.</w:t>
      </w:r>
      <w:r>
        <w:rPr>
          <w:rFonts w:hint="eastAsia" w:ascii="仿宋_GB2312" w:hAnsi="仿宋" w:eastAsia="仿宋_GB2312" w:cs="仿宋_GB2312"/>
          <w:sz w:val="32"/>
          <w:szCs w:val="32"/>
          <w:highlight w:val="none"/>
          <w:lang w:val="en-US" w:eastAsia="zh-CN"/>
        </w:rPr>
        <w:t>比赛前</w:t>
      </w:r>
      <w:r>
        <w:rPr>
          <w:rFonts w:hint="eastAsia" w:ascii="仿宋_GB2312" w:hAnsi="仿宋" w:eastAsia="仿宋_GB2312" w:cs="仿宋_GB2312"/>
          <w:sz w:val="32"/>
          <w:szCs w:val="32"/>
          <w:highlight w:val="none"/>
        </w:rPr>
        <w:t>因伤病弃权，需提供二级</w:t>
      </w:r>
      <w:r>
        <w:rPr>
          <w:rFonts w:hint="eastAsia" w:hAnsi="仿宋" w:cs="仿宋_GB2312"/>
          <w:sz w:val="32"/>
          <w:szCs w:val="32"/>
          <w:highlight w:val="none"/>
          <w:lang w:eastAsia="zh-CN"/>
        </w:rPr>
        <w:t>（</w:t>
      </w:r>
      <w:r>
        <w:rPr>
          <w:rFonts w:hint="eastAsia" w:hAnsi="仿宋" w:cs="仿宋_GB2312"/>
          <w:sz w:val="32"/>
          <w:szCs w:val="32"/>
          <w:highlight w:val="none"/>
          <w:lang w:val="en-US" w:eastAsia="zh-CN"/>
        </w:rPr>
        <w:t>含</w:t>
      </w:r>
      <w:r>
        <w:rPr>
          <w:rFonts w:hint="eastAsia" w:hAnsi="仿宋" w:cs="仿宋_GB2312"/>
          <w:sz w:val="32"/>
          <w:szCs w:val="32"/>
          <w:highlight w:val="none"/>
          <w:lang w:eastAsia="zh-CN"/>
        </w:rPr>
        <w:t>）</w:t>
      </w:r>
      <w:r>
        <w:rPr>
          <w:rFonts w:hint="eastAsia" w:ascii="仿宋_GB2312" w:hAnsi="仿宋" w:eastAsia="仿宋_GB2312" w:cs="仿宋_GB2312"/>
          <w:sz w:val="32"/>
          <w:szCs w:val="32"/>
          <w:highlight w:val="none"/>
        </w:rPr>
        <w:t>以上医院出具的诊断证明</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lang w:val="en-US" w:eastAsia="zh-CN"/>
        </w:rPr>
        <w:t>因</w:t>
      </w:r>
      <w:r>
        <w:rPr>
          <w:rFonts w:hint="eastAsia" w:ascii="仿宋_GB2312" w:hAnsi="仿宋" w:eastAsia="仿宋_GB2312" w:cs="仿宋_GB2312"/>
          <w:sz w:val="32"/>
          <w:szCs w:val="32"/>
          <w:highlight w:val="none"/>
        </w:rPr>
        <w:t>考试、研学等其他原因弃权，需提供所在学校出具的证明，并于</w:t>
      </w:r>
      <w:r>
        <w:rPr>
          <w:rFonts w:hint="eastAsia" w:ascii="仿宋_GB2312" w:hAnsi="仿宋" w:eastAsia="仿宋_GB2312" w:cs="仿宋_GB2312"/>
          <w:sz w:val="32"/>
          <w:szCs w:val="32"/>
          <w:highlight w:val="none"/>
          <w:lang w:val="en-US" w:eastAsia="zh-CN"/>
        </w:rPr>
        <w:t>领队会上</w:t>
      </w:r>
      <w:r>
        <w:rPr>
          <w:rFonts w:hint="eastAsia" w:ascii="仿宋_GB2312" w:hAnsi="仿宋" w:eastAsia="仿宋_GB2312" w:cs="仿宋_GB2312"/>
          <w:sz w:val="32"/>
          <w:szCs w:val="32"/>
          <w:highlight w:val="none"/>
        </w:rPr>
        <w:t>提出</w:t>
      </w:r>
      <w:r>
        <w:rPr>
          <w:rFonts w:hint="eastAsia" w:ascii="仿宋_GB2312" w:hAnsi="仿宋" w:eastAsia="仿宋_GB2312" w:cs="仿宋_GB2312"/>
          <w:sz w:val="32"/>
          <w:szCs w:val="32"/>
          <w:highlight w:val="none"/>
          <w:lang w:val="en-US" w:eastAsia="zh-CN"/>
        </w:rPr>
        <w:t>书面</w:t>
      </w:r>
      <w:r>
        <w:rPr>
          <w:rFonts w:hint="eastAsia" w:ascii="仿宋_GB2312" w:hAnsi="仿宋" w:eastAsia="仿宋_GB2312" w:cs="仿宋_GB2312"/>
          <w:sz w:val="32"/>
          <w:szCs w:val="32"/>
          <w:highlight w:val="none"/>
        </w:rPr>
        <w:t>弃权申请。</w:t>
      </w:r>
    </w:p>
    <w:p w14:paraId="6B270AF3">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rPr>
        <w:t>2.比赛期间运动员因伤病或其他原因</w:t>
      </w:r>
      <w:r>
        <w:rPr>
          <w:rFonts w:hint="eastAsia" w:ascii="仿宋_GB2312" w:hAnsi="仿宋" w:eastAsia="仿宋_GB2312" w:cs="仿宋_GB2312"/>
          <w:sz w:val="32"/>
          <w:szCs w:val="32"/>
          <w:highlight w:val="none"/>
          <w:lang w:val="en-US" w:eastAsia="zh-CN"/>
        </w:rPr>
        <w:t>弃权</w:t>
      </w:r>
      <w:r>
        <w:rPr>
          <w:rFonts w:hint="eastAsia" w:ascii="仿宋_GB2312" w:hAnsi="仿宋" w:eastAsia="仿宋_GB2312" w:cs="仿宋_GB2312"/>
          <w:sz w:val="32"/>
          <w:szCs w:val="32"/>
          <w:highlight w:val="none"/>
        </w:rPr>
        <w:t>，需</w:t>
      </w:r>
      <w:r>
        <w:rPr>
          <w:rFonts w:hint="eastAsia" w:ascii="仿宋_GB2312" w:hAnsi="仿宋" w:eastAsia="仿宋_GB2312" w:cs="仿宋_GB2312"/>
          <w:sz w:val="32"/>
          <w:szCs w:val="32"/>
          <w:highlight w:val="none"/>
          <w:lang w:val="en-US" w:eastAsia="zh-CN"/>
        </w:rPr>
        <w:t>在开赛前1小时提交书面申请，同时提交相应证明材料</w:t>
      </w:r>
      <w:r>
        <w:rPr>
          <w:rFonts w:hint="eastAsia" w:ascii="仿宋_GB2312" w:hAnsi="仿宋" w:eastAsia="仿宋_GB2312" w:cs="仿宋_GB2312"/>
          <w:sz w:val="32"/>
          <w:szCs w:val="32"/>
          <w:highlight w:val="none"/>
        </w:rPr>
        <w:t>并</w:t>
      </w:r>
      <w:r>
        <w:rPr>
          <w:rFonts w:hint="eastAsia" w:hAnsi="仿宋" w:cs="仿宋_GB2312"/>
          <w:sz w:val="32"/>
          <w:szCs w:val="32"/>
          <w:highlight w:val="none"/>
          <w:lang w:val="en-US" w:eastAsia="zh-CN"/>
        </w:rPr>
        <w:t>由领队或教练员签字</w:t>
      </w:r>
      <w:r>
        <w:rPr>
          <w:rFonts w:hint="eastAsia" w:ascii="仿宋_GB2312" w:hAnsi="仿宋" w:eastAsia="仿宋_GB2312" w:cs="仿宋_GB2312"/>
          <w:sz w:val="32"/>
          <w:szCs w:val="32"/>
          <w:highlight w:val="none"/>
          <w:lang w:eastAsia="zh-CN"/>
        </w:rPr>
        <w:t>。</w:t>
      </w:r>
    </w:p>
    <w:p w14:paraId="16E473E8">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3.</w:t>
      </w:r>
      <w:r>
        <w:rPr>
          <w:rFonts w:hint="eastAsia" w:ascii="仿宋_GB2312" w:hAnsi="仿宋" w:eastAsia="仿宋_GB2312" w:cs="仿宋_GB2312"/>
          <w:sz w:val="32"/>
          <w:szCs w:val="32"/>
          <w:highlight w:val="none"/>
          <w:lang w:val="en-US" w:eastAsia="zh-CN"/>
        </w:rPr>
        <w:t>比赛中</w:t>
      </w:r>
      <w:r>
        <w:rPr>
          <w:rFonts w:hint="eastAsia" w:ascii="仿宋_GB2312" w:hAnsi="仿宋" w:eastAsia="仿宋_GB2312" w:cs="仿宋_GB2312"/>
          <w:sz w:val="32"/>
          <w:szCs w:val="32"/>
          <w:highlight w:val="none"/>
        </w:rPr>
        <w:t>符合弃权条件的运动员，之前取得的名次和成绩有效。未按</w:t>
      </w:r>
      <w:r>
        <w:rPr>
          <w:rFonts w:hint="eastAsia" w:ascii="仿宋_GB2312" w:hAnsi="仿宋" w:eastAsia="仿宋_GB2312" w:cs="仿宋_GB2312"/>
          <w:sz w:val="32"/>
          <w:szCs w:val="32"/>
          <w:highlight w:val="none"/>
          <w:lang w:val="en-US" w:eastAsia="zh-CN"/>
        </w:rPr>
        <w:t>以上要求提交相应书面申请及材料的，</w:t>
      </w:r>
      <w:r>
        <w:rPr>
          <w:rFonts w:hint="eastAsia" w:ascii="仿宋_GB2312" w:hAnsi="仿宋" w:eastAsia="仿宋_GB2312" w:cs="仿宋_GB2312"/>
          <w:sz w:val="32"/>
          <w:szCs w:val="32"/>
          <w:highlight w:val="none"/>
        </w:rPr>
        <w:t>视为无故弃权，取消本人本次比赛</w:t>
      </w:r>
      <w:r>
        <w:rPr>
          <w:rFonts w:hint="eastAsia" w:ascii="仿宋_GB2312" w:hAnsi="仿宋" w:eastAsia="仿宋_GB2312" w:cs="仿宋_GB2312"/>
          <w:sz w:val="32"/>
          <w:szCs w:val="32"/>
          <w:highlight w:val="none"/>
          <w:lang w:val="en-US" w:eastAsia="zh-CN"/>
        </w:rPr>
        <w:t>所有</w:t>
      </w:r>
      <w:r>
        <w:rPr>
          <w:rFonts w:hint="eastAsia" w:ascii="仿宋_GB2312" w:hAnsi="仿宋" w:eastAsia="仿宋_GB2312" w:cs="仿宋_GB2312"/>
          <w:sz w:val="32"/>
          <w:szCs w:val="32"/>
          <w:highlight w:val="none"/>
        </w:rPr>
        <w:t>成绩及参加北京市运会</w:t>
      </w:r>
      <w:r>
        <w:rPr>
          <w:rFonts w:hint="eastAsia" w:ascii="仿宋_GB2312" w:hAnsi="仿宋" w:eastAsia="仿宋_GB2312" w:cs="仿宋_GB2312"/>
          <w:sz w:val="32"/>
          <w:szCs w:val="32"/>
          <w:highlight w:val="none"/>
          <w:lang w:val="en-US" w:eastAsia="zh-CN"/>
        </w:rPr>
        <w:t>决赛</w:t>
      </w:r>
      <w:r>
        <w:rPr>
          <w:rFonts w:hint="eastAsia" w:ascii="仿宋_GB2312" w:hAnsi="仿宋" w:eastAsia="仿宋_GB2312" w:cs="仿宋_GB2312"/>
          <w:sz w:val="32"/>
          <w:szCs w:val="32"/>
          <w:highlight w:val="none"/>
        </w:rPr>
        <w:t>参赛资格。</w:t>
      </w:r>
    </w:p>
    <w:p w14:paraId="1A0A8607">
      <w:pPr>
        <w:pStyle w:val="2"/>
        <w:keepNext w:val="0"/>
        <w:keepLines w:val="0"/>
        <w:pageBreakBefore w:val="0"/>
        <w:kinsoku/>
        <w:wordWrap/>
        <w:overflowPunct/>
        <w:topLinePunct w:val="0"/>
        <w:autoSpaceDE w:val="0"/>
        <w:autoSpaceDN w:val="0"/>
        <w:bidi w:val="0"/>
        <w:adjustRightInd/>
        <w:snapToGrid/>
        <w:spacing w:line="560" w:lineRule="exact"/>
        <w:ind w:left="743"/>
        <w:textAlignment w:val="auto"/>
        <w:rPr>
          <w:rFonts w:hint="eastAsia" w:ascii="黑体" w:eastAsia="黑体"/>
          <w:highlight w:val="none"/>
          <w:lang w:eastAsia="zh-CN"/>
        </w:rPr>
      </w:pPr>
      <w:r>
        <w:rPr>
          <w:rFonts w:hint="eastAsia" w:ascii="黑体" w:eastAsia="黑体"/>
          <w:highlight w:val="none"/>
          <w:lang w:eastAsia="zh-CN"/>
        </w:rPr>
        <w:t>八、报名办法</w:t>
      </w:r>
    </w:p>
    <w:p w14:paraId="1450E1E9">
      <w:pPr>
        <w:pStyle w:val="2"/>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（一）网络报名：各参赛单位于2026年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lang w:eastAsia="zh-CN"/>
        </w:rPr>
        <w:t>日至</w:t>
      </w:r>
      <w:r>
        <w:rPr>
          <w:rFonts w:hint="eastAsia" w:ascii="仿宋_GB2312" w:hAnsi="仿宋_GB2312" w:eastAsia="仿宋_GB2312" w:cs="仿宋_GB2312"/>
          <w:sz w:val="32"/>
          <w:szCs w:val="32"/>
          <w:highlight w:val="none"/>
          <w:lang w:val="en-US" w:eastAsia="zh-CN"/>
        </w:rPr>
        <w:t>19</w:t>
      </w:r>
      <w:r>
        <w:rPr>
          <w:rFonts w:hint="eastAsia" w:ascii="仿宋_GB2312" w:hAnsi="仿宋_GB2312" w:eastAsia="仿宋_GB2312" w:cs="仿宋_GB2312"/>
          <w:sz w:val="32"/>
          <w:szCs w:val="32"/>
          <w:highlight w:val="none"/>
          <w:lang w:eastAsia="zh-CN"/>
        </w:rPr>
        <w:t>日在北京市体育竞赛管理和国际交流中心官方网站</w:t>
      </w:r>
    </w:p>
    <w:p w14:paraId="5A57F8AF">
      <w:pPr>
        <w:pStyle w:val="2"/>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(https://www.bjcac.org.cn)进行网络报名；</w:t>
      </w:r>
    </w:p>
    <w:p w14:paraId="21C80D69">
      <w:pPr>
        <w:pStyle w:val="2"/>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（二）现场报名：各参赛单位于2026年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lang w:eastAsia="zh-CN"/>
        </w:rPr>
        <w:t>日将以下材料送交北京市体育竞赛管理和国际交流中心40</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lang w:eastAsia="zh-CN"/>
        </w:rPr>
        <w:t>室。</w:t>
      </w:r>
    </w:p>
    <w:p w14:paraId="4961A5DC">
      <w:pPr>
        <w:pStyle w:val="2"/>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1.加盖参赛单位公章报名表一份；</w:t>
      </w:r>
    </w:p>
    <w:p w14:paraId="3B56D965">
      <w:pPr>
        <w:pStyle w:val="2"/>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2.领队签字并加盖参赛单位公章参赛承诺书一份；</w:t>
      </w:r>
    </w:p>
    <w:p w14:paraId="18645C2F">
      <w:pPr>
        <w:pStyle w:val="2"/>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3.参赛教练员</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教练证或相关证明材料复印件；</w:t>
      </w:r>
    </w:p>
    <w:p w14:paraId="5368399A">
      <w:pPr>
        <w:pStyle w:val="2"/>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4.参赛运动员及监护人签字的运动员参赛声明。</w:t>
      </w:r>
    </w:p>
    <w:p w14:paraId="29DA4750">
      <w:pPr>
        <w:pStyle w:val="2"/>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（三）逾期未报名或未提交材料按不参赛处理，报名后不得更改，不在参赛人员名单内的人员届时不得入场。</w:t>
      </w:r>
    </w:p>
    <w:p w14:paraId="68A38E2C">
      <w:pPr>
        <w:pStyle w:val="2"/>
        <w:keepNext w:val="0"/>
        <w:keepLines w:val="0"/>
        <w:pageBreakBefore w:val="0"/>
        <w:kinsoku/>
        <w:wordWrap/>
        <w:overflowPunct/>
        <w:topLinePunct w:val="0"/>
        <w:autoSpaceDE w:val="0"/>
        <w:autoSpaceDN w:val="0"/>
        <w:bidi w:val="0"/>
        <w:adjustRightInd/>
        <w:snapToGrid/>
        <w:spacing w:line="560" w:lineRule="exact"/>
        <w:ind w:left="102" w:right="150" w:firstLine="64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（四）本次比赛不收取报名费。</w:t>
      </w:r>
    </w:p>
    <w:p w14:paraId="707FACBF">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联系人：徐岩，联系电话：63</w:t>
      </w:r>
      <w:r>
        <w:rPr>
          <w:rFonts w:hint="eastAsia" w:ascii="仿宋_GB2312" w:hAnsi="仿宋_GB2312" w:eastAsia="仿宋_GB2312" w:cs="仿宋_GB2312"/>
          <w:color w:val="000000"/>
          <w:sz w:val="32"/>
          <w:szCs w:val="32"/>
          <w:highlight w:val="none"/>
          <w:lang w:val="en-US" w:eastAsia="zh-CN"/>
        </w:rPr>
        <w:t>158773</w:t>
      </w:r>
    </w:p>
    <w:p w14:paraId="56D693B6">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电子邮箱：</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"mailto:li.yuan@tyj.beijing.gov.cn"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color w:val="000000"/>
          <w:sz w:val="32"/>
          <w:szCs w:val="32"/>
          <w:highlight w:val="none"/>
          <w:u w:val="single"/>
        </w:rPr>
        <w:t>xuyan@tyj.beijing.gov.cn</w:t>
      </w:r>
      <w:r>
        <w:rPr>
          <w:rFonts w:hint="eastAsia" w:ascii="仿宋_GB2312" w:hAnsi="仿宋_GB2312" w:eastAsia="仿宋_GB2312" w:cs="仿宋_GB2312"/>
          <w:color w:val="000000"/>
          <w:sz w:val="32"/>
          <w:szCs w:val="32"/>
          <w:highlight w:val="none"/>
          <w:u w:val="single"/>
        </w:rPr>
        <w:fldChar w:fldCharType="end"/>
      </w:r>
    </w:p>
    <w:p w14:paraId="0D1C9FA4">
      <w:pPr>
        <w:pStyle w:val="2"/>
        <w:keepNext w:val="0"/>
        <w:keepLines w:val="0"/>
        <w:pageBreakBefore w:val="0"/>
        <w:kinsoku/>
        <w:wordWrap/>
        <w:overflowPunct/>
        <w:topLinePunct w:val="0"/>
        <w:autoSpaceDE w:val="0"/>
        <w:autoSpaceDN w:val="0"/>
        <w:bidi w:val="0"/>
        <w:adjustRightInd/>
        <w:snapToGrid/>
        <w:spacing w:line="560" w:lineRule="exact"/>
        <w:ind w:left="743"/>
        <w:textAlignment w:val="auto"/>
        <w:rPr>
          <w:rFonts w:hint="eastAsia" w:ascii="黑体" w:eastAsia="黑体"/>
          <w:highlight w:val="none"/>
          <w:lang w:eastAsia="zh-CN"/>
        </w:rPr>
      </w:pPr>
      <w:r>
        <w:rPr>
          <w:rFonts w:hint="eastAsia" w:ascii="黑体" w:eastAsia="黑体"/>
          <w:highlight w:val="none"/>
          <w:lang w:eastAsia="zh-CN"/>
        </w:rPr>
        <w:t>九、录取名次和奖励办法</w:t>
      </w:r>
    </w:p>
    <w:p w14:paraId="083D2F04">
      <w:pPr>
        <w:pStyle w:val="2"/>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（一）录取名次按照实际到场参赛</w:t>
      </w:r>
      <w:r>
        <w:rPr>
          <w:rFonts w:hint="eastAsia" w:ascii="仿宋_GB2312" w:hAnsi="仿宋_GB2312" w:eastAsia="仿宋_GB2312" w:cs="仿宋_GB2312"/>
          <w:sz w:val="32"/>
          <w:szCs w:val="32"/>
          <w:highlight w:val="none"/>
          <w:lang w:val="en-US" w:eastAsia="zh-CN"/>
        </w:rPr>
        <w:t>艇</w:t>
      </w:r>
      <w:r>
        <w:rPr>
          <w:rFonts w:hint="eastAsia" w:ascii="仿宋_GB2312" w:hAnsi="仿宋_GB2312" w:eastAsia="仿宋_GB2312" w:cs="仿宋_GB2312"/>
          <w:sz w:val="32"/>
          <w:szCs w:val="32"/>
          <w:highlight w:val="none"/>
          <w:lang w:eastAsia="zh-CN"/>
        </w:rPr>
        <w:t>数为准，比赛各项目组别录取前8名，参赛不足8（含）</w:t>
      </w:r>
      <w:r>
        <w:rPr>
          <w:rFonts w:hint="eastAsia" w:ascii="仿宋_GB2312" w:hAnsi="仿宋_GB2312" w:eastAsia="仿宋_GB2312" w:cs="仿宋_GB2312"/>
          <w:sz w:val="32"/>
          <w:szCs w:val="32"/>
          <w:highlight w:val="none"/>
          <w:lang w:val="en-US" w:eastAsia="zh-CN"/>
        </w:rPr>
        <w:t>条艇的，</w:t>
      </w:r>
      <w:r>
        <w:rPr>
          <w:rFonts w:hint="eastAsia" w:ascii="仿宋_GB2312" w:hAnsi="仿宋_GB2312" w:eastAsia="仿宋_GB2312" w:cs="仿宋_GB2312"/>
          <w:sz w:val="32"/>
          <w:szCs w:val="32"/>
          <w:highlight w:val="none"/>
          <w:lang w:eastAsia="zh-CN"/>
        </w:rPr>
        <w:t>递减1名录取。</w:t>
      </w:r>
    </w:p>
    <w:p w14:paraId="1198CB5F">
      <w:pPr>
        <w:pStyle w:val="2"/>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（二）获得比赛前3名的运动员颁发奖牌和证书；其他获得名次者分别颁发证书。</w:t>
      </w:r>
    </w:p>
    <w:p w14:paraId="7BF8F480">
      <w:pPr>
        <w:pStyle w:val="2"/>
        <w:keepNext w:val="0"/>
        <w:keepLines w:val="0"/>
        <w:pageBreakBefore w:val="0"/>
        <w:kinsoku/>
        <w:wordWrap/>
        <w:overflowPunct/>
        <w:topLinePunct w:val="0"/>
        <w:autoSpaceDE w:val="0"/>
        <w:autoSpaceDN w:val="0"/>
        <w:bidi w:val="0"/>
        <w:adjustRightInd/>
        <w:snapToGrid/>
        <w:spacing w:line="560" w:lineRule="exact"/>
        <w:ind w:firstLine="620" w:firstLineChars="200"/>
        <w:textAlignment w:val="auto"/>
        <w:rPr>
          <w:rFonts w:hint="eastAsia" w:ascii="黑体" w:hAnsi="黑体" w:eastAsia="黑体" w:cs="黑体"/>
          <w:highlight w:val="none"/>
          <w:lang w:eastAsia="zh-CN"/>
        </w:rPr>
      </w:pPr>
      <w:r>
        <w:rPr>
          <w:rFonts w:hint="eastAsia" w:ascii="黑体" w:hAnsi="黑体" w:eastAsia="黑体" w:cs="黑体"/>
          <w:kern w:val="2"/>
          <w:highlight w:val="none"/>
          <w:lang w:eastAsia="zh-CN"/>
        </w:rPr>
        <w:t>十、</w:t>
      </w:r>
      <w:r>
        <w:rPr>
          <w:rFonts w:hint="eastAsia" w:ascii="黑体" w:hAnsi="黑体" w:eastAsia="黑体" w:cs="黑体"/>
          <w:highlight w:val="none"/>
          <w:lang w:val="en-US" w:eastAsia="zh-CN"/>
        </w:rPr>
        <w:t>本次锦标赛为北京市第十七届运动会(青少年组）赛艇比赛预选赛，</w:t>
      </w:r>
      <w:r>
        <w:rPr>
          <w:rFonts w:hint="eastAsia" w:ascii="黑体" w:hAnsi="黑体" w:eastAsia="黑体" w:cs="黑体"/>
          <w:highlight w:val="none"/>
          <w:lang w:eastAsia="zh-CN"/>
        </w:rPr>
        <w:t>获得甲、乙组各单项前1</w:t>
      </w:r>
      <w:r>
        <w:rPr>
          <w:rFonts w:hint="eastAsia" w:ascii="黑体" w:hAnsi="黑体" w:eastAsia="黑体" w:cs="黑体"/>
          <w:highlight w:val="none"/>
          <w:lang w:val="en-US" w:eastAsia="zh-CN"/>
        </w:rPr>
        <w:t>2</w:t>
      </w:r>
      <w:r>
        <w:rPr>
          <w:rFonts w:hint="eastAsia" w:ascii="黑体" w:hAnsi="黑体" w:eastAsia="黑体" w:cs="黑体"/>
          <w:highlight w:val="none"/>
          <w:lang w:eastAsia="zh-CN"/>
        </w:rPr>
        <w:t>名且符合《北京市第十七届运动会竞赛规程总则》中关于运动员资格规定的选手，有资格参加北京市第十七届运动会（青少年组）赛艇比赛的单项比赛。</w:t>
      </w:r>
      <w:r>
        <w:rPr>
          <w:rFonts w:hint="eastAsia" w:ascii="黑体" w:hAnsi="黑体" w:eastAsia="黑体" w:cs="黑体"/>
          <w:highlight w:val="none"/>
          <w:lang w:val="en-US" w:eastAsia="zh-CN"/>
        </w:rPr>
        <w:t>不符合市运会资格的运动员，将从排名前12名中进行剔除，后续符合资格的运动员按照排名依次递补。</w:t>
      </w:r>
      <w:r>
        <w:rPr>
          <w:rFonts w:hint="eastAsia" w:ascii="黑体" w:hAnsi="黑体" w:eastAsia="黑体" w:cs="黑体"/>
          <w:highlight w:val="none"/>
          <w:lang w:eastAsia="zh-CN"/>
        </w:rPr>
        <w:t>参加北京市第十七届运动会（青少年组）赛艇比赛运动员所报项目须与锦标赛保持一致，不得更改。</w:t>
      </w:r>
    </w:p>
    <w:p w14:paraId="756208C2">
      <w:pPr>
        <w:pStyle w:val="2"/>
        <w:keepNext w:val="0"/>
        <w:keepLines w:val="0"/>
        <w:pageBreakBefore w:val="0"/>
        <w:kinsoku/>
        <w:wordWrap/>
        <w:overflowPunct/>
        <w:topLinePunct w:val="0"/>
        <w:autoSpaceDE w:val="0"/>
        <w:autoSpaceDN w:val="0"/>
        <w:bidi w:val="0"/>
        <w:adjustRightInd/>
        <w:snapToGrid/>
        <w:spacing w:line="560" w:lineRule="exact"/>
        <w:ind w:left="728"/>
        <w:textAlignment w:val="auto"/>
        <w:rPr>
          <w:rFonts w:hint="eastAsia" w:ascii="黑体" w:eastAsia="黑体"/>
          <w:highlight w:val="none"/>
          <w:lang w:eastAsia="zh-CN"/>
        </w:rPr>
      </w:pPr>
      <w:r>
        <w:rPr>
          <w:rFonts w:hint="eastAsia" w:ascii="黑体" w:eastAsia="黑体"/>
          <w:highlight w:val="none"/>
          <w:lang w:eastAsia="zh-CN"/>
        </w:rPr>
        <w:t>十</w:t>
      </w:r>
      <w:r>
        <w:rPr>
          <w:rFonts w:hint="eastAsia" w:ascii="黑体" w:eastAsia="黑体"/>
          <w:highlight w:val="none"/>
          <w:lang w:val="en-US" w:eastAsia="zh-CN"/>
        </w:rPr>
        <w:t>一</w:t>
      </w:r>
      <w:r>
        <w:rPr>
          <w:rFonts w:hint="eastAsia" w:ascii="黑体" w:eastAsia="黑体"/>
          <w:highlight w:val="none"/>
          <w:lang w:eastAsia="zh-CN"/>
        </w:rPr>
        <w:t>、运动员技术等级</w:t>
      </w:r>
    </w:p>
    <w:p w14:paraId="71898A17">
      <w:pPr>
        <w:pStyle w:val="2"/>
        <w:keepNext w:val="0"/>
        <w:keepLines w:val="0"/>
        <w:pageBreakBefore w:val="0"/>
        <w:kinsoku/>
        <w:wordWrap/>
        <w:overflowPunct/>
        <w:topLinePunct w:val="0"/>
        <w:autoSpaceDE w:val="0"/>
        <w:autoSpaceDN w:val="0"/>
        <w:bidi w:val="0"/>
        <w:adjustRightInd/>
        <w:snapToGrid/>
        <w:spacing w:line="560" w:lineRule="exact"/>
        <w:ind w:left="102" w:right="184" w:firstLine="64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（一）根据《运动员技术等级管理办法》（国家体育总局令第32号）和《运动员技术等级标准》（体竞字〔2024〕121号）有关规定，本次比赛甲组可授予运动员技术等级称号，外国运动员除外。</w:t>
      </w:r>
    </w:p>
    <w:p w14:paraId="74A66C2F">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（二）可授予等级称号的小项</w:t>
      </w:r>
    </w:p>
    <w:p w14:paraId="005570B1">
      <w:pPr>
        <w:pStyle w:val="2"/>
        <w:keepNext w:val="0"/>
        <w:keepLines w:val="0"/>
        <w:pageBreakBefore w:val="0"/>
        <w:kinsoku/>
        <w:wordWrap/>
        <w:overflowPunct/>
        <w:topLinePunct w:val="0"/>
        <w:autoSpaceDE w:val="0"/>
        <w:autoSpaceDN w:val="0"/>
        <w:bidi w:val="0"/>
        <w:adjustRightInd/>
        <w:snapToGrid/>
        <w:spacing w:line="560" w:lineRule="exact"/>
        <w:ind w:left="102" w:right="184" w:firstLine="64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男子：</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000米单人双桨、双人双桨。</w:t>
      </w:r>
    </w:p>
    <w:p w14:paraId="6D2B2EB3">
      <w:pPr>
        <w:pStyle w:val="2"/>
        <w:keepNext w:val="0"/>
        <w:keepLines w:val="0"/>
        <w:pageBreakBefore w:val="0"/>
        <w:kinsoku/>
        <w:wordWrap/>
        <w:overflowPunct/>
        <w:topLinePunct w:val="0"/>
        <w:autoSpaceDE w:val="0"/>
        <w:autoSpaceDN w:val="0"/>
        <w:bidi w:val="0"/>
        <w:adjustRightInd/>
        <w:snapToGrid/>
        <w:spacing w:line="560" w:lineRule="exact"/>
        <w:ind w:left="102" w:right="184" w:firstLine="64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女子：</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000米单人双桨、双人双桨。</w:t>
      </w:r>
    </w:p>
    <w:p w14:paraId="730A44B4">
      <w:pPr>
        <w:pStyle w:val="2"/>
        <w:keepNext w:val="0"/>
        <w:keepLines w:val="0"/>
        <w:pageBreakBefore w:val="0"/>
        <w:kinsoku/>
        <w:wordWrap/>
        <w:overflowPunct/>
        <w:topLinePunct w:val="0"/>
        <w:autoSpaceDE w:val="0"/>
        <w:autoSpaceDN w:val="0"/>
        <w:bidi w:val="0"/>
        <w:adjustRightInd/>
        <w:snapToGrid/>
        <w:spacing w:line="560" w:lineRule="exact"/>
        <w:ind w:left="102" w:right="184" w:firstLine="64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等级称号授予方式与内容：比赛结束后30日内，市体育局公布比赛秩序册、成绩册，并对拟授予等级称号人员进行公示，公示期为5个工作日。公示期满无异议的，市体育局以文件形式授予等级称号，具体为：一级运动员、二级运动员、三级运动员。</w:t>
      </w:r>
    </w:p>
    <w:p w14:paraId="65BEA62A">
      <w:pPr>
        <w:pStyle w:val="2"/>
        <w:keepNext w:val="0"/>
        <w:keepLines w:val="0"/>
        <w:pageBreakBefore w:val="0"/>
        <w:kinsoku/>
        <w:wordWrap/>
        <w:overflowPunct/>
        <w:topLinePunct w:val="0"/>
        <w:autoSpaceDE w:val="0"/>
        <w:autoSpaceDN w:val="0"/>
        <w:bidi w:val="0"/>
        <w:adjustRightInd/>
        <w:snapToGrid/>
        <w:spacing w:line="240" w:lineRule="auto"/>
        <w:ind w:lef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）等级称号公示、授予通知以及等级证书可通过下载体教联盟(CSEA)APP查询，等级证书为电子证书。</w:t>
      </w:r>
    </w:p>
    <w:p w14:paraId="55E11F25">
      <w:pPr>
        <w:pStyle w:val="2"/>
        <w:keepNext w:val="0"/>
        <w:keepLines w:val="0"/>
        <w:pageBreakBefore w:val="0"/>
        <w:kinsoku/>
        <w:wordWrap/>
        <w:overflowPunct/>
        <w:topLinePunct w:val="0"/>
        <w:autoSpaceDE w:val="0"/>
        <w:autoSpaceDN w:val="0"/>
        <w:bidi w:val="0"/>
        <w:adjustRightInd/>
        <w:snapToGrid/>
        <w:spacing w:line="560" w:lineRule="exact"/>
        <w:ind w:left="743"/>
        <w:textAlignment w:val="auto"/>
        <w:rPr>
          <w:rFonts w:hint="eastAsia" w:ascii="黑体" w:eastAsia="黑体"/>
          <w:highlight w:val="none"/>
          <w:lang w:eastAsia="zh-CN"/>
        </w:rPr>
      </w:pPr>
      <w:r>
        <w:rPr>
          <w:rFonts w:hint="eastAsia" w:ascii="黑体" w:eastAsia="黑体"/>
          <w:highlight w:val="none"/>
          <w:lang w:eastAsia="zh-CN"/>
        </w:rPr>
        <w:t>十</w:t>
      </w:r>
      <w:r>
        <w:rPr>
          <w:rFonts w:hint="eastAsia" w:ascii="黑体" w:eastAsia="黑体"/>
          <w:highlight w:val="none"/>
          <w:lang w:val="en-US" w:eastAsia="zh-CN"/>
        </w:rPr>
        <w:t>二</w:t>
      </w:r>
      <w:r>
        <w:rPr>
          <w:rFonts w:hint="eastAsia" w:ascii="黑体" w:eastAsia="黑体"/>
          <w:highlight w:val="none"/>
          <w:lang w:eastAsia="zh-CN"/>
        </w:rPr>
        <w:t>、人身安全和医疗保险</w:t>
      </w:r>
    </w:p>
    <w:p w14:paraId="2307739A">
      <w:pPr>
        <w:pStyle w:val="2"/>
        <w:keepNext w:val="0"/>
        <w:keepLines w:val="0"/>
        <w:pageBreakBefore w:val="0"/>
        <w:kinsoku/>
        <w:wordWrap/>
        <w:overflowPunct/>
        <w:topLinePunct w:val="0"/>
        <w:autoSpaceDE w:val="0"/>
        <w:autoSpaceDN w:val="0"/>
        <w:bidi w:val="0"/>
        <w:adjustRightInd/>
        <w:snapToGrid/>
        <w:spacing w:line="560" w:lineRule="exact"/>
        <w:ind w:left="102" w:right="362"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（一）所有参赛人员要按照赛事主办及承办单位有关要求做好参赛各项安全保障工作。</w:t>
      </w:r>
    </w:p>
    <w:p w14:paraId="1CB2A751">
      <w:pPr>
        <w:pStyle w:val="2"/>
        <w:keepNext w:val="0"/>
        <w:keepLines w:val="0"/>
        <w:pageBreakBefore w:val="0"/>
        <w:kinsoku/>
        <w:wordWrap/>
        <w:overflowPunct/>
        <w:topLinePunct w:val="0"/>
        <w:autoSpaceDE w:val="0"/>
        <w:autoSpaceDN w:val="0"/>
        <w:bidi w:val="0"/>
        <w:adjustRightInd/>
        <w:snapToGrid/>
        <w:spacing w:line="560" w:lineRule="exact"/>
        <w:ind w:left="102" w:right="362"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（二）各参赛单位须为本单位所有参赛运动员、教练员购买意外伤害保险，参赛运动员、教练员应确保身体健康，其在比赛中发生的任何意外伤害、伤病等事故，主办和承办单位不承担任何责任。</w:t>
      </w:r>
    </w:p>
    <w:p w14:paraId="7AC855B7">
      <w:pPr>
        <w:pStyle w:val="2"/>
        <w:keepNext w:val="0"/>
        <w:keepLines w:val="0"/>
        <w:pageBreakBefore w:val="0"/>
        <w:kinsoku/>
        <w:wordWrap/>
        <w:overflowPunct/>
        <w:topLinePunct w:val="0"/>
        <w:autoSpaceDE w:val="0"/>
        <w:autoSpaceDN w:val="0"/>
        <w:bidi w:val="0"/>
        <w:adjustRightInd/>
        <w:snapToGrid/>
        <w:spacing w:line="560" w:lineRule="exact"/>
        <w:ind w:left="810"/>
        <w:textAlignment w:val="auto"/>
        <w:rPr>
          <w:rFonts w:hint="eastAsia" w:ascii="黑体" w:eastAsia="黑体"/>
          <w:highlight w:val="none"/>
          <w:lang w:eastAsia="zh-CN"/>
        </w:rPr>
      </w:pPr>
      <w:r>
        <w:rPr>
          <w:rFonts w:hint="eastAsia" w:ascii="黑体" w:eastAsia="黑体"/>
          <w:highlight w:val="none"/>
          <w:lang w:eastAsia="zh-CN"/>
        </w:rPr>
        <w:t>十</w:t>
      </w:r>
      <w:r>
        <w:rPr>
          <w:rFonts w:hint="eastAsia" w:ascii="黑体" w:eastAsia="黑体"/>
          <w:highlight w:val="none"/>
          <w:lang w:val="en-US" w:eastAsia="zh-CN"/>
        </w:rPr>
        <w:t>三</w:t>
      </w:r>
      <w:r>
        <w:rPr>
          <w:rFonts w:hint="eastAsia" w:ascii="黑体" w:eastAsia="黑体"/>
          <w:highlight w:val="none"/>
          <w:lang w:eastAsia="zh-CN"/>
        </w:rPr>
        <w:t>、反兴奋剂和赛风赛纪</w:t>
      </w:r>
    </w:p>
    <w:p w14:paraId="6453015C">
      <w:pPr>
        <w:pStyle w:val="2"/>
        <w:keepNext w:val="0"/>
        <w:keepLines w:val="0"/>
        <w:pageBreakBefore w:val="0"/>
        <w:kinsoku/>
        <w:wordWrap/>
        <w:overflowPunct/>
        <w:topLinePunct w:val="0"/>
        <w:autoSpaceDE w:val="0"/>
        <w:autoSpaceDN w:val="0"/>
        <w:bidi w:val="0"/>
        <w:adjustRightInd/>
        <w:snapToGrid/>
        <w:spacing w:line="560" w:lineRule="exact"/>
        <w:ind w:left="102" w:right="362"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（一）比赛中运动员出现兴奋剂违规行为，将取消其参赛资格和所获成绩名次及奖励，并按照国家体育总局《反兴奋剂规则》及相关规定对违规运动员及运动队进行追加处罚。</w:t>
      </w:r>
    </w:p>
    <w:p w14:paraId="78224F19">
      <w:pPr>
        <w:pStyle w:val="2"/>
        <w:keepNext w:val="0"/>
        <w:keepLines w:val="0"/>
        <w:pageBreakBefore w:val="0"/>
        <w:kinsoku/>
        <w:wordWrap/>
        <w:overflowPunct/>
        <w:topLinePunct w:val="0"/>
        <w:autoSpaceDE w:val="0"/>
        <w:autoSpaceDN w:val="0"/>
        <w:bidi w:val="0"/>
        <w:adjustRightInd/>
        <w:snapToGrid/>
        <w:spacing w:line="560" w:lineRule="exact"/>
        <w:ind w:left="102" w:right="362"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参赛人员违反赛风赛纪规定，弄虚作假、冒名顶替、干扰赛场秩序、拒绝领奖、采用不正当手段获取名次者，一经查实，取消其参赛资格和成绩名次及奖励，并按照国家体育总局《体育赛事活动赛风赛纪管理办法》及相关规定追加处罚。</w:t>
      </w:r>
    </w:p>
    <w:p w14:paraId="1CF57097">
      <w:pPr>
        <w:pStyle w:val="2"/>
        <w:keepNext w:val="0"/>
        <w:keepLines w:val="0"/>
        <w:pageBreakBefore w:val="0"/>
        <w:kinsoku/>
        <w:wordWrap/>
        <w:overflowPunct/>
        <w:topLinePunct w:val="0"/>
        <w:autoSpaceDE w:val="0"/>
        <w:autoSpaceDN w:val="0"/>
        <w:bidi w:val="0"/>
        <w:adjustRightInd/>
        <w:snapToGrid/>
        <w:spacing w:line="560" w:lineRule="exact"/>
        <w:ind w:left="743"/>
        <w:textAlignment w:val="auto"/>
        <w:rPr>
          <w:rFonts w:hint="eastAsia" w:ascii="黑体" w:eastAsia="黑体"/>
          <w:highlight w:val="none"/>
          <w:lang w:eastAsia="zh-CN"/>
        </w:rPr>
      </w:pPr>
      <w:r>
        <w:rPr>
          <w:rFonts w:hint="eastAsia" w:ascii="黑体" w:eastAsia="黑体"/>
          <w:highlight w:val="none"/>
          <w:lang w:eastAsia="zh-CN"/>
        </w:rPr>
        <w:t>十</w:t>
      </w:r>
      <w:r>
        <w:rPr>
          <w:rFonts w:hint="eastAsia" w:ascii="黑体" w:eastAsia="黑体"/>
          <w:highlight w:val="none"/>
          <w:lang w:val="en-US" w:eastAsia="zh-CN"/>
        </w:rPr>
        <w:t>四</w:t>
      </w:r>
      <w:r>
        <w:rPr>
          <w:rFonts w:hint="eastAsia" w:ascii="黑体" w:eastAsia="黑体"/>
          <w:highlight w:val="none"/>
          <w:lang w:eastAsia="zh-CN"/>
        </w:rPr>
        <w:t>、纠纷解决和裁判员</w:t>
      </w:r>
    </w:p>
    <w:p w14:paraId="46465D06">
      <w:pPr>
        <w:pStyle w:val="2"/>
        <w:keepNext w:val="0"/>
        <w:keepLines w:val="0"/>
        <w:pageBreakBefore w:val="0"/>
        <w:kinsoku/>
        <w:wordWrap/>
        <w:overflowPunct/>
        <w:topLinePunct w:val="0"/>
        <w:autoSpaceDE w:val="0"/>
        <w:autoSpaceDN w:val="0"/>
        <w:bidi w:val="0"/>
        <w:adjustRightInd/>
        <w:snapToGrid/>
        <w:spacing w:line="560" w:lineRule="exact"/>
        <w:ind w:left="102" w:right="362" w:firstLine="64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（一）在本次比赛中发生的纠纷，先提交竞赛委员会处理，对处理结果不服，可以依法向中国体育仲裁委员会申请仲裁。</w:t>
      </w:r>
    </w:p>
    <w:p w14:paraId="34E64D2F">
      <w:pPr>
        <w:pStyle w:val="2"/>
        <w:keepNext w:val="0"/>
        <w:keepLines w:val="0"/>
        <w:pageBreakBefore w:val="0"/>
        <w:kinsoku/>
        <w:wordWrap/>
        <w:overflowPunct/>
        <w:topLinePunct w:val="0"/>
        <w:autoSpaceDE w:val="0"/>
        <w:autoSpaceDN w:val="0"/>
        <w:bidi w:val="0"/>
        <w:adjustRightInd/>
        <w:snapToGrid/>
        <w:spacing w:line="560" w:lineRule="exact"/>
        <w:ind w:left="102" w:right="501" w:firstLine="64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（二）所有裁判员由北京市体育竞赛管理和国际交流中心商北京市</w:t>
      </w:r>
      <w:r>
        <w:rPr>
          <w:rFonts w:hint="eastAsia" w:ascii="仿宋_GB2312" w:hAnsi="仿宋_GB2312" w:eastAsia="仿宋_GB2312" w:cs="仿宋_GB2312"/>
          <w:sz w:val="32"/>
          <w:szCs w:val="32"/>
          <w:highlight w:val="none"/>
          <w:lang w:val="en-US" w:eastAsia="zh-CN"/>
        </w:rPr>
        <w:t>水上</w:t>
      </w:r>
      <w:r>
        <w:rPr>
          <w:rFonts w:hint="eastAsia" w:ascii="仿宋_GB2312" w:hAnsi="仿宋_GB2312" w:eastAsia="仿宋_GB2312" w:cs="仿宋_GB2312"/>
          <w:sz w:val="32"/>
          <w:szCs w:val="32"/>
          <w:highlight w:val="none"/>
          <w:lang w:eastAsia="zh-CN"/>
        </w:rPr>
        <w:t>运动协会统一选派。</w:t>
      </w:r>
    </w:p>
    <w:p w14:paraId="10A632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eastAsia="黑体"/>
          <w:sz w:val="32"/>
          <w:szCs w:val="32"/>
          <w:highlight w:val="none"/>
          <w:lang w:eastAsia="zh-CN"/>
        </w:rPr>
      </w:pPr>
      <w:r>
        <w:rPr>
          <w:rFonts w:hint="eastAsia" w:ascii="黑体" w:eastAsia="黑体"/>
          <w:sz w:val="32"/>
          <w:szCs w:val="32"/>
          <w:highlight w:val="none"/>
          <w:lang w:eastAsia="zh-CN"/>
        </w:rPr>
        <w:t>十</w:t>
      </w:r>
      <w:r>
        <w:rPr>
          <w:rFonts w:hint="eastAsia" w:ascii="黑体" w:eastAsia="黑体"/>
          <w:sz w:val="32"/>
          <w:szCs w:val="32"/>
          <w:highlight w:val="none"/>
          <w:lang w:val="en-US" w:eastAsia="zh-CN"/>
        </w:rPr>
        <w:t>五</w:t>
      </w:r>
      <w:r>
        <w:rPr>
          <w:rFonts w:hint="eastAsia" w:ascii="黑体" w:eastAsia="黑体"/>
          <w:sz w:val="32"/>
          <w:szCs w:val="32"/>
          <w:highlight w:val="none"/>
          <w:lang w:eastAsia="zh-CN"/>
        </w:rPr>
        <w:t>、本规程解释、修改权属北京市体育竞赛管理和国际交流中心，未尽事宜由承办单位另行通知。</w:t>
      </w:r>
    </w:p>
    <w:p w14:paraId="6072AE80">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eastAsia="黑体"/>
          <w:highlight w:val="none"/>
          <w:lang w:eastAsia="zh-CN"/>
        </w:rPr>
      </w:pPr>
    </w:p>
    <w:p w14:paraId="1C03B7C1">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eastAsia="黑体"/>
          <w:highlight w:val="none"/>
          <w:lang w:eastAsia="zh-CN"/>
        </w:rPr>
      </w:pPr>
    </w:p>
    <w:p w14:paraId="335FE376">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eastAsia="黑体"/>
          <w:highlight w:val="none"/>
          <w:lang w:eastAsia="zh-CN"/>
        </w:rPr>
      </w:pPr>
    </w:p>
    <w:p w14:paraId="23387463">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eastAsia="黑体"/>
          <w:highlight w:val="none"/>
          <w:lang w:eastAsia="zh-CN"/>
        </w:rPr>
      </w:pPr>
    </w:p>
    <w:p w14:paraId="2500E19B">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eastAsia="黑体"/>
          <w:highlight w:val="none"/>
          <w:lang w:val="en-US" w:eastAsia="zh-CN"/>
        </w:rPr>
      </w:pPr>
    </w:p>
    <w:p w14:paraId="2D54303D">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lang w:val="en-US" w:eastAsia="zh-CN"/>
        </w:rPr>
      </w:pPr>
    </w:p>
    <w:p w14:paraId="5189B481">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lang w:val="en-US" w:eastAsia="zh-CN"/>
        </w:rPr>
      </w:pPr>
    </w:p>
    <w:p w14:paraId="341D065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lang w:val="en-US" w:eastAsia="zh-CN"/>
        </w:rPr>
      </w:pPr>
    </w:p>
    <w:p w14:paraId="48A4B19A">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lang w:val="en-US" w:eastAsia="zh-CN"/>
        </w:rPr>
      </w:pPr>
    </w:p>
    <w:p w14:paraId="54382C1A">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lang w:val="en-US" w:eastAsia="zh-CN"/>
        </w:rPr>
      </w:pPr>
    </w:p>
    <w:p w14:paraId="712CCA3C">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lang w:val="en-US" w:eastAsia="zh-CN"/>
        </w:rPr>
      </w:pPr>
    </w:p>
    <w:p w14:paraId="4E360F2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81DD1"/>
    <w:rsid w:val="50481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2026-05-11T07:06:00Z</dcterms:created>
  <dc:creator>邓莹</dc:creator>
  <cp:lastModifiedBy>邓莹</cp:lastModifiedBy>
  <dcterms:modified xsi:type="dcterms:W3CDTF">2026-05-11T07:06:37Z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6B3690DB94AA4CB8ACB5DED92875C3E4_11</vt:lpwstr>
  </property>
  <property fmtid="{D5CDD505-2E9C-101B-9397-08002B2CF9AE}" pid="4" name="KSOTemplateDocerSaveRecord">
    <vt:lpwstr>eyJoZGlkIjoiYTY5NDMxOTQyYzA4NTYxYzM3YmQ4ZTUxZTVkNzFiNDciLCJ1c2VySWQiOiIyODg1ODUwMTQifQ==</vt:lpwstr>
  </property>
</Properties>
</file>