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spacing w:line="240" w:lineRule="auto"/>
        <w:ind w:left="0" w:leftChars="0" w:right="0" w:rightChars="0" w:firstLine="0" w:firstLineChars="0"/>
        <w:jc w:val="left"/>
        <w:textAlignment w:val="auto"/>
        <w:rPr>
          <w:rFonts w:hint="eastAsia" w:ascii="黑体" w:hAnsi="黑体" w:eastAsia="黑体" w:cs="方正小标宋简体"/>
          <w:sz w:val="32"/>
          <w:szCs w:val="32"/>
        </w:rPr>
      </w:pPr>
      <w:bookmarkStart w:id="14" w:name="_GoBack"/>
      <w:bookmarkEnd w:id="14"/>
      <w:r>
        <w:rPr>
          <w:rFonts w:hint="eastAsia" w:ascii="黑体" w:hAnsi="黑体" w:eastAsia="黑体" w:cs="方正小标宋简体"/>
          <w:sz w:val="32"/>
          <w:szCs w:val="32"/>
        </w:rPr>
        <w:t>附件</w:t>
      </w:r>
    </w:p>
    <w:p>
      <w:pPr>
        <w:keepNext w:val="0"/>
        <w:keepLines w:val="0"/>
        <w:pageBreakBefore w:val="0"/>
        <w:kinsoku/>
        <w:wordWrap/>
        <w:topLinePunct w:val="0"/>
        <w:bidi w:val="0"/>
        <w:spacing w:line="240" w:lineRule="auto"/>
        <w:ind w:left="0" w:leftChars="0" w:right="0" w:rightChars="0" w:firstLine="0" w:firstLineChars="0"/>
        <w:jc w:val="center"/>
        <w:textAlignment w:val="auto"/>
        <w:rPr>
          <w:rFonts w:hint="eastAsia" w:ascii="方正小标宋简体" w:hAnsi="方正小标宋简体" w:eastAsia="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center"/>
        <w:textAlignment w:val="auto"/>
        <w:rPr>
          <w:rFonts w:hint="eastAsia" w:ascii="方正小标宋简体" w:hAnsi="方正小标宋简体" w:eastAsia="方正小标宋简体"/>
          <w:color w:val="000000"/>
          <w:sz w:val="44"/>
          <w:szCs w:val="44"/>
          <w:lang w:eastAsia="zh-CN"/>
        </w:rPr>
      </w:pPr>
      <w:r>
        <w:rPr>
          <w:rFonts w:hint="eastAsia" w:ascii="方正小标宋简体" w:hAnsi="方正小标宋简体" w:eastAsia="方正小标宋简体"/>
          <w:color w:val="000000"/>
          <w:sz w:val="44"/>
          <w:szCs w:val="44"/>
          <w:lang w:val="en-US" w:eastAsia="zh-CN"/>
        </w:rPr>
        <w:t>2024年</w:t>
      </w:r>
      <w:r>
        <w:rPr>
          <w:rFonts w:hint="eastAsia" w:ascii="方正小标宋简体" w:hAnsi="方正小标宋简体" w:eastAsia="方正小标宋简体"/>
          <w:color w:val="000000"/>
          <w:sz w:val="44"/>
          <w:szCs w:val="44"/>
        </w:rPr>
        <w:t>北京市</w:t>
      </w:r>
      <w:r>
        <w:rPr>
          <w:rFonts w:hint="eastAsia" w:ascii="方正小标宋简体" w:hAnsi="方正小标宋简体" w:eastAsia="方正小标宋简体"/>
          <w:color w:val="000000"/>
          <w:sz w:val="44"/>
          <w:szCs w:val="44"/>
          <w:lang w:eastAsia="zh-CN"/>
        </w:rPr>
        <w:t>青少年</w:t>
      </w:r>
      <w:r>
        <w:rPr>
          <w:rFonts w:hint="eastAsia" w:ascii="方正小标宋简体" w:hAnsi="方正小标宋简体" w:eastAsia="方正小标宋简体"/>
          <w:color w:val="000000"/>
          <w:sz w:val="44"/>
          <w:szCs w:val="44"/>
        </w:rPr>
        <w:t>足球</w:t>
      </w:r>
      <w:r>
        <w:rPr>
          <w:rFonts w:hint="eastAsia" w:ascii="方正小标宋简体" w:hAnsi="方正小标宋简体" w:eastAsia="方正小标宋简体"/>
          <w:color w:val="000000"/>
          <w:sz w:val="44"/>
          <w:szCs w:val="44"/>
          <w:lang w:eastAsia="zh-CN"/>
        </w:rPr>
        <w:t>锦标赛</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0" w:firstLineChars="0"/>
        <w:jc w:val="center"/>
        <w:textAlignment w:val="auto"/>
        <w:rPr>
          <w:rFonts w:hint="eastAsia" w:asci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olor w:val="000000"/>
          <w:sz w:val="44"/>
          <w:szCs w:val="44"/>
        </w:rPr>
        <w:t>竞赛规程</w:t>
      </w:r>
    </w:p>
    <w:p>
      <w:pPr>
        <w:keepNext w:val="0"/>
        <w:keepLines w:val="0"/>
        <w:pageBreakBefore w:val="0"/>
        <w:kinsoku/>
        <w:wordWrap/>
        <w:topLinePunct w:val="0"/>
        <w:bidi w:val="0"/>
        <w:spacing w:line="240" w:lineRule="auto"/>
        <w:ind w:left="0" w:leftChars="0" w:right="0" w:rightChars="0" w:firstLine="0" w:firstLineChars="0"/>
        <w:jc w:val="center"/>
        <w:textAlignment w:val="auto"/>
        <w:rPr>
          <w:rFonts w:ascii="方正小标宋简体" w:eastAsia="方正小标宋简体" w:cs="方正小标宋简体"/>
          <w:color w:val="000000" w:themeColor="text1"/>
          <w:sz w:val="44"/>
          <w:szCs w:val="44"/>
          <w:highlight w:val="none"/>
          <w14:textFill>
            <w14:solidFill>
              <w14:schemeClr w14:val="tx1"/>
            </w14:solidFill>
          </w14:textFill>
        </w:rPr>
      </w:pPr>
    </w:p>
    <w:p>
      <w:pPr>
        <w:keepNext w:val="0"/>
        <w:keepLines w:val="0"/>
        <w:pageBreakBefore w:val="0"/>
        <w:kinsoku/>
        <w:wordWrap/>
        <w:topLinePunct w:val="0"/>
        <w:autoSpaceDE w:val="0"/>
        <w:autoSpaceDN w:val="0"/>
        <w:bidi w:val="0"/>
        <w:adjustRightInd w:val="0"/>
        <w:spacing w:line="240" w:lineRule="auto"/>
        <w:ind w:left="0" w:leftChars="0" w:right="0" w:rightChars="0" w:firstLine="0" w:firstLineChars="0"/>
        <w:jc w:val="center"/>
        <w:textAlignment w:val="auto"/>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第一章 基本情况</w:t>
      </w:r>
    </w:p>
    <w:p>
      <w:pPr>
        <w:keepNext w:val="0"/>
        <w:keepLines w:val="0"/>
        <w:pageBreakBefore w:val="0"/>
        <w:kinsoku/>
        <w:wordWrap/>
        <w:topLinePunct w:val="0"/>
        <w:autoSpaceDE w:val="0"/>
        <w:autoSpaceDN w:val="0"/>
        <w:bidi w:val="0"/>
        <w:adjustRightInd w:val="0"/>
        <w:spacing w:line="240" w:lineRule="auto"/>
        <w:ind w:left="0" w:leftChars="0" w:right="0" w:rightChars="0" w:firstLine="0" w:firstLineChars="0"/>
        <w:jc w:val="left"/>
        <w:textAlignment w:val="auto"/>
        <w:rPr>
          <w:rFonts w:hint="default"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 xml:space="preserve">第一条 </w:t>
      </w: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主承办单位</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jc w:val="left"/>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主办单位：北京市</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体育局</w:t>
      </w:r>
    </w:p>
    <w:p>
      <w:pPr>
        <w:keepNext w:val="0"/>
        <w:keepLines w:val="0"/>
        <w:pageBreakBefore w:val="0"/>
        <w:kinsoku/>
        <w:wordWrap/>
        <w:topLinePunct w:val="0"/>
        <w:autoSpaceDE w:val="0"/>
        <w:autoSpaceDN w:val="0"/>
        <w:bidi w:val="0"/>
        <w:adjustRightInd w:val="0"/>
        <w:spacing w:line="240" w:lineRule="auto"/>
        <w:ind w:left="0" w:leftChars="0" w:right="0" w:rightChars="0" w:firstLine="2240" w:firstLineChars="700"/>
        <w:jc w:val="left"/>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北京市教育委员会</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jc w:val="left"/>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承办单位：</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北京市体育竞赛管理和国际交流中心</w:t>
      </w:r>
    </w:p>
    <w:p>
      <w:pPr>
        <w:keepNext w:val="0"/>
        <w:keepLines w:val="0"/>
        <w:pageBreakBefore w:val="0"/>
        <w:kinsoku/>
        <w:wordWrap/>
        <w:topLinePunct w:val="0"/>
        <w:autoSpaceDE w:val="0"/>
        <w:autoSpaceDN w:val="0"/>
        <w:bidi w:val="0"/>
        <w:adjustRightInd w:val="0"/>
        <w:spacing w:line="240" w:lineRule="auto"/>
        <w:ind w:left="0" w:leftChars="0" w:right="0" w:rightChars="0" w:firstLine="2240" w:firstLineChars="700"/>
        <w:jc w:val="left"/>
        <w:textAlignment w:val="auto"/>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北京市足球运动协会</w:t>
      </w:r>
    </w:p>
    <w:p>
      <w:pPr>
        <w:pStyle w:val="2"/>
        <w:keepNext w:val="0"/>
        <w:keepLines w:val="0"/>
        <w:pageBreakBefore w:val="0"/>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执行单位：</w:t>
      </w:r>
      <w:r>
        <w:rPr>
          <w:rFonts w:hint="eastAsia" w:ascii="仿宋_GB2312" w:hAnsi="仿宋_GB2312" w:eastAsia="仿宋_GB2312" w:cs="仿宋_GB2312"/>
          <w:bCs/>
          <w:color w:val="000000" w:themeColor="text1"/>
          <w:kern w:val="2"/>
          <w:sz w:val="32"/>
          <w:szCs w:val="32"/>
          <w:highlight w:val="none"/>
          <w:lang w:val="en-US" w:eastAsia="zh-CN" w:bidi="ar-SA"/>
          <w14:textFill>
            <w14:solidFill>
              <w14:schemeClr w14:val="tx1"/>
            </w14:solidFill>
          </w14:textFill>
        </w:rPr>
        <w:t>北京壹扬耕耘体育文化有限公司</w:t>
      </w:r>
    </w:p>
    <w:p>
      <w:pPr>
        <w:keepNext w:val="0"/>
        <w:keepLines w:val="0"/>
        <w:pageBreakBefore w:val="0"/>
        <w:kinsoku/>
        <w:wordWrap/>
        <w:topLinePunct w:val="0"/>
        <w:autoSpaceDE w:val="0"/>
        <w:autoSpaceDN w:val="0"/>
        <w:bidi w:val="0"/>
        <w:adjustRightInd w:val="0"/>
        <w:spacing w:line="240" w:lineRule="auto"/>
        <w:ind w:left="0" w:leftChars="0" w:right="0" w:rightChars="0" w:firstLine="0" w:firstLineChars="0"/>
        <w:jc w:val="left"/>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第二条 竞赛时间</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jc w:val="left"/>
        <w:textAlignment w:val="auto"/>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拟定3</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23、24、30、31日</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4月5、6、13、14、20、21、27、28日比赛；</w:t>
      </w:r>
    </w:p>
    <w:p>
      <w:pPr>
        <w:keepNext w:val="0"/>
        <w:keepLines w:val="0"/>
        <w:pageBreakBefore w:val="0"/>
        <w:kinsoku/>
        <w:wordWrap/>
        <w:topLinePunct w:val="0"/>
        <w:autoSpaceDE w:val="0"/>
        <w:autoSpaceDN w:val="0"/>
        <w:bidi w:val="0"/>
        <w:adjustRightInd w:val="0"/>
        <w:spacing w:line="240" w:lineRule="auto"/>
        <w:ind w:left="0" w:leftChars="0" w:right="0" w:rightChars="0" w:firstLine="0" w:firstLineChars="0"/>
        <w:jc w:val="left"/>
        <w:textAlignment w:val="auto"/>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第三条 比赛场地</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jc w:val="left"/>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拟定</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北京大兴瀛海足球公园、</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北京亿城</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BTV三高足球俱乐部、</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常营体育公园、</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老山市民足球公园、大地赛德足球俱乐部；</w:t>
      </w:r>
    </w:p>
    <w:p>
      <w:pPr>
        <w:keepNext w:val="0"/>
        <w:keepLines w:val="0"/>
        <w:pageBreakBefore w:val="0"/>
        <w:kinsoku/>
        <w:wordWrap/>
        <w:topLinePunct w:val="0"/>
        <w:autoSpaceDE w:val="0"/>
        <w:autoSpaceDN w:val="0"/>
        <w:bidi w:val="0"/>
        <w:adjustRightInd w:val="0"/>
        <w:spacing w:line="240" w:lineRule="auto"/>
        <w:ind w:left="0" w:leftChars="0" w:right="0" w:rightChars="0" w:firstLine="0" w:firstLineChars="0"/>
        <w:jc w:val="center"/>
        <w:textAlignment w:val="auto"/>
        <w:rPr>
          <w:rFonts w:hint="eastAsia" w:ascii="黑体" w:hAnsi="黑体" w:eastAsia="黑体" w:cs="黑体"/>
          <w:color w:val="000000" w:themeColor="text1"/>
          <w:kern w:val="0"/>
          <w:sz w:val="32"/>
          <w:szCs w:val="32"/>
          <w:highlight w:val="none"/>
          <w14:textFill>
            <w14:solidFill>
              <w14:schemeClr w14:val="tx1"/>
            </w14:solidFill>
          </w14:textFill>
        </w:rPr>
      </w:pPr>
    </w:p>
    <w:p>
      <w:pPr>
        <w:keepNext w:val="0"/>
        <w:keepLines w:val="0"/>
        <w:pageBreakBefore w:val="0"/>
        <w:kinsoku/>
        <w:wordWrap/>
        <w:topLinePunct w:val="0"/>
        <w:autoSpaceDE w:val="0"/>
        <w:autoSpaceDN w:val="0"/>
        <w:bidi w:val="0"/>
        <w:adjustRightInd w:val="0"/>
        <w:spacing w:line="240" w:lineRule="auto"/>
        <w:ind w:left="0" w:leftChars="0" w:right="0" w:rightChars="0" w:firstLine="0" w:firstLineChars="0"/>
        <w:jc w:val="center"/>
        <w:textAlignment w:val="auto"/>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第二章 保险</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jc w:val="left"/>
        <w:textAlignment w:val="auto"/>
        <w:rPr>
          <w:rFonts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第四条 保险</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jc w:val="left"/>
        <w:textAlignment w:val="auto"/>
        <w:rPr>
          <w:rFonts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各参赛</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球队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所有</w:t>
      </w:r>
      <w:r>
        <w:rPr>
          <w:rFonts w:hint="eastAsia" w:ascii="仿宋_GB2312" w:hAnsi="仿宋_GB2312" w:eastAsia="仿宋_GB2312" w:cs="仿宋_GB2312"/>
          <w:color w:val="000000" w:themeColor="text1"/>
          <w:sz w:val="32"/>
          <w:szCs w:val="32"/>
          <w:highlight w:val="none"/>
          <w:shd w:val="clear" w:color="auto" w:fill="FFFFFF"/>
          <w14:textFill>
            <w14:solidFill>
              <w14:schemeClr w14:val="tx1"/>
            </w14:solidFill>
          </w14:textFill>
        </w:rPr>
        <w:t>报名人员</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（球队官员、球员）应自行负责其在202</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年北京市青少年足球锦标赛</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（以下简称锦标赛）</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所有比赛中的人身意外伤害保险</w:t>
      </w:r>
      <w:r>
        <w:rPr>
          <w:rFonts w:hint="eastAsia" w:ascii="仿宋_GB2312" w:hAnsi="仿宋_GB2312" w:eastAsia="仿宋_GB2312" w:cs="仿宋_GB2312"/>
          <w:color w:val="000000" w:themeColor="text1"/>
          <w:sz w:val="32"/>
          <w:szCs w:val="32"/>
          <w:highlight w:val="none"/>
          <w:shd w:val="clear" w:color="auto" w:fill="FFFFFF"/>
          <w:lang w:val="en-US" w:eastAsia="zh-CN"/>
          <w14:textFill>
            <w14:solidFill>
              <w14:schemeClr w14:val="tx1"/>
            </w14:solidFill>
          </w14:textFill>
        </w:rPr>
        <w:t>问题</w:t>
      </w:r>
      <w:r>
        <w:rPr>
          <w:rFonts w:hint="eastAsia" w:ascii="仿宋_GB2312" w:hAnsi="仿宋_GB2312" w:eastAsia="仿宋_GB2312" w:cs="仿宋_GB2312"/>
          <w:color w:val="000000" w:themeColor="text1"/>
          <w:sz w:val="32"/>
          <w:szCs w:val="32"/>
          <w:highlight w:val="none"/>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包括但不限于住院和外科手术等，险种应当为足球比赛相匹配适应的险种）以及财产保险（如有）的投保及理赔费用和工作，有效期须包含赛事时间。各参赛球队承诺组委会及参赛球队之间、各成员单位将免遭由于比赛所产生的诉讼或者赔偿、理赔等法律责任。</w:t>
      </w:r>
    </w:p>
    <w:p>
      <w:pPr>
        <w:pStyle w:val="11"/>
        <w:keepNext w:val="0"/>
        <w:keepLines w:val="0"/>
        <w:pageBreakBefore w:val="0"/>
        <w:tabs>
          <w:tab w:val="left" w:pos="430"/>
        </w:tabs>
        <w:kinsoku/>
        <w:wordWrap/>
        <w:topLinePunct w:val="0"/>
        <w:bidi w:val="0"/>
        <w:spacing w:line="240" w:lineRule="auto"/>
        <w:ind w:left="0" w:leftChars="0" w:right="0" w:rightChars="0" w:firstLine="643" w:firstLineChars="200"/>
        <w:jc w:val="left"/>
        <w:textAlignment w:val="auto"/>
        <w:rPr>
          <w:rFonts w:ascii="仿宋_GB2312" w:hAnsi="仿宋_GB2312" w:eastAsia="仿宋_GB2312" w:cs="仿宋_GB2312"/>
          <w:b/>
          <w:bCs/>
          <w:color w:val="000000" w:themeColor="text1"/>
          <w:kern w:val="0"/>
          <w:sz w:val="32"/>
          <w:szCs w:val="32"/>
          <w:highlight w:val="none"/>
          <w:lang w:val="en-US" w:eastAsia="zh-CN"/>
          <w14:textFill>
            <w14:solidFill>
              <w14:schemeClr w14:val="tx1"/>
            </w14:solidFill>
          </w14:textFill>
        </w:rPr>
      </w:pP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jc w:val="center"/>
        <w:textAlignment w:val="auto"/>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第三章 技术规程</w:t>
      </w:r>
    </w:p>
    <w:p>
      <w:pPr>
        <w:pStyle w:val="7"/>
        <w:keepNext w:val="0"/>
        <w:keepLines w:val="0"/>
        <w:pageBreakBefore w:val="0"/>
        <w:kinsoku/>
        <w:wordWrap/>
        <w:topLinePunct w:val="0"/>
        <w:bidi w:val="0"/>
        <w:spacing w:before="0" w:after="0" w:line="240" w:lineRule="auto"/>
        <w:ind w:left="0" w:leftChars="0" w:right="0" w:rightChars="0" w:firstLine="640" w:firstLineChars="200"/>
        <w:jc w:val="both"/>
        <w:textAlignment w:val="auto"/>
        <w:rPr>
          <w:b w:val="0"/>
          <w:bCs w:val="0"/>
          <w:color w:val="000000" w:themeColor="text1"/>
          <w:highlight w:val="none"/>
          <w14:textFill>
            <w14:solidFill>
              <w14:schemeClr w14:val="tx1"/>
            </w14:solidFill>
          </w14:textFill>
        </w:rPr>
      </w:pPr>
      <w:r>
        <w:rPr>
          <w:rFonts w:hint="eastAsia" w:ascii="黑体" w:hAnsi="黑体" w:eastAsia="黑体" w:cs="黑体"/>
          <w:b w:val="0"/>
          <w:bCs w:val="0"/>
          <w:color w:val="000000" w:themeColor="text1"/>
          <w:kern w:val="0"/>
          <w:highlight w:val="none"/>
          <w14:textFill>
            <w14:solidFill>
              <w14:schemeClr w14:val="tx1"/>
            </w14:solidFill>
          </w14:textFill>
        </w:rPr>
        <w:t>第</w:t>
      </w:r>
      <w:r>
        <w:rPr>
          <w:rFonts w:hint="eastAsia" w:ascii="黑体" w:hAnsi="黑体" w:eastAsia="黑体" w:cs="黑体"/>
          <w:b w:val="0"/>
          <w:bCs w:val="0"/>
          <w:color w:val="000000" w:themeColor="text1"/>
          <w:kern w:val="0"/>
          <w:highlight w:val="none"/>
          <w:lang w:eastAsia="zh-CN"/>
          <w14:textFill>
            <w14:solidFill>
              <w14:schemeClr w14:val="tx1"/>
            </w14:solidFill>
          </w14:textFill>
        </w:rPr>
        <w:t>五</w:t>
      </w:r>
      <w:r>
        <w:rPr>
          <w:rFonts w:hint="eastAsia" w:ascii="黑体" w:hAnsi="黑体" w:eastAsia="黑体" w:cs="黑体"/>
          <w:b w:val="0"/>
          <w:bCs w:val="0"/>
          <w:color w:val="000000" w:themeColor="text1"/>
          <w:kern w:val="0"/>
          <w:highlight w:val="none"/>
          <w14:textFill>
            <w14:solidFill>
              <w14:schemeClr w14:val="tx1"/>
            </w14:solidFill>
          </w14:textFill>
        </w:rPr>
        <w:t>条 竞赛规则与有关规定</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一、比赛参照国际足球理事会最新审定的十一人制《足球竞赛规则2023/2024》执行。</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二、执行北京市足球运动协会根据国际足联、亚足联及中国足协要求制定的其他相关规定。</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三、执行最新修订的《北京市足球运动协会纪律准则》等相关文件。</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四、竞赛分组</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男、女甲组（U16至U17）：2007年1月1日至2008年12月31日出生；</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男、女乙组（U14至U15）：2009年1月1日至2010年12月31日出生；</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男、女丙组（U12至U13）：2011年1月1日至2012年12月31日出生；</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五、有关规定</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（一）比赛时间：甲组、乙组全场比赛时间为90分钟，上下半场各45分钟，中场休息不超过15分钟，丙组全场比赛时间为80分钟，上下半场各40分钟，中场休息不超过15分钟。</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（二）每场比赛可报首发及替补球员最多共计23人，报名球员须携带本人报名时提交的证件原件参加比赛。</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zh-C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（三）每场比赛替换球员不超过7人，被替换下场的球员不得重新替补上场。比赛中最多可执行三次替换程序，在中场休息时可以额外执行一次替换程序，未进入替补名单的球员不得进行更换。</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（四）比赛中有一方场上球员少于7人，比赛将被中止。在此种情况下，赛事组委会将对产生的后果做出最终决定。</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（五）各参赛队须严格遵守组委会各项官方活动，包括但不限于官方倒计时、领队会、开闭幕式、颁奖仪式等，开闭幕式、颁奖仪式须超过报名半数人员参加，否则将受到相应处罚。</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jc w:val="left"/>
        <w:textAlignment w:val="auto"/>
        <w:rPr>
          <w:rFonts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第</w:t>
      </w:r>
      <w:r>
        <w:rPr>
          <w:rFonts w:hint="eastAsia" w:ascii="黑体" w:hAnsi="黑体" w:eastAsia="黑体" w:cs="黑体"/>
          <w:color w:val="000000" w:themeColor="text1"/>
          <w:kern w:val="0"/>
          <w:sz w:val="32"/>
          <w:szCs w:val="32"/>
          <w:highlight w:val="none"/>
          <w:lang w:eastAsia="zh-CN"/>
          <w14:textFill>
            <w14:solidFill>
              <w14:schemeClr w14:val="tx1"/>
            </w14:solidFill>
          </w14:textFill>
        </w:rPr>
        <w:t>六</w:t>
      </w:r>
      <w:r>
        <w:rPr>
          <w:rFonts w:hint="eastAsia" w:ascii="黑体" w:hAnsi="黑体" w:eastAsia="黑体" w:cs="黑体"/>
          <w:color w:val="000000" w:themeColor="text1"/>
          <w:kern w:val="0"/>
          <w:sz w:val="32"/>
          <w:szCs w:val="32"/>
          <w:highlight w:val="none"/>
          <w14:textFill>
            <w14:solidFill>
              <w14:schemeClr w14:val="tx1"/>
            </w14:solidFill>
          </w14:textFill>
        </w:rPr>
        <w:t>条 中止比赛</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一、如因天气或不可抗力等其他原因，裁判员认为应中止比赛，则应当采取以下措施：</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（一）比赛将被暂停30分钟，以等待比赛条件恢复后继续进行，除非裁判员认定比赛可以提前重新开始。</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（二）比赛被暂停30分钟后，如果裁判员认为再延长一段时间可恢复比赛，则可再延长30分钟。如果第二个30分钟后比赛仍不能恢复，裁判员必须宣布中止该场比赛。</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（三）在中止比赛情况下，组委会应在裁判员做出中止比赛决定后24小时内决定比赛中止时的结果是否有效，或在考虑体育精神及组织等因素前提下，决定是否进行补赛或重赛。</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（四）不可对本规程此条款提出申诉。</w:t>
      </w:r>
    </w:p>
    <w:p>
      <w:pPr>
        <w:pStyle w:val="11"/>
        <w:keepNext w:val="0"/>
        <w:keepLines w:val="0"/>
        <w:pageBreakBefore w:val="0"/>
        <w:kinsoku/>
        <w:wordWrap/>
        <w:topLinePunct w:val="0"/>
        <w:bidi w:val="0"/>
        <w:spacing w:line="240" w:lineRule="auto"/>
        <w:ind w:left="0" w:leftChars="0" w:right="0" w:rightChars="0"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第七条 </w:t>
      </w:r>
      <w:r>
        <w:rPr>
          <w:rFonts w:hint="eastAsia" w:ascii="黑体" w:hAnsi="黑体" w:eastAsia="黑体" w:cs="黑体"/>
          <w:color w:val="000000" w:themeColor="text1"/>
          <w:sz w:val="32"/>
          <w:szCs w:val="32"/>
          <w:highlight w:val="none"/>
          <w14:textFill>
            <w14:solidFill>
              <w14:schemeClr w14:val="tx1"/>
            </w14:solidFill>
          </w14:textFill>
        </w:rPr>
        <w:t>替补席和技术区域</w:t>
      </w:r>
    </w:p>
    <w:p>
      <w:pPr>
        <w:pStyle w:val="11"/>
        <w:keepNext w:val="0"/>
        <w:keepLines w:val="0"/>
        <w:pageBreakBefore w:val="0"/>
        <w:tabs>
          <w:tab w:val="left" w:pos="440"/>
        </w:tabs>
        <w:kinsoku/>
        <w:wordWrap/>
        <w:topLinePunct w:val="0"/>
        <w:bidi w:val="0"/>
        <w:spacing w:line="240" w:lineRule="auto"/>
        <w:ind w:left="0" w:leftChars="0" w:right="0" w:rightChars="0"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bookmarkStart w:id="0" w:name="bookmark137"/>
      <w:r>
        <w:rPr>
          <w:rFonts w:hint="eastAsia" w:ascii="仿宋_GB2312" w:hAnsi="仿宋_GB2312" w:eastAsia="仿宋_GB2312" w:cs="仿宋_GB2312"/>
          <w:color w:val="000000" w:themeColor="text1"/>
          <w:sz w:val="32"/>
          <w:szCs w:val="32"/>
          <w:highlight w:val="none"/>
          <w14:textFill>
            <w14:solidFill>
              <w14:schemeClr w14:val="tx1"/>
            </w14:solidFill>
          </w14:textFill>
        </w:rPr>
        <w:t>一</w:t>
      </w:r>
      <w:bookmarkEnd w:id="0"/>
      <w:r>
        <w:rPr>
          <w:rFonts w:hint="eastAsia" w:ascii="仿宋_GB2312" w:hAnsi="仿宋_GB2312" w:eastAsia="仿宋_GB2312" w:cs="仿宋_GB2312"/>
          <w:color w:val="000000" w:themeColor="text1"/>
          <w:sz w:val="32"/>
          <w:szCs w:val="32"/>
          <w:highlight w:val="none"/>
          <w14:textFill>
            <w14:solidFill>
              <w14:schemeClr w14:val="tx1"/>
            </w14:solidFill>
          </w14:textFill>
        </w:rPr>
        <w:t>、只有符合报名要求及资质的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球队官员</w:t>
      </w:r>
      <w:r>
        <w:rPr>
          <w:rFonts w:hint="eastAsia" w:ascii="仿宋_GB2312" w:hAnsi="仿宋_GB2312" w:eastAsia="仿宋_GB2312" w:cs="仿宋_GB2312"/>
          <w:color w:val="000000" w:themeColor="text1"/>
          <w:sz w:val="32"/>
          <w:szCs w:val="32"/>
          <w:highlight w:val="none"/>
          <w14:textFill>
            <w14:solidFill>
              <w14:schemeClr w14:val="tx1"/>
            </w14:solidFill>
          </w14:textFill>
        </w:rPr>
        <w:t>和在本场</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首发和替补球员名单中的</w:t>
      </w:r>
      <w:r>
        <w:rPr>
          <w:rFonts w:hint="eastAsia" w:ascii="仿宋_GB2312" w:hAnsi="仿宋_GB2312" w:eastAsia="仿宋_GB2312" w:cs="仿宋_GB2312"/>
          <w:color w:val="000000" w:themeColor="text1"/>
          <w:sz w:val="32"/>
          <w:szCs w:val="32"/>
          <w:highlight w:val="none"/>
          <w14:textFill>
            <w14:solidFill>
              <w14:schemeClr w14:val="tx1"/>
            </w14:solidFill>
          </w14:textFill>
        </w:rPr>
        <w:t>球员有资格进入比赛场地和替补席区域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其他人员不得入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内</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、所有替补席人员必须统一穿着与场上球员和裁判员有明显色差区别的服装装备。</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14:textFill>
            <w14:solidFill>
              <w14:schemeClr w14:val="tx1"/>
            </w14:solidFill>
          </w14:textFill>
        </w:rPr>
        <w:t>主队应使用第四官员席（从四官席面向球场）左侧替补席。</w:t>
      </w:r>
    </w:p>
    <w:p>
      <w:pPr>
        <w:pStyle w:val="11"/>
        <w:keepNext w:val="0"/>
        <w:keepLines w:val="0"/>
        <w:pageBreakBefore w:val="0"/>
        <w:tabs>
          <w:tab w:val="left" w:pos="435"/>
        </w:tabs>
        <w:kinsoku/>
        <w:wordWrap/>
        <w:topLinePunct w:val="0"/>
        <w:bidi w:val="0"/>
        <w:spacing w:line="240" w:lineRule="auto"/>
        <w:ind w:left="0" w:leftChars="0" w:right="0" w:rightChars="0"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、参赛队</w:t>
      </w:r>
      <w:r>
        <w:rPr>
          <w:rFonts w:hint="eastAsia" w:ascii="仿宋_GB2312" w:hAnsi="仿宋_GB2312" w:eastAsia="仿宋_GB2312" w:cs="仿宋_GB2312"/>
          <w:color w:val="000000" w:themeColor="text1"/>
          <w:sz w:val="32"/>
          <w:szCs w:val="32"/>
          <w:highlight w:val="none"/>
          <w14:textFill>
            <w14:solidFill>
              <w14:schemeClr w14:val="tx1"/>
            </w14:solidFill>
          </w14:textFill>
        </w:rPr>
        <w:t>报名的领队比赛时</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应</w:t>
      </w:r>
      <w:r>
        <w:rPr>
          <w:rFonts w:hint="eastAsia" w:ascii="仿宋_GB2312" w:hAnsi="仿宋_GB2312" w:eastAsia="仿宋_GB2312" w:cs="仿宋_GB2312"/>
          <w:color w:val="000000" w:themeColor="text1"/>
          <w:sz w:val="32"/>
          <w:szCs w:val="32"/>
          <w:highlight w:val="none"/>
          <w14:textFill>
            <w14:solidFill>
              <w14:schemeClr w14:val="tx1"/>
            </w14:solidFill>
          </w14:textFill>
        </w:rPr>
        <w:t>在替补席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就座</w:t>
      </w:r>
      <w:r>
        <w:rPr>
          <w:rFonts w:hint="eastAsia" w:ascii="仿宋_GB2312" w:hAnsi="仿宋_GB2312" w:eastAsia="仿宋_GB2312" w:cs="仿宋_GB2312"/>
          <w:color w:val="000000" w:themeColor="text1"/>
          <w:sz w:val="32"/>
          <w:szCs w:val="32"/>
          <w:highlight w:val="none"/>
          <w14:textFill>
            <w14:solidFill>
              <w14:schemeClr w14:val="tx1"/>
            </w14:solidFill>
          </w14:textFill>
        </w:rPr>
        <w:t>，管理替补席秩序是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参赛队</w:t>
      </w:r>
      <w:r>
        <w:rPr>
          <w:rFonts w:hint="eastAsia" w:ascii="仿宋_GB2312" w:hAnsi="仿宋_GB2312" w:eastAsia="仿宋_GB2312" w:cs="仿宋_GB2312"/>
          <w:color w:val="000000" w:themeColor="text1"/>
          <w:sz w:val="32"/>
          <w:szCs w:val="32"/>
          <w:highlight w:val="none"/>
          <w14:textFill>
            <w14:solidFill>
              <w14:schemeClr w14:val="tx1"/>
            </w14:solidFill>
          </w14:textFill>
        </w:rPr>
        <w:t>领队职责之一，本方替补席任何人员违纪，都将可能追究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参赛队</w:t>
      </w:r>
      <w:r>
        <w:rPr>
          <w:rFonts w:hint="eastAsia" w:ascii="仿宋_GB2312" w:hAnsi="仿宋_GB2312" w:eastAsia="仿宋_GB2312" w:cs="仿宋_GB2312"/>
          <w:color w:val="000000" w:themeColor="text1"/>
          <w:sz w:val="32"/>
          <w:szCs w:val="32"/>
          <w:highlight w:val="none"/>
          <w14:textFill>
            <w14:solidFill>
              <w14:schemeClr w14:val="tx1"/>
            </w14:solidFill>
          </w14:textFill>
        </w:rPr>
        <w:t>领队的管理责任。</w:t>
      </w:r>
    </w:p>
    <w:p>
      <w:pPr>
        <w:pStyle w:val="11"/>
        <w:keepNext w:val="0"/>
        <w:keepLines w:val="0"/>
        <w:pageBreakBefore w:val="0"/>
        <w:tabs>
          <w:tab w:val="left" w:pos="435"/>
        </w:tabs>
        <w:kinsoku/>
        <w:wordWrap/>
        <w:topLinePunct w:val="0"/>
        <w:bidi w:val="0"/>
        <w:spacing w:line="240" w:lineRule="auto"/>
        <w:ind w:left="0" w:leftChars="0" w:right="0" w:rightChars="0"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、替补席和技术区域严禁吐痰、吸烟（包括电子烟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请同时遵守体育场有关公共区域禁烟的规定）。</w:t>
      </w:r>
    </w:p>
    <w:p>
      <w:pPr>
        <w:keepNext w:val="0"/>
        <w:keepLines w:val="0"/>
        <w:pageBreakBefore w:val="0"/>
        <w:kinsoku/>
        <w:wordWrap/>
        <w:topLinePunct w:val="0"/>
        <w:bidi w:val="0"/>
        <w:spacing w:line="240" w:lineRule="auto"/>
        <w:ind w:left="0" w:leftChars="0" w:right="0" w:rightChars="0"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六、每场比赛进行中，替补席只能有1人（球队官员）站立指挥比赛。替补席不可使用三脚架等器材。</w:t>
      </w:r>
    </w:p>
    <w:p>
      <w:pPr>
        <w:keepNext w:val="0"/>
        <w:keepLines w:val="0"/>
        <w:pageBreakBefore w:val="0"/>
        <w:kinsoku/>
        <w:wordWrap/>
        <w:topLinePunct w:val="0"/>
        <w:bidi w:val="0"/>
        <w:spacing w:line="240" w:lineRule="auto"/>
        <w:ind w:left="0" w:leftChars="0" w:right="0" w:rightChars="0"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七、因红牌、黄牌停赛或受纪律处罚被停赛的球员、球队官员，不得进入比赛场地和替补席。</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第八条 官方倒计时</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一、赛前</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0分钟，报名参加本场比赛的所有球员及</w:t>
      </w:r>
      <w:r>
        <w:rPr>
          <w:rFonts w:hint="eastAsia" w:ascii="仿宋_GB2312" w:hAnsi="仿宋_GB2312" w:eastAsia="仿宋_GB2312" w:cs="仿宋_GB2312"/>
          <w:color w:val="000000" w:themeColor="text1"/>
          <w:kern w:val="0"/>
          <w:sz w:val="32"/>
          <w:szCs w:val="32"/>
          <w:highlight w:val="none"/>
          <w:shd w:val="clear"/>
          <w14:textFill>
            <w14:solidFill>
              <w14:schemeClr w14:val="tx1"/>
            </w14:solidFill>
          </w14:textFill>
        </w:rPr>
        <w:t>至少</w:t>
      </w:r>
      <w:r>
        <w:rPr>
          <w:rFonts w:hint="eastAsia" w:ascii="仿宋_GB2312" w:hAnsi="仿宋_GB2312" w:eastAsia="仿宋_GB2312" w:cs="仿宋_GB2312"/>
          <w:color w:val="000000" w:themeColor="text1"/>
          <w:kern w:val="0"/>
          <w:sz w:val="32"/>
          <w:szCs w:val="32"/>
          <w:highlight w:val="none"/>
          <w:shd w:val="clear"/>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名球队官员需抵达比赛场地，所有进场人员须携带本人报名时提交的证件原件</w:t>
      </w:r>
      <w:r>
        <w:rPr>
          <w:rFonts w:hint="eastAsia" w:ascii="仿宋_GB2312" w:hAnsi="仿宋_GB2312" w:eastAsia="仿宋_GB2312" w:cs="仿宋_GB2312"/>
          <w:color w:val="000000" w:themeColor="text1"/>
          <w:kern w:val="0"/>
          <w:sz w:val="32"/>
          <w:szCs w:val="32"/>
          <w:highlight w:val="none"/>
          <w:shd w:val="clear"/>
          <w14:textFill>
            <w14:solidFill>
              <w14:schemeClr w14:val="tx1"/>
            </w14:solidFill>
          </w14:textFill>
        </w:rPr>
        <w:t>（中华人民共和国居民</w:t>
      </w:r>
      <w:r>
        <w:rPr>
          <w:rFonts w:hint="eastAsia" w:ascii="仿宋_GB2312" w:hAnsi="仿宋_GB2312" w:eastAsia="仿宋_GB2312" w:cs="仿宋_GB2312"/>
          <w:color w:val="000000" w:themeColor="text1"/>
          <w:sz w:val="32"/>
          <w:szCs w:val="32"/>
          <w:highlight w:val="none"/>
          <w:shd w:val="clear"/>
          <w14:textFill>
            <w14:solidFill>
              <w14:schemeClr w14:val="tx1"/>
            </w14:solidFill>
          </w14:textFill>
        </w:rPr>
        <w:t>须持身份证原件；</w:t>
      </w:r>
      <w:r>
        <w:rPr>
          <w:rFonts w:hint="eastAsia" w:ascii="仿宋_GB2312" w:hAnsi="仿宋_GB2312" w:eastAsia="仿宋_GB2312" w:cs="仿宋_GB2312"/>
          <w:color w:val="000000" w:themeColor="text1"/>
          <w:sz w:val="32"/>
          <w:szCs w:val="32"/>
          <w:highlight w:val="none"/>
          <w:shd w:val="clear"/>
          <w:lang w:val="zh-CN"/>
          <w14:textFill>
            <w14:solidFill>
              <w14:schemeClr w14:val="tx1"/>
            </w14:solidFill>
          </w14:textFill>
        </w:rPr>
        <w:t>港、澳地区人员须提供中华人民共和国港澳居民居住证、港澳居民来往内地通行证或护照证件原件、台湾地区人员须提供中华人民共和国台湾居民居住证、台湾居民来往大陆通行证或护照证件原件</w:t>
      </w:r>
      <w:r>
        <w:rPr>
          <w:rFonts w:hint="eastAsia" w:ascii="仿宋_GB2312" w:hAnsi="仿宋_GB2312" w:eastAsia="仿宋_GB2312" w:cs="仿宋_GB2312"/>
          <w:color w:val="000000" w:themeColor="text1"/>
          <w:sz w:val="32"/>
          <w:szCs w:val="32"/>
          <w:highlight w:val="none"/>
          <w:shd w:val="clear"/>
          <w14:textFill>
            <w14:solidFill>
              <w14:schemeClr w14:val="tx1"/>
            </w14:solidFill>
          </w14:textFill>
        </w:rPr>
        <w:t>；外籍人士须持护照原件</w:t>
      </w:r>
      <w:r>
        <w:rPr>
          <w:rFonts w:hint="eastAsia" w:ascii="仿宋_GB2312" w:hAnsi="仿宋_GB2312" w:eastAsia="仿宋_GB2312" w:cs="仿宋_GB2312"/>
          <w:color w:val="000000" w:themeColor="text1"/>
          <w:kern w:val="0"/>
          <w:sz w:val="32"/>
          <w:szCs w:val="32"/>
          <w:highlight w:val="none"/>
          <w:shd w:val="clear"/>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。未携带证件原件不得参加比赛。</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jc w:val="left"/>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二、赛前</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0分钟，双方报名参加本场比赛的球队官员需签字并提交符合要求的首发和替补球员名单，</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最多</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填报</w:t>
      </w:r>
      <w:r>
        <w:rPr>
          <w:rFonts w:hint="eastAsia" w:ascii="仿宋_GB2312" w:hAnsi="仿宋_GB2312" w:eastAsia="仿宋_GB2312" w:cs="仿宋_GB2312"/>
          <w:color w:val="000000" w:themeColor="text1"/>
          <w:kern w:val="0"/>
          <w:sz w:val="32"/>
          <w:szCs w:val="32"/>
          <w:highlight w:val="none"/>
          <w:shd w:val="clear"/>
          <w:lang w:val="en-US" w:eastAsia="zh-CN"/>
          <w14:textFill>
            <w14:solidFill>
              <w14:schemeClr w14:val="tx1"/>
            </w14:solidFill>
          </w14:textFill>
        </w:rPr>
        <w:t>23</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名球员，由当场执法裁判组查验本场比赛上场队员和球队官员资格及填报单，核对红、黄牌停赛记录，符合参赛条件后方可参加比赛。</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、参赛人员须服从组委会统一指挥和管理，按时参赛，遵守各项赛事规定，服从判罚，相互尊重。</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四</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如因天气或不可抗力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等其他</w:t>
      </w:r>
      <w:r>
        <w:rPr>
          <w:rFonts w:hint="eastAsia" w:ascii="仿宋_GB2312" w:hAnsi="仿宋_GB2312" w:eastAsia="仿宋_GB2312" w:cs="仿宋_GB2312"/>
          <w:color w:val="000000" w:themeColor="text1"/>
          <w:sz w:val="32"/>
          <w:szCs w:val="32"/>
          <w:highlight w:val="none"/>
          <w14:textFill>
            <w14:solidFill>
              <w14:schemeClr w14:val="tx1"/>
            </w14:solidFill>
          </w14:textFill>
        </w:rPr>
        <w:t>原因，致使场地无法进行比赛，由组委会研究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作</w:t>
      </w:r>
      <w:r>
        <w:rPr>
          <w:rFonts w:hint="eastAsia" w:ascii="仿宋_GB2312" w:hAnsi="仿宋_GB2312" w:eastAsia="仿宋_GB2312" w:cs="仿宋_GB2312"/>
          <w:color w:val="000000" w:themeColor="text1"/>
          <w:sz w:val="32"/>
          <w:szCs w:val="32"/>
          <w:highlight w:val="none"/>
          <w14:textFill>
            <w14:solidFill>
              <w14:schemeClr w14:val="tx1"/>
            </w14:solidFill>
          </w14:textFill>
        </w:rPr>
        <w:t>最终决定。</w:t>
      </w:r>
    </w:p>
    <w:p>
      <w:pPr>
        <w:keepNext w:val="0"/>
        <w:keepLines w:val="0"/>
        <w:pageBreakBefore w:val="0"/>
        <w:kinsoku/>
        <w:wordWrap/>
        <w:topLinePunct w:val="0"/>
        <w:bidi w:val="0"/>
        <w:spacing w:line="240" w:lineRule="auto"/>
        <w:ind w:left="0" w:leftChars="0" w:right="0" w:rightChars="0"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、参赛球队赛前、赛后须执行参赛礼仪。若不执行规定礼仪，纪律委员会将视情节</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作出</w:t>
      </w:r>
      <w:r>
        <w:rPr>
          <w:rFonts w:hint="eastAsia" w:ascii="仿宋_GB2312" w:hAnsi="仿宋_GB2312" w:eastAsia="仿宋_GB2312" w:cs="仿宋_GB2312"/>
          <w:color w:val="000000" w:themeColor="text1"/>
          <w:sz w:val="32"/>
          <w:szCs w:val="32"/>
          <w:highlight w:val="none"/>
          <w14:textFill>
            <w14:solidFill>
              <w14:schemeClr w14:val="tx1"/>
            </w14:solidFill>
          </w14:textFill>
        </w:rPr>
        <w:t>相应的纪律处罚。</w:t>
      </w:r>
    </w:p>
    <w:p>
      <w:pPr>
        <w:pStyle w:val="7"/>
        <w:keepNext w:val="0"/>
        <w:keepLines w:val="0"/>
        <w:pageBreakBefore w:val="0"/>
        <w:kinsoku/>
        <w:wordWrap/>
        <w:topLinePunct w:val="0"/>
        <w:bidi w:val="0"/>
        <w:spacing w:before="0" w:after="0" w:line="240" w:lineRule="auto"/>
        <w:ind w:left="0" w:leftChars="0" w:right="0" w:rightChars="0" w:firstLine="640" w:firstLineChars="200"/>
        <w:jc w:val="both"/>
        <w:textAlignment w:val="auto"/>
        <w:rPr>
          <w:rFonts w:ascii="黑体" w:hAnsi="黑体" w:eastAsia="黑体" w:cs="黑体"/>
          <w:b w:val="0"/>
          <w:bCs w:val="0"/>
          <w:color w:val="000000" w:themeColor="text1"/>
          <w:highlight w:val="none"/>
          <w14:textFill>
            <w14:solidFill>
              <w14:schemeClr w14:val="tx1"/>
            </w14:solidFill>
          </w14:textFill>
        </w:rPr>
      </w:pPr>
      <w:r>
        <w:rPr>
          <w:rFonts w:hint="eastAsia" w:ascii="黑体" w:hAnsi="黑体" w:eastAsia="黑体" w:cs="黑体"/>
          <w:b w:val="0"/>
          <w:bCs w:val="0"/>
          <w:color w:val="000000" w:themeColor="text1"/>
          <w:highlight w:val="none"/>
          <w14:textFill>
            <w14:solidFill>
              <w14:schemeClr w14:val="tx1"/>
            </w14:solidFill>
          </w14:textFill>
        </w:rPr>
        <w:t>第</w:t>
      </w:r>
      <w:r>
        <w:rPr>
          <w:rFonts w:hint="eastAsia" w:ascii="黑体" w:hAnsi="黑体" w:eastAsia="黑体" w:cs="黑体"/>
          <w:b w:val="0"/>
          <w:bCs w:val="0"/>
          <w:color w:val="000000" w:themeColor="text1"/>
          <w:highlight w:val="none"/>
          <w:lang w:eastAsia="zh-CN"/>
          <w14:textFill>
            <w14:solidFill>
              <w14:schemeClr w14:val="tx1"/>
            </w14:solidFill>
          </w14:textFill>
        </w:rPr>
        <w:t>九</w:t>
      </w:r>
      <w:r>
        <w:rPr>
          <w:rFonts w:hint="eastAsia" w:ascii="黑体" w:hAnsi="黑体" w:eastAsia="黑体" w:cs="黑体"/>
          <w:b w:val="0"/>
          <w:bCs w:val="0"/>
          <w:color w:val="000000" w:themeColor="text1"/>
          <w:highlight w:val="none"/>
          <w14:textFill>
            <w14:solidFill>
              <w14:schemeClr w14:val="tx1"/>
            </w14:solidFill>
          </w14:textFill>
        </w:rPr>
        <w:t>条 比赛用球</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jc w:val="left"/>
        <w:textAlignment w:val="auto"/>
        <w:rPr>
          <w:rFonts w:ascii="仿宋_GB2312" w:hAnsi="仿宋_GB2312" w:eastAsia="仿宋_GB2312" w:cs="仿宋_GB2312"/>
          <w:color w:val="000000" w:themeColor="text1"/>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一、由组委会统一提供，使用</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比赛用球。</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jc w:val="left"/>
        <w:textAlignment w:val="auto"/>
        <w:rPr>
          <w:rFonts w:ascii="仿宋_GB2312" w:hAnsi="仿宋_GB2312" w:eastAsia="仿宋_GB2312" w:cs="仿宋_GB2312"/>
          <w:color w:val="000000" w:themeColor="text1"/>
          <w:sz w:val="32"/>
          <w:szCs w:val="32"/>
          <w:highlight w:val="none"/>
          <w:lang w:val="en-US" w:eastAsia="zh-CN" w:bidi="ar-SA"/>
          <w14:textFill>
            <w14:solidFill>
              <w14:schemeClr w14:val="tx1"/>
            </w14:solidFill>
          </w14:textFill>
        </w:rPr>
      </w:pPr>
      <w:bookmarkStart w:id="1" w:name="bookmark155"/>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二</w:t>
      </w:r>
      <w:bookmarkEnd w:id="1"/>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、参赛球队需自行携带训练用球。</w:t>
      </w:r>
    </w:p>
    <w:p>
      <w:pPr>
        <w:pStyle w:val="7"/>
        <w:keepNext w:val="0"/>
        <w:keepLines w:val="0"/>
        <w:pageBreakBefore w:val="0"/>
        <w:kinsoku/>
        <w:wordWrap/>
        <w:topLinePunct w:val="0"/>
        <w:bidi w:val="0"/>
        <w:spacing w:before="0" w:after="0" w:line="240" w:lineRule="auto"/>
        <w:ind w:left="0" w:leftChars="0" w:right="0" w:rightChars="0" w:firstLine="640" w:firstLineChars="200"/>
        <w:jc w:val="both"/>
        <w:textAlignment w:val="auto"/>
        <w:rPr>
          <w:rFonts w:ascii="黑体" w:hAnsi="黑体" w:eastAsia="黑体" w:cs="黑体"/>
          <w:b w:val="0"/>
          <w:bCs w:val="0"/>
          <w:color w:val="000000" w:themeColor="text1"/>
          <w:highlight w:val="none"/>
          <w14:textFill>
            <w14:solidFill>
              <w14:schemeClr w14:val="tx1"/>
            </w14:solidFill>
          </w14:textFill>
        </w:rPr>
      </w:pPr>
      <w:r>
        <w:rPr>
          <w:rFonts w:hint="eastAsia" w:ascii="黑体" w:hAnsi="黑体" w:eastAsia="黑体" w:cs="黑体"/>
          <w:b w:val="0"/>
          <w:bCs w:val="0"/>
          <w:color w:val="000000" w:themeColor="text1"/>
          <w:highlight w:val="none"/>
          <w14:textFill>
            <w14:solidFill>
              <w14:schemeClr w14:val="tx1"/>
            </w14:solidFill>
          </w14:textFill>
        </w:rPr>
        <w:t>第十条 赛制</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highlight w:val="yellow"/>
          <w:lang w:val="en-US" w:eastAsia="zh-CN" w:bidi="ar-SA"/>
          <w14:textFill>
            <w14:solidFill>
              <w14:schemeClr w14:val="tx1"/>
            </w14:solidFill>
          </w14:textFill>
        </w:rPr>
      </w:pPr>
      <w:bookmarkStart w:id="2" w:name="bookmark161"/>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一</w:t>
      </w:r>
      <w:bookmarkEnd w:id="2"/>
      <w:r>
        <w:rPr>
          <w:rFonts w:hint="eastAsia" w:ascii="仿宋_GB2312" w:hAnsi="仿宋_GB2312" w:eastAsia="仿宋_GB2312" w:cs="仿宋_GB2312"/>
          <w:color w:val="000000" w:themeColor="text1"/>
          <w:sz w:val="32"/>
          <w:szCs w:val="32"/>
          <w:highlight w:val="none"/>
          <w:lang w:val="en-US" w:eastAsia="zh-CN" w:bidi="ar-SA"/>
          <w14:textFill>
            <w14:solidFill>
              <w14:schemeClr w14:val="tx1"/>
            </w14:solidFill>
          </w14:textFill>
        </w:rPr>
        <w:t>、竞赛办法</w:t>
      </w:r>
    </w:p>
    <w:p>
      <w:pPr>
        <w:pStyle w:val="7"/>
        <w:keepNext w:val="0"/>
        <w:keepLines w:val="0"/>
        <w:pageBreakBefore w:val="0"/>
        <w:kinsoku/>
        <w:wordWrap/>
        <w:topLinePunct w:val="0"/>
        <w:bidi w:val="0"/>
        <w:spacing w:before="0" w:after="0" w:line="240" w:lineRule="auto"/>
        <w:ind w:left="0" w:leftChars="0" w:right="0" w:rightChars="0" w:firstLine="640" w:firstLineChars="200"/>
        <w:jc w:val="both"/>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（一）如该组别报名少于3支球队，将取消该组别比赛。</w:t>
      </w:r>
    </w:p>
    <w:p>
      <w:pPr>
        <w:pStyle w:val="7"/>
        <w:keepNext w:val="0"/>
        <w:keepLines w:val="0"/>
        <w:pageBreakBefore w:val="0"/>
        <w:kinsoku/>
        <w:wordWrap/>
        <w:topLinePunct w:val="0"/>
        <w:bidi w:val="0"/>
        <w:spacing w:before="0" w:after="0" w:line="240" w:lineRule="auto"/>
        <w:ind w:left="0" w:leftChars="0" w:right="0" w:rightChars="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（二）如</w:t>
      </w:r>
      <w:r>
        <w:rPr>
          <w:rFonts w:hint="eastAsia" w:ascii="仿宋_GB2312" w:hAnsi="仿宋_GB2312" w:eastAsia="仿宋_GB2312" w:cs="仿宋_GB2312"/>
          <w:b w:val="0"/>
          <w:bCs w:val="0"/>
          <w:color w:val="000000"/>
          <w:kern w:val="2"/>
          <w:sz w:val="32"/>
          <w:szCs w:val="32"/>
          <w:lang w:val="zh-CN" w:eastAsia="zh-CN" w:bidi="ar-SA"/>
        </w:rPr>
        <w:t>该组别报名</w:t>
      </w:r>
      <w:r>
        <w:rPr>
          <w:rFonts w:hint="eastAsia" w:ascii="仿宋_GB2312" w:hAnsi="仿宋_GB2312" w:eastAsia="仿宋_GB2312" w:cs="仿宋_GB2312"/>
          <w:b w:val="0"/>
          <w:bCs w:val="0"/>
          <w:color w:val="000000"/>
          <w:kern w:val="2"/>
          <w:sz w:val="32"/>
          <w:szCs w:val="32"/>
          <w:lang w:val="en-US" w:eastAsia="zh-CN" w:bidi="ar-SA"/>
        </w:rPr>
        <w:t>3-5支队，将采用单循环赛制，决出最终名次。</w:t>
      </w:r>
    </w:p>
    <w:p>
      <w:pPr>
        <w:pStyle w:val="7"/>
        <w:keepNext w:val="0"/>
        <w:keepLines w:val="0"/>
        <w:pageBreakBefore w:val="0"/>
        <w:widowControl w:val="0"/>
        <w:kinsoku/>
        <w:wordWrap/>
        <w:overflowPunct/>
        <w:topLinePunct w:val="0"/>
        <w:autoSpaceDE/>
        <w:autoSpaceDN/>
        <w:bidi w:val="0"/>
        <w:spacing w:before="0" w:after="0" w:line="240" w:lineRule="auto"/>
        <w:ind w:left="0" w:leftChars="0" w:right="0" w:rightChars="0" w:firstLine="640" w:firstLineChars="200"/>
        <w:jc w:val="both"/>
        <w:textAlignment w:val="auto"/>
        <w:rPr>
          <w:rFonts w:hint="eastAsia" w:ascii="仿宋_GB2312" w:hAnsi="仿宋_GB2312" w:eastAsia="仿宋_GB2312" w:cs="仿宋_GB2312"/>
          <w:b w:val="0"/>
          <w:bCs w:val="0"/>
          <w:color w:val="000000" w:themeColor="text1"/>
          <w:kern w:val="0"/>
          <w:highlight w:val="yellow"/>
          <w:lang w:val="en-US" w:eastAsia="zh-CN"/>
          <w14:textFill>
            <w14:solidFill>
              <w14:schemeClr w14:val="tx1"/>
            </w14:solidFill>
          </w14:textFill>
        </w:rPr>
      </w:pPr>
      <w:r>
        <w:rPr>
          <w:rFonts w:hint="eastAsia" w:ascii="仿宋_GB2312" w:hAnsi="仿宋_GB2312" w:eastAsia="仿宋_GB2312" w:cs="仿宋_GB2312"/>
          <w:b w:val="0"/>
          <w:bCs w:val="0"/>
          <w:color w:val="000000"/>
          <w:kern w:val="2"/>
          <w:sz w:val="32"/>
          <w:szCs w:val="32"/>
          <w:lang w:val="en-US" w:eastAsia="zh-CN" w:bidi="ar-SA"/>
        </w:rPr>
        <w:t>（三）</w:t>
      </w:r>
      <w:r>
        <w:rPr>
          <w:rFonts w:hint="eastAsia" w:ascii="仿宋_GB2312" w:hAnsi="仿宋_GB2312" w:eastAsia="仿宋_GB2312" w:cs="仿宋_GB2312"/>
          <w:b w:val="0"/>
          <w:bCs w:val="0"/>
          <w:color w:val="000000"/>
          <w:kern w:val="2"/>
          <w:sz w:val="32"/>
          <w:szCs w:val="32"/>
          <w:lang w:val="zh-CN" w:eastAsia="zh-CN" w:bidi="ar-SA"/>
        </w:rPr>
        <w:t>若该组别报名</w:t>
      </w:r>
      <w:r>
        <w:rPr>
          <w:rFonts w:hint="eastAsia" w:ascii="仿宋_GB2312" w:hAnsi="仿宋_GB2312" w:eastAsia="仿宋_GB2312" w:cs="仿宋_GB2312"/>
          <w:b w:val="0"/>
          <w:bCs w:val="0"/>
          <w:color w:val="000000"/>
          <w:kern w:val="2"/>
          <w:sz w:val="32"/>
          <w:szCs w:val="32"/>
          <w:lang w:val="en-US" w:eastAsia="zh-CN" w:bidi="ar-SA"/>
        </w:rPr>
        <w:t>6-8支队，</w:t>
      </w:r>
      <w:r>
        <w:rPr>
          <w:rFonts w:hint="eastAsia" w:ascii="仿宋_GB2312" w:hAnsi="仿宋_GB2312" w:eastAsia="仿宋_GB2312" w:cs="仿宋_GB2312"/>
          <w:b w:val="0"/>
          <w:bCs w:val="0"/>
          <w:color w:val="000000"/>
          <w:kern w:val="2"/>
          <w:sz w:val="32"/>
          <w:szCs w:val="32"/>
          <w:lang w:val="zh-CN" w:eastAsia="zh-CN" w:bidi="ar-SA"/>
        </w:rPr>
        <w:t>以抽签形式分成</w:t>
      </w:r>
      <w:r>
        <w:rPr>
          <w:rFonts w:hint="eastAsia" w:ascii="仿宋_GB2312" w:hAnsi="仿宋_GB2312" w:eastAsia="仿宋_GB2312" w:cs="仿宋_GB2312"/>
          <w:b w:val="0"/>
          <w:bCs w:val="0"/>
          <w:color w:val="000000"/>
          <w:kern w:val="2"/>
          <w:sz w:val="32"/>
          <w:szCs w:val="32"/>
          <w:lang w:val="en-US" w:eastAsia="zh-CN" w:bidi="ar-SA"/>
        </w:rPr>
        <w:t>2</w:t>
      </w:r>
      <w:r>
        <w:rPr>
          <w:rFonts w:hint="eastAsia" w:ascii="仿宋_GB2312" w:hAnsi="仿宋_GB2312" w:eastAsia="仿宋_GB2312" w:cs="仿宋_GB2312"/>
          <w:b w:val="0"/>
          <w:bCs w:val="0"/>
          <w:color w:val="000000"/>
          <w:kern w:val="2"/>
          <w:sz w:val="32"/>
          <w:szCs w:val="32"/>
          <w:lang w:val="zh-CN" w:eastAsia="zh-CN" w:bidi="ar-SA"/>
        </w:rPr>
        <w:t>个小组</w:t>
      </w:r>
      <w:r>
        <w:rPr>
          <w:rFonts w:hint="eastAsia" w:ascii="仿宋_GB2312" w:hAnsi="仿宋_GB2312" w:eastAsia="仿宋_GB2312" w:cs="仿宋_GB2312"/>
          <w:b w:val="0"/>
          <w:bCs w:val="0"/>
          <w:color w:val="000000"/>
          <w:kern w:val="2"/>
          <w:sz w:val="32"/>
          <w:szCs w:val="32"/>
          <w:lang w:val="en-US" w:eastAsia="zh-CN" w:bidi="ar-SA"/>
        </w:rPr>
        <w:t>，</w:t>
      </w:r>
      <w:r>
        <w:rPr>
          <w:rFonts w:hint="eastAsia" w:ascii="仿宋_GB2312" w:hAnsi="仿宋_GB2312" w:eastAsia="仿宋_GB2312" w:cs="仿宋_GB2312"/>
          <w:b w:val="0"/>
          <w:bCs w:val="0"/>
          <w:color w:val="000000"/>
          <w:kern w:val="2"/>
          <w:sz w:val="32"/>
          <w:szCs w:val="32"/>
          <w:lang w:val="zh-CN" w:eastAsia="zh-CN" w:bidi="ar-SA"/>
        </w:rPr>
        <w:t>进行单循环比赛，</w:t>
      </w:r>
      <w:r>
        <w:rPr>
          <w:rFonts w:hint="eastAsia" w:ascii="仿宋_GB2312" w:hAnsi="仿宋_GB2312" w:eastAsia="仿宋_GB2312" w:cs="仿宋_GB2312"/>
          <w:b w:val="0"/>
          <w:bCs w:val="0"/>
          <w:color w:val="000000"/>
          <w:kern w:val="2"/>
          <w:sz w:val="32"/>
          <w:szCs w:val="32"/>
          <w:lang w:val="en-US" w:eastAsia="zh-CN" w:bidi="ar-SA"/>
        </w:rPr>
        <w:t>小组前两名出线，进行交叉淘汰赛，小组赛被淘汰球队进行附加赛，决出全部名次；</w:t>
      </w:r>
    </w:p>
    <w:p>
      <w:pPr>
        <w:pStyle w:val="7"/>
        <w:keepNext w:val="0"/>
        <w:keepLines w:val="0"/>
        <w:pageBreakBefore w:val="0"/>
        <w:kinsoku/>
        <w:wordWrap/>
        <w:topLinePunct w:val="0"/>
        <w:bidi w:val="0"/>
        <w:spacing w:before="0" w:after="0" w:line="240" w:lineRule="auto"/>
        <w:ind w:left="0" w:leftChars="0" w:right="0" w:rightChars="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zh-CN" w:eastAsia="zh-CN" w:bidi="ar-SA"/>
        </w:rPr>
        <w:t>（四）若该组别报名</w:t>
      </w:r>
      <w:r>
        <w:rPr>
          <w:rFonts w:hint="eastAsia" w:ascii="仿宋_GB2312" w:hAnsi="仿宋_GB2312" w:eastAsia="仿宋_GB2312" w:cs="仿宋_GB2312"/>
          <w:b w:val="0"/>
          <w:bCs w:val="0"/>
          <w:color w:val="000000"/>
          <w:kern w:val="2"/>
          <w:sz w:val="32"/>
          <w:szCs w:val="32"/>
          <w:lang w:val="en-US" w:eastAsia="zh-CN" w:bidi="ar-SA"/>
        </w:rPr>
        <w:t>9-11支比赛队，</w:t>
      </w:r>
      <w:r>
        <w:rPr>
          <w:rFonts w:hint="eastAsia" w:ascii="仿宋_GB2312" w:hAnsi="仿宋_GB2312" w:eastAsia="仿宋_GB2312" w:cs="仿宋_GB2312"/>
          <w:b w:val="0"/>
          <w:bCs w:val="0"/>
          <w:color w:val="000000"/>
          <w:kern w:val="2"/>
          <w:sz w:val="32"/>
          <w:szCs w:val="32"/>
          <w:lang w:val="zh-CN" w:eastAsia="zh-CN" w:bidi="ar-SA"/>
        </w:rPr>
        <w:t>以抽签形式分成</w:t>
      </w:r>
      <w:r>
        <w:rPr>
          <w:rFonts w:hint="eastAsia" w:ascii="仿宋_GB2312" w:hAnsi="仿宋_GB2312" w:eastAsia="仿宋_GB2312" w:cs="仿宋_GB2312"/>
          <w:b w:val="0"/>
          <w:bCs w:val="0"/>
          <w:color w:val="000000"/>
          <w:kern w:val="2"/>
          <w:sz w:val="32"/>
          <w:szCs w:val="32"/>
          <w:lang w:val="en-US" w:eastAsia="zh-CN" w:bidi="ar-SA"/>
        </w:rPr>
        <w:t>3</w:t>
      </w:r>
      <w:r>
        <w:rPr>
          <w:rFonts w:hint="eastAsia" w:ascii="仿宋_GB2312" w:hAnsi="仿宋_GB2312" w:eastAsia="仿宋_GB2312" w:cs="仿宋_GB2312"/>
          <w:b w:val="0"/>
          <w:bCs w:val="0"/>
          <w:color w:val="000000"/>
          <w:kern w:val="2"/>
          <w:sz w:val="32"/>
          <w:szCs w:val="32"/>
          <w:lang w:val="zh-CN" w:eastAsia="zh-CN" w:bidi="ar-SA"/>
        </w:rPr>
        <w:t>个小组</w:t>
      </w:r>
      <w:r>
        <w:rPr>
          <w:rFonts w:hint="eastAsia" w:ascii="仿宋_GB2312" w:hAnsi="仿宋_GB2312" w:eastAsia="仿宋_GB2312" w:cs="仿宋_GB2312"/>
          <w:b w:val="0"/>
          <w:bCs w:val="0"/>
          <w:color w:val="000000"/>
          <w:kern w:val="2"/>
          <w:sz w:val="32"/>
          <w:szCs w:val="32"/>
          <w:lang w:val="en-US" w:eastAsia="zh-CN" w:bidi="ar-SA"/>
        </w:rPr>
        <w:t>，</w:t>
      </w:r>
      <w:r>
        <w:rPr>
          <w:rFonts w:hint="eastAsia" w:ascii="仿宋_GB2312" w:hAnsi="仿宋_GB2312" w:eastAsia="仿宋_GB2312" w:cs="仿宋_GB2312"/>
          <w:b w:val="0"/>
          <w:bCs w:val="0"/>
          <w:color w:val="000000"/>
          <w:kern w:val="2"/>
          <w:sz w:val="32"/>
          <w:szCs w:val="32"/>
          <w:lang w:val="zh-CN" w:eastAsia="zh-CN" w:bidi="ar-SA"/>
        </w:rPr>
        <w:t>进行单循环比赛，获得每个小组前两名的6支球队和</w:t>
      </w:r>
      <w:r>
        <w:rPr>
          <w:rFonts w:hint="eastAsia" w:ascii="仿宋_GB2312" w:hAnsi="仿宋_GB2312" w:eastAsia="仿宋_GB2312" w:cs="仿宋_GB2312"/>
          <w:b w:val="0"/>
          <w:bCs w:val="0"/>
          <w:color w:val="000000"/>
          <w:kern w:val="2"/>
          <w:sz w:val="32"/>
          <w:szCs w:val="32"/>
          <w:lang w:val="en-US" w:eastAsia="zh-CN" w:bidi="ar-SA"/>
        </w:rPr>
        <w:t>2个</w:t>
      </w:r>
      <w:r>
        <w:rPr>
          <w:rFonts w:hint="eastAsia" w:ascii="仿宋_GB2312" w:hAnsi="仿宋_GB2312" w:eastAsia="仿宋_GB2312" w:cs="仿宋_GB2312"/>
          <w:b w:val="0"/>
          <w:bCs w:val="0"/>
          <w:color w:val="000000"/>
          <w:kern w:val="2"/>
          <w:sz w:val="32"/>
          <w:szCs w:val="32"/>
          <w:lang w:val="zh-CN" w:eastAsia="zh-CN" w:bidi="ar-SA"/>
        </w:rPr>
        <w:t>小组成绩最好的第三名（各小组如参赛球队数量不一致，</w:t>
      </w:r>
      <w:r>
        <w:rPr>
          <w:rFonts w:hint="eastAsia" w:ascii="仿宋_GB2312" w:hAnsi="仿宋_GB2312" w:eastAsia="仿宋_GB2312" w:cs="仿宋_GB2312"/>
          <w:b w:val="0"/>
          <w:bCs w:val="0"/>
          <w:color w:val="000000"/>
          <w:kern w:val="2"/>
          <w:sz w:val="32"/>
          <w:szCs w:val="32"/>
          <w:lang w:val="en-US" w:eastAsia="zh-CN" w:bidi="ar-SA"/>
        </w:rPr>
        <w:t>球队数量较多的小组在比较成绩时，该球队与本小组最后名次球队的比赛结果不予计算</w:t>
      </w:r>
      <w:r>
        <w:rPr>
          <w:rFonts w:hint="eastAsia" w:ascii="仿宋_GB2312" w:hAnsi="仿宋_GB2312" w:eastAsia="仿宋_GB2312" w:cs="仿宋_GB2312"/>
          <w:b w:val="0"/>
          <w:bCs w:val="0"/>
          <w:color w:val="000000"/>
          <w:kern w:val="2"/>
          <w:sz w:val="32"/>
          <w:szCs w:val="32"/>
          <w:lang w:val="zh-CN" w:eastAsia="zh-CN" w:bidi="ar-SA"/>
        </w:rPr>
        <w:t>），共8支球队</w:t>
      </w:r>
      <w:r>
        <w:rPr>
          <w:rFonts w:hint="eastAsia" w:ascii="仿宋_GB2312" w:hAnsi="仿宋_GB2312" w:eastAsia="仿宋_GB2312" w:cs="仿宋_GB2312"/>
          <w:b w:val="0"/>
          <w:bCs w:val="0"/>
          <w:color w:val="000000"/>
          <w:kern w:val="2"/>
          <w:sz w:val="32"/>
          <w:szCs w:val="32"/>
          <w:lang w:val="en-US" w:eastAsia="zh-CN" w:bidi="ar-SA"/>
        </w:rPr>
        <w:t>出线，进行</w:t>
      </w:r>
      <w:r>
        <w:rPr>
          <w:rFonts w:hint="eastAsia" w:ascii="仿宋_GB2312" w:hAnsi="仿宋_GB2312" w:eastAsia="仿宋_GB2312" w:cs="仿宋_GB2312"/>
          <w:b w:val="0"/>
          <w:bCs w:val="0"/>
          <w:color w:val="000000"/>
          <w:kern w:val="2"/>
          <w:sz w:val="32"/>
          <w:szCs w:val="32"/>
          <w:lang w:val="zh-CN" w:eastAsia="zh-CN" w:bidi="ar-SA"/>
        </w:rPr>
        <w:t>交叉淘汰赛</w:t>
      </w:r>
      <w:r>
        <w:rPr>
          <w:rFonts w:hint="eastAsia" w:ascii="仿宋_GB2312" w:hAnsi="仿宋_GB2312" w:eastAsia="仿宋_GB2312" w:cs="仿宋_GB2312"/>
          <w:b w:val="0"/>
          <w:bCs w:val="0"/>
          <w:color w:val="000000"/>
          <w:kern w:val="2"/>
          <w:sz w:val="32"/>
          <w:szCs w:val="32"/>
          <w:lang w:val="en-US" w:eastAsia="zh-CN" w:bidi="ar-SA"/>
        </w:rPr>
        <w:t>，决出第一至八名（见对阵表）；</w:t>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0" w:firstLineChars="200"/>
        <w:textAlignment w:val="auto"/>
        <w:rPr>
          <w:rFonts w:hint="eastAsia" w:ascii="仿宋_GB2312" w:hAnsi="仿宋_GB2312" w:eastAsia="仿宋_GB2312" w:cs="仿宋_GB2312"/>
          <w:color w:val="000000"/>
          <w:sz w:val="32"/>
          <w:szCs w:val="32"/>
        </w:rPr>
      </w:pPr>
      <w:r>
        <w:rPr>
          <w:color w:val="000000"/>
        </w:rPr>
        <w:drawing>
          <wp:anchor distT="0" distB="0" distL="114935" distR="114935" simplePos="0" relativeHeight="251659264" behindDoc="1" locked="0" layoutInCell="1" allowOverlap="1">
            <wp:simplePos x="0" y="0"/>
            <wp:positionH relativeFrom="column">
              <wp:posOffset>59690</wp:posOffset>
            </wp:positionH>
            <wp:positionV relativeFrom="paragraph">
              <wp:posOffset>41275</wp:posOffset>
            </wp:positionV>
            <wp:extent cx="5496560" cy="6472555"/>
            <wp:effectExtent l="0" t="0" r="5080" b="4445"/>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5"/>
                    <a:stretch>
                      <a:fillRect/>
                    </a:stretch>
                  </pic:blipFill>
                  <pic:spPr>
                    <a:xfrm>
                      <a:off x="0" y="0"/>
                      <a:ext cx="5496560" cy="6472555"/>
                    </a:xfrm>
                    <a:prstGeom prst="rect">
                      <a:avLst/>
                    </a:prstGeom>
                    <a:noFill/>
                    <a:ln>
                      <a:noFill/>
                    </a:ln>
                  </pic:spPr>
                </pic:pic>
              </a:graphicData>
            </a:graphic>
          </wp:anchor>
        </w:drawing>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lang w:val="zh-CN"/>
        </w:rPr>
      </w:pPr>
    </w:p>
    <w:p>
      <w:pPr>
        <w:pStyle w:val="1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640" w:firstLineChars="200"/>
        <w:textAlignment w:val="auto"/>
        <w:rPr>
          <w:rFonts w:hint="eastAsia" w:ascii="仿宋_GB2312" w:hAnsi="仿宋_GB2312" w:eastAsia="仿宋_GB2312" w:cs="仿宋_GB2312"/>
          <w:color w:val="000000"/>
          <w:sz w:val="32"/>
          <w:szCs w:val="32"/>
          <w:lang w:val="zh-CN"/>
        </w:rPr>
      </w:pP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（五）若该组别报名</w:t>
      </w:r>
      <w:r>
        <w:rPr>
          <w:rFonts w:hint="eastAsia" w:ascii="仿宋_GB2312" w:hAnsi="仿宋_GB2312" w:eastAsia="仿宋_GB2312" w:cs="仿宋_GB2312"/>
          <w:color w:val="000000" w:themeColor="text1"/>
          <w:kern w:val="0"/>
          <w:sz w:val="32"/>
          <w:szCs w:val="32"/>
          <w:highlight w:val="none"/>
          <w:shd w:val="clear"/>
          <w:lang w:val="en-US" w:eastAsia="zh-CN"/>
          <w14:textFill>
            <w14:solidFill>
              <w14:schemeClr w14:val="tx1"/>
            </w14:solidFill>
          </w14:textFill>
        </w:rPr>
        <w:t>12-17</w:t>
      </w: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支队，以抽签形式分成4个小组，</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采用小组单循环赛制，</w:t>
      </w: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每个小组的前</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两</w:t>
      </w: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名</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出线</w:t>
      </w: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进行</w:t>
      </w: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交叉淘汰赛</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，决出第一至八名；</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（六）淘汰赛常规时间内打平直接罚球点球（采用5+1的方式）决出胜负。</w:t>
      </w:r>
    </w:p>
    <w:p>
      <w:pPr>
        <w:pStyle w:val="7"/>
        <w:keepNext w:val="0"/>
        <w:keepLines w:val="0"/>
        <w:pageBreakBefore w:val="0"/>
        <w:kinsoku/>
        <w:wordWrap/>
        <w:topLinePunct w:val="0"/>
        <w:bidi w:val="0"/>
        <w:spacing w:before="0" w:after="0" w:line="240" w:lineRule="auto"/>
        <w:ind w:left="0" w:leftChars="0" w:right="0" w:rightChars="0" w:firstLine="640" w:firstLineChars="200"/>
        <w:jc w:val="both"/>
        <w:textAlignment w:val="auto"/>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pPr>
      <w:bookmarkStart w:id="3" w:name="bookmark162"/>
      <w:bookmarkEnd w:id="3"/>
      <w:r>
        <w:rPr>
          <w:rFonts w:hint="eastAsia" w:ascii="仿宋_GB2312" w:hAnsi="仿宋_GB2312" w:eastAsia="仿宋_GB2312" w:cs="仿宋_GB2312"/>
          <w:b w:val="0"/>
          <w:bCs w:val="0"/>
          <w:color w:val="000000" w:themeColor="text1"/>
          <w:highlight w:val="none"/>
          <w:lang w:val="en-US" w:eastAsia="zh-CN"/>
          <w14:textFill>
            <w14:solidFill>
              <w14:schemeClr w14:val="tx1"/>
            </w14:solidFill>
          </w14:textFill>
        </w:rPr>
        <w:t>二、单循环赛制及小组赛</w:t>
      </w:r>
      <w:r>
        <w:rPr>
          <w:rFonts w:hint="eastAsia" w:ascii="仿宋_GB2312" w:hAnsi="仿宋_GB2312" w:eastAsia="仿宋_GB2312" w:cs="仿宋_GB2312"/>
          <w:b w:val="0"/>
          <w:bCs w:val="0"/>
          <w:color w:val="000000" w:themeColor="text1"/>
          <w:highlight w:val="none"/>
          <w14:textFill>
            <w14:solidFill>
              <w14:schemeClr w14:val="tx1"/>
            </w14:solidFill>
          </w14:textFill>
        </w:rPr>
        <w:t>决定名次办法</w:t>
      </w:r>
      <w:r>
        <w:rPr>
          <w:rFonts w:hint="eastAsia" w:ascii="仿宋_GB2312" w:hAnsi="仿宋_GB2312" w:eastAsia="仿宋_GB2312" w:cs="仿宋_GB2312"/>
          <w:b w:val="0"/>
          <w:bCs w:val="0"/>
          <w:color w:val="000000" w:themeColor="text1"/>
          <w:highlight w:val="none"/>
          <w:lang w:eastAsia="zh-CN"/>
          <w14:textFill>
            <w14:solidFill>
              <w14:schemeClr w14:val="tx1"/>
            </w14:solidFill>
          </w14:textFill>
        </w:rPr>
        <w:t>：</w:t>
      </w:r>
    </w:p>
    <w:p>
      <w:pPr>
        <w:keepNext w:val="0"/>
        <w:keepLines w:val="0"/>
        <w:pageBreakBefore w:val="0"/>
        <w:widowControl/>
        <w:tabs>
          <w:tab w:val="left" w:pos="0"/>
        </w:tabs>
        <w:kinsoku/>
        <w:wordWrap/>
        <w:topLinePunct w:val="0"/>
        <w:bidi w:val="0"/>
        <w:spacing w:line="240" w:lineRule="auto"/>
        <w:ind w:left="0" w:leftChars="0" w:right="0" w:rightChars="0" w:firstLine="640" w:firstLineChars="200"/>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bookmarkStart w:id="4" w:name="bookmark165"/>
      <w:bookmarkEnd w:id="4"/>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胜一场得３分，平一场得１分，负一场得</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0</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分。</w:t>
      </w:r>
    </w:p>
    <w:p>
      <w:pPr>
        <w:keepNext w:val="0"/>
        <w:keepLines w:val="0"/>
        <w:pageBreakBefore w:val="0"/>
        <w:widowControl/>
        <w:tabs>
          <w:tab w:val="left" w:pos="0"/>
        </w:tabs>
        <w:kinsoku/>
        <w:wordWrap/>
        <w:topLinePunct w:val="0"/>
        <w:bidi w:val="0"/>
        <w:spacing w:line="240" w:lineRule="auto"/>
        <w:ind w:left="0" w:leftChars="0" w:right="0" w:rightChars="0" w:firstLine="640" w:firstLineChars="200"/>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比赛全部完成后，积分高者名次列前。</w:t>
      </w:r>
    </w:p>
    <w:p>
      <w:pPr>
        <w:keepNext w:val="0"/>
        <w:keepLines w:val="0"/>
        <w:pageBreakBefore w:val="0"/>
        <w:widowControl/>
        <w:tabs>
          <w:tab w:val="left" w:pos="0"/>
        </w:tabs>
        <w:kinsoku/>
        <w:wordWrap/>
        <w:topLinePunct w:val="0"/>
        <w:bidi w:val="0"/>
        <w:spacing w:line="240" w:lineRule="auto"/>
        <w:ind w:left="0" w:leftChars="0" w:right="0" w:rightChars="0" w:firstLine="640" w:firstLineChars="200"/>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如果两队或两队以上积分相等，依下列顺序排列名次：</w:t>
      </w:r>
    </w:p>
    <w:p>
      <w:pPr>
        <w:keepNext w:val="0"/>
        <w:keepLines w:val="0"/>
        <w:pageBreakBefore w:val="0"/>
        <w:widowControl/>
        <w:tabs>
          <w:tab w:val="left" w:pos="0"/>
        </w:tabs>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积分相等队之间相互比赛积分多者，名次列前</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widowControl/>
        <w:tabs>
          <w:tab w:val="left" w:pos="0"/>
        </w:tabs>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（2）积分相等队之间相互比赛净胜球多者，名次列前</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widowControl/>
        <w:tabs>
          <w:tab w:val="left" w:pos="0"/>
        </w:tabs>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（3）积分相等队之间相互比赛进球数多者，名次列前</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widowControl/>
        <w:tabs>
          <w:tab w:val="left" w:pos="0"/>
        </w:tabs>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（4）积分相等队在全部比赛中净胜球多者，名次列前</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widowControl/>
        <w:tabs>
          <w:tab w:val="left" w:pos="0"/>
        </w:tabs>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（5）积分相等队在全部比赛中进球数多者，名次列前</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widowControl/>
        <w:tabs>
          <w:tab w:val="left" w:pos="0"/>
        </w:tabs>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（6）积分相等队在全部比赛中红牌总数少者，名次列前</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widowControl/>
        <w:tabs>
          <w:tab w:val="left" w:pos="0"/>
        </w:tabs>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（7）积分相等队在全部比赛中黄牌总数少者，名次列前</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widowControl/>
        <w:kinsoku/>
        <w:wordWrap/>
        <w:topLinePunct w:val="0"/>
        <w:bidi w:val="0"/>
        <w:spacing w:line="240" w:lineRule="auto"/>
        <w:ind w:left="0" w:leftChars="0" w:right="0" w:rightChars="0" w:firstLine="640" w:firstLineChars="200"/>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（8）若按照以上七条仍未排出名次，则积分相等队需要在组委会的统一组织下采取抽签的办法决定名次。</w:t>
      </w:r>
    </w:p>
    <w:p>
      <w:pPr>
        <w:pStyle w:val="7"/>
        <w:keepNext w:val="0"/>
        <w:keepLines w:val="0"/>
        <w:pageBreakBefore w:val="0"/>
        <w:kinsoku/>
        <w:wordWrap/>
        <w:topLinePunct w:val="0"/>
        <w:bidi w:val="0"/>
        <w:spacing w:before="0" w:after="0" w:line="240" w:lineRule="auto"/>
        <w:ind w:left="0" w:leftChars="0" w:right="0" w:rightChars="0" w:firstLine="640" w:firstLineChars="200"/>
        <w:textAlignment w:val="auto"/>
        <w:rPr>
          <w:rFonts w:ascii="黑体" w:hAnsi="黑体" w:eastAsia="黑体" w:cs="黑体"/>
          <w:b w:val="0"/>
          <w:bCs w:val="0"/>
          <w:color w:val="000000" w:themeColor="text1"/>
          <w:highlight w:val="none"/>
          <w14:textFill>
            <w14:solidFill>
              <w14:schemeClr w14:val="tx1"/>
            </w14:solidFill>
          </w14:textFill>
        </w:rPr>
      </w:pPr>
    </w:p>
    <w:p>
      <w:pPr>
        <w:pStyle w:val="7"/>
        <w:keepNext w:val="0"/>
        <w:keepLines w:val="0"/>
        <w:pageBreakBefore w:val="0"/>
        <w:kinsoku/>
        <w:wordWrap/>
        <w:topLinePunct w:val="0"/>
        <w:bidi w:val="0"/>
        <w:spacing w:before="0" w:after="0" w:line="240" w:lineRule="auto"/>
        <w:ind w:left="0" w:leftChars="0" w:right="0" w:rightChars="0" w:firstLine="640" w:firstLineChars="200"/>
        <w:textAlignment w:val="auto"/>
        <w:rPr>
          <w:rFonts w:hint="eastAsia" w:ascii="黑体" w:hAnsi="黑体" w:eastAsia="黑体" w:cs="黑体"/>
          <w:b w:val="0"/>
          <w:bCs w:val="0"/>
          <w:color w:val="000000" w:themeColor="text1"/>
          <w:highlight w:val="none"/>
          <w14:textFill>
            <w14:solidFill>
              <w14:schemeClr w14:val="tx1"/>
            </w14:solidFill>
          </w14:textFill>
        </w:rPr>
      </w:pPr>
    </w:p>
    <w:p>
      <w:pPr>
        <w:pStyle w:val="7"/>
        <w:keepNext w:val="0"/>
        <w:keepLines w:val="0"/>
        <w:pageBreakBefore w:val="0"/>
        <w:kinsoku/>
        <w:wordWrap/>
        <w:topLinePunct w:val="0"/>
        <w:bidi w:val="0"/>
        <w:spacing w:before="0" w:after="0" w:line="240" w:lineRule="auto"/>
        <w:ind w:left="0" w:leftChars="0" w:right="0" w:rightChars="0" w:firstLine="640" w:firstLineChars="200"/>
        <w:textAlignment w:val="auto"/>
        <w:rPr>
          <w:rFonts w:ascii="黑体" w:hAnsi="黑体" w:eastAsia="黑体" w:cs="黑体"/>
          <w:b w:val="0"/>
          <w:bCs w:val="0"/>
          <w:color w:val="000000" w:themeColor="text1"/>
          <w:highlight w:val="none"/>
          <w14:textFill>
            <w14:solidFill>
              <w14:schemeClr w14:val="tx1"/>
            </w14:solidFill>
          </w14:textFill>
        </w:rPr>
      </w:pPr>
      <w:r>
        <w:rPr>
          <w:rFonts w:hint="eastAsia" w:ascii="黑体" w:hAnsi="黑体" w:eastAsia="黑体" w:cs="黑体"/>
          <w:b w:val="0"/>
          <w:bCs w:val="0"/>
          <w:color w:val="000000" w:themeColor="text1"/>
          <w:highlight w:val="none"/>
          <w14:textFill>
            <w14:solidFill>
              <w14:schemeClr w14:val="tx1"/>
            </w14:solidFill>
          </w14:textFill>
        </w:rPr>
        <w:t>第四章 参赛资格与报名</w:t>
      </w:r>
    </w:p>
    <w:p>
      <w:pPr>
        <w:pStyle w:val="11"/>
        <w:keepNext w:val="0"/>
        <w:keepLines w:val="0"/>
        <w:pageBreakBefore w:val="0"/>
        <w:kinsoku/>
        <w:wordWrap/>
        <w:topLinePunct w:val="0"/>
        <w:bidi w:val="0"/>
        <w:spacing w:line="240" w:lineRule="auto"/>
        <w:ind w:left="0" w:leftChars="0" w:right="0" w:rightChars="0"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第十一条 球队</w:t>
      </w:r>
      <w:r>
        <w:rPr>
          <w:rFonts w:hint="eastAsia" w:ascii="黑体" w:hAnsi="黑体" w:eastAsia="黑体" w:cs="黑体"/>
          <w:color w:val="000000" w:themeColor="text1"/>
          <w:sz w:val="32"/>
          <w:szCs w:val="32"/>
          <w:highlight w:val="none"/>
          <w14:textFill>
            <w14:solidFill>
              <w14:schemeClr w14:val="tx1"/>
            </w14:solidFill>
          </w14:textFill>
        </w:rPr>
        <w:t>参赛资格</w:t>
      </w:r>
    </w:p>
    <w:p>
      <w:pPr>
        <w:pStyle w:val="11"/>
        <w:keepNext w:val="0"/>
        <w:keepLines w:val="0"/>
        <w:pageBreakBefore w:val="0"/>
        <w:kinsoku/>
        <w:wordWrap/>
        <w:topLinePunct w:val="0"/>
        <w:bidi w:val="0"/>
        <w:spacing w:line="24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pacing w:val="0"/>
          <w:w w:val="100"/>
          <w:position w:val="0"/>
          <w:sz w:val="32"/>
          <w:szCs w:val="32"/>
          <w:highlight w:val="none"/>
          <w:lang w:val="en-US" w:eastAsia="zh-CN" w:bidi="zh-CN"/>
          <w14:textFill>
            <w14:solidFill>
              <w14:schemeClr w14:val="tx1"/>
            </w14:solidFill>
          </w14:textFill>
        </w:rPr>
        <w:t>参赛队</w:t>
      </w:r>
      <w:r>
        <w:rPr>
          <w:rFonts w:hint="eastAsia" w:ascii="仿宋_GB2312" w:hAnsi="仿宋" w:eastAsia="仿宋_GB2312"/>
          <w:color w:val="000000"/>
          <w:sz w:val="32"/>
          <w:szCs w:val="32"/>
        </w:rPr>
        <w:t>以区为单位组队参加</w:t>
      </w:r>
      <w:r>
        <w:rPr>
          <w:rFonts w:hint="eastAsia" w:ascii="仿宋_GB2312" w:hAnsi="仿宋" w:eastAsia="仿宋_GB2312"/>
          <w:color w:val="000000"/>
          <w:sz w:val="32"/>
          <w:szCs w:val="32"/>
          <w:lang w:eastAsia="zh-CN"/>
        </w:rPr>
        <w:t>，</w:t>
      </w:r>
      <w:r>
        <w:rPr>
          <w:rFonts w:hint="eastAsia" w:ascii="仿宋_GB2312" w:hAnsi="仿宋_GB2312" w:eastAsia="仿宋_GB2312" w:cs="仿宋_GB2312"/>
          <w:color w:val="000000"/>
          <w:sz w:val="32"/>
          <w:szCs w:val="32"/>
        </w:rPr>
        <w:t>各区每个组别可分别派出</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支队伍参赛</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snapToGri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第十二条 球员</w:t>
      </w:r>
      <w:r>
        <w:rPr>
          <w:rFonts w:hint="eastAsia" w:ascii="黑体" w:hAnsi="黑体" w:eastAsia="黑体" w:cs="黑体"/>
          <w:color w:val="000000" w:themeColor="text1"/>
          <w:sz w:val="32"/>
          <w:szCs w:val="32"/>
          <w:highlight w:val="none"/>
          <w14:textFill>
            <w14:solidFill>
              <w14:schemeClr w14:val="tx1"/>
            </w14:solidFill>
          </w14:textFill>
        </w:rPr>
        <w:t>参赛资格</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一、每人只能代表一支队伍参加一个组别比赛。</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二、球员资格：</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参赛球员须为中华人民共和国公民；</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球员符合以下几种情况，均可参赛：</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1.北京市户籍，在北京市就读，并完成北京市学籍登记；</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2.北京市集体户籍，在北京市就读，并完成北京市学籍登记；</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3.非北京市户籍，在北京市就读，并完成北京市学籍登记；</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已输送到市级体校二级运动班并在</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2024年2月前在北京市足协</w:t>
      </w: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完成注册的适龄球员，须提供二级班转入证明及球员注册记录，方</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可</w:t>
      </w: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代表原输送单位参加比赛。</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三、男子组中，具有北京市</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学籍</w:t>
      </w: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并输送到</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职业俱乐部梯队</w:t>
      </w: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的注册适龄球员，</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可</w:t>
      </w: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代表原输送单位参加比赛。</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四、参赛球员必须与代表球队签署参赛承诺书，本年度报名完成后，不得更换参赛球队，不得冒名顶替弄虚作假，一经发现核实后，取消该队比赛资格及全部比赛成绩。</w:t>
      </w:r>
    </w:p>
    <w:p>
      <w:pPr>
        <w:keepNext w:val="0"/>
        <w:keepLines w:val="0"/>
        <w:pageBreakBefore w:val="0"/>
        <w:kinsoku/>
        <w:wordWrap/>
        <w:overflowPunct/>
        <w:topLinePunct w:val="0"/>
        <w:autoSpaceDE/>
        <w:autoSpaceDN/>
        <w:bidi w:val="0"/>
        <w:snapToGrid w:val="0"/>
        <w:spacing w:line="240" w:lineRule="auto"/>
        <w:ind w:left="0" w:leftChars="0" w:right="0" w:rightChars="0" w:firstLine="640" w:firstLineChars="200"/>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snapToGrid w:val="0"/>
        <w:spacing w:line="240" w:lineRule="auto"/>
        <w:ind w:left="0" w:leftChars="0" w:right="0" w:rightChars="0" w:firstLine="640" w:firstLineChars="200"/>
        <w:textAlignment w:val="auto"/>
        <w:rPr>
          <w:rFonts w:ascii="仿宋_GB2312" w:hAnsi="仿宋_GB2312" w:eastAsia="仿宋_GB2312" w:cs="仿宋_GB2312"/>
          <w:color w:val="000000" w:themeColor="text1"/>
          <w:sz w:val="32"/>
          <w:szCs w:val="32"/>
          <w:highlight w:val="none"/>
          <w:lang w:val="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第十三条 </w:t>
      </w:r>
      <w:r>
        <w:rPr>
          <w:rFonts w:hint="eastAsia" w:ascii="黑体" w:hAnsi="黑体" w:eastAsia="黑体" w:cs="黑体"/>
          <w:color w:val="000000" w:themeColor="text1"/>
          <w:sz w:val="32"/>
          <w:szCs w:val="32"/>
          <w:highlight w:val="none"/>
          <w:lang w:val="zh-CN"/>
          <w14:textFill>
            <w14:solidFill>
              <w14:schemeClr w14:val="tx1"/>
            </w14:solidFill>
          </w14:textFill>
        </w:rPr>
        <w:t>教练员</w:t>
      </w:r>
      <w:r>
        <w:rPr>
          <w:rFonts w:hint="eastAsia" w:ascii="黑体" w:hAnsi="黑体" w:eastAsia="黑体" w:cs="黑体"/>
          <w:color w:val="000000" w:themeColor="text1"/>
          <w:sz w:val="32"/>
          <w:szCs w:val="32"/>
          <w:highlight w:val="none"/>
          <w14:textFill>
            <w14:solidFill>
              <w14:schemeClr w14:val="tx1"/>
            </w14:solidFill>
          </w14:textFill>
        </w:rPr>
        <w:t>参赛</w:t>
      </w:r>
      <w:r>
        <w:rPr>
          <w:rFonts w:hint="eastAsia" w:ascii="黑体" w:hAnsi="黑体" w:eastAsia="黑体" w:cs="黑体"/>
          <w:color w:val="000000" w:themeColor="text1"/>
          <w:sz w:val="32"/>
          <w:szCs w:val="32"/>
          <w:highlight w:val="none"/>
          <w:lang w:val="zh-CN"/>
          <w14:textFill>
            <w14:solidFill>
              <w14:schemeClr w14:val="tx1"/>
            </w14:solidFill>
          </w14:textFill>
        </w:rPr>
        <w:t>资格</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一、2023年在北京市足球运动协会教练员管理系统完成年度注册。</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主教练应具备不低于</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中国足协C</w:t>
      </w: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级教练员资质。</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助理教练应具备不低于中国足协</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D</w:t>
      </w: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级教练员资质。</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四、</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处在中国足协、北京市足协纪律处罚停赛期内的人员不得参赛。</w:t>
      </w:r>
    </w:p>
    <w:p>
      <w:pPr>
        <w:pStyle w:val="11"/>
        <w:keepNext w:val="0"/>
        <w:keepLines w:val="0"/>
        <w:pageBreakBefore w:val="0"/>
        <w:kinsoku/>
        <w:wordWrap/>
        <w:topLinePunct w:val="0"/>
        <w:bidi w:val="0"/>
        <w:spacing w:line="240" w:lineRule="auto"/>
        <w:ind w:left="0" w:leftChars="0" w:right="0" w:rightChars="0" w:firstLine="640" w:firstLineChars="200"/>
        <w:textAlignment w:val="auto"/>
        <w:rPr>
          <w:rFonts w:ascii="黑体" w:hAnsi="黑体" w:eastAsia="黑体" w:cs="黑体"/>
          <w:color w:val="000000" w:themeColor="text1"/>
          <w:sz w:val="32"/>
          <w:szCs w:val="32"/>
          <w:highlight w:val="none"/>
          <w:lang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第十四条 报名</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一、须通过组委会指定报名系统http://baiduicup.com/在电脑端完成赛事报名。</w:t>
      </w:r>
    </w:p>
    <w:p>
      <w:pPr>
        <w:keepNext w:val="0"/>
        <w:keepLines w:val="0"/>
        <w:pageBreakBefore w:val="0"/>
        <w:shd w:val="clear"/>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报名及咨询时间：3月12日9:00至14日18:00。</w:t>
      </w:r>
    </w:p>
    <w:p>
      <w:pPr>
        <w:keepNext w:val="0"/>
        <w:keepLines w:val="0"/>
        <w:pageBreakBefore w:val="0"/>
        <w:shd w:val="clear"/>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咨询电话：010-63049707、16601215714。</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比赛为一次性报名，逾期不予受理，球员名单、球衣号码一经确认不得更改，未报足名额不得补报。</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每队须报赛风赛纪责任人1名，由区体育局、体校或区足协相关负责人担任；须报领队1名；教练2-4名；球员16—25人；参赛队可报队医1名，须持有医师资格证书或国家体育总局、中国足协举办的队医培训班合格证书；若参赛队教练组中含外籍教练员，可增设专职翻译1人。</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三、报名教练员在同一组别只能执教一支球队。</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四、报名须提交的信息与材料：</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（一）球队报名者须是球队官员，并作为第一责任人按要求填写上传球队名称、联系电话、人员信息等所有报名资料。</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shd w:val="clear"/>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32"/>
          <w:szCs w:val="32"/>
          <w:highlight w:val="none"/>
          <w:shd w:val="clear"/>
          <w:lang w:val="en-US" w:eastAsia="zh-CN"/>
          <w14:textFill>
            <w14:solidFill>
              <w14:schemeClr w14:val="tx1"/>
            </w14:solidFill>
          </w14:textFill>
        </w:rPr>
        <w:t>报名球员和球队官员须提交真实有效的证件原件：中华人民共和国居民提供身份证原件；</w:t>
      </w:r>
      <w:r>
        <w:rPr>
          <w:rFonts w:hint="eastAsia" w:ascii="仿宋_GB2312" w:hAnsi="仿宋_GB2312" w:eastAsia="仿宋_GB2312" w:cs="仿宋_GB2312"/>
          <w:color w:val="000000" w:themeColor="text1"/>
          <w:kern w:val="0"/>
          <w:sz w:val="32"/>
          <w:szCs w:val="32"/>
          <w:highlight w:val="none"/>
          <w:shd w:val="clear"/>
          <w:lang w:val="zh-CN" w:eastAsia="zh-CN"/>
          <w14:textFill>
            <w14:solidFill>
              <w14:schemeClr w14:val="tx1"/>
            </w14:solidFill>
          </w14:textFill>
        </w:rPr>
        <w:t>港、澳地区人员须提供中华人民共和国港澳居民居住证、港澳居民来往内地通行证或护照证件原件；台湾地区人员须提供中华人民共和国台湾居民居住证、台湾居民来往大陆通行证或护照证件原件</w:t>
      </w:r>
      <w:r>
        <w:rPr>
          <w:rFonts w:hint="eastAsia" w:ascii="仿宋_GB2312" w:hAnsi="仿宋_GB2312" w:eastAsia="仿宋_GB2312" w:cs="仿宋_GB2312"/>
          <w:color w:val="000000" w:themeColor="text1"/>
          <w:kern w:val="0"/>
          <w:sz w:val="32"/>
          <w:szCs w:val="32"/>
          <w:highlight w:val="none"/>
          <w:shd w:val="clear"/>
          <w:lang w:val="en-US" w:eastAsia="zh-CN"/>
          <w14:textFill>
            <w14:solidFill>
              <w14:schemeClr w14:val="tx1"/>
            </w14:solidFill>
          </w14:textFill>
        </w:rPr>
        <w:t>；外籍人士须提交护照原件。</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（三）需上传材料：</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1.所有人员须上传</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（1）白底近半年内免冠电子证件照（2MB以下，JPG或PNG格式）；</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（2）人身意外伤害保险单（包括但不限于住院和外科手术等，险种应当为足球比赛相匹配适应的险种）；</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（3）球员自愿参赛声明</w:t>
      </w: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（官员、球员监护人须手写签字并加盖体育局公章，见附件）。</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2.教练员须上传注册执照或等级证书。</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3.球员须上传与规程相符的学籍证明（学生卡或学籍证明）或户籍证明或二级班入学证明及注册记录。</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4.队医须上传医务人员岗位培训证书或相关医学资质证明。</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5.赛风赛纪责任人须上传球队参赛承诺书</w:t>
      </w:r>
      <w:r>
        <w:rPr>
          <w:rFonts w:hint="eastAsia" w:ascii="仿宋_GB2312" w:hAnsi="仿宋_GB2312" w:eastAsia="仿宋_GB2312" w:cs="仿宋_GB2312"/>
          <w:color w:val="000000" w:themeColor="text1"/>
          <w:kern w:val="0"/>
          <w:sz w:val="32"/>
          <w:szCs w:val="32"/>
          <w:highlight w:val="none"/>
          <w:lang w:val="zh-CN" w:eastAsia="zh-CN"/>
          <w14:textFill>
            <w14:solidFill>
              <w14:schemeClr w14:val="tx1"/>
            </w14:solidFill>
          </w14:textFill>
        </w:rPr>
        <w:t>（加盖体育局公章，见附件）。</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（四）整队资料填写完毕后统一提交审核，审核合格后不得更改，如因报名材料未在报名规定时间内按照要求提交导致报名不成功无法参赛的，由球队自行承担后果。</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（五）参赛球员的姓名、有效证件号码必须与证件一致，在报名时必须确定比赛号码，组委会将在赛前联席会议再次与球队确认比赛号码，比赛期间不得更换，比赛时参赛球员号码与报名时不符不得上场比赛。</w:t>
      </w:r>
    </w:p>
    <w:p>
      <w:pPr>
        <w:keepNext w:val="0"/>
        <w:keepLines w:val="0"/>
        <w:pageBreakBefore w:val="0"/>
        <w:kinsoku/>
        <w:wordWrap/>
        <w:overflowPunct w:val="0"/>
        <w:topLinePunct w:val="0"/>
        <w:bidi w:val="0"/>
        <w:spacing w:line="240" w:lineRule="auto"/>
        <w:ind w:left="0" w:leftChars="0" w:right="0" w:rightChars="0" w:firstLine="640" w:firstLineChars="200"/>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w:t>
      </w:r>
      <w:r>
        <w:rPr>
          <w:rFonts w:hint="eastAsia" w:ascii="黑体" w:hAnsi="黑体" w:eastAsia="黑体" w:cs="黑体"/>
          <w:color w:val="000000" w:themeColor="text1"/>
          <w:sz w:val="32"/>
          <w:szCs w:val="32"/>
          <w:highlight w:val="none"/>
          <w:lang w:val="en-US" w:eastAsia="zh-CN"/>
          <w14:textFill>
            <w14:solidFill>
              <w14:schemeClr w14:val="tx1"/>
            </w14:solidFill>
          </w14:textFill>
        </w:rPr>
        <w:t>五</w:t>
      </w:r>
      <w:r>
        <w:rPr>
          <w:rFonts w:hint="eastAsia" w:ascii="黑体" w:hAnsi="黑体" w:eastAsia="黑体" w:cs="黑体"/>
          <w:color w:val="000000" w:themeColor="text1"/>
          <w:sz w:val="32"/>
          <w:szCs w:val="32"/>
          <w:highlight w:val="none"/>
          <w14:textFill>
            <w14:solidFill>
              <w14:schemeClr w14:val="tx1"/>
            </w14:solidFill>
          </w14:textFill>
        </w:rPr>
        <w:t>条 资格问题、</w:t>
      </w:r>
      <w:r>
        <w:rPr>
          <w:rFonts w:hint="eastAsia" w:ascii="黑体" w:hAnsi="黑体" w:eastAsia="黑体" w:cs="黑体"/>
          <w:bCs/>
          <w:color w:val="000000" w:themeColor="text1"/>
          <w:sz w:val="32"/>
          <w:szCs w:val="32"/>
          <w:highlight w:val="none"/>
          <w14:textFill>
            <w14:solidFill>
              <w14:schemeClr w14:val="tx1"/>
            </w14:solidFill>
          </w14:textFill>
        </w:rPr>
        <w:t>弃权和罢赛</w:t>
      </w:r>
    </w:p>
    <w:p>
      <w:pPr>
        <w:keepNext w:val="0"/>
        <w:keepLines w:val="0"/>
        <w:pageBreakBefore w:val="0"/>
        <w:kinsoku/>
        <w:wordWrap/>
        <w:topLinePunct w:val="0"/>
        <w:bidi w:val="0"/>
        <w:spacing w:line="240" w:lineRule="auto"/>
        <w:ind w:left="0" w:leftChars="0" w:right="0" w:rightChars="0" w:firstLine="640" w:firstLineChars="200"/>
        <w:textAlignment w:val="auto"/>
        <w:rPr>
          <w:rFonts w:ascii="仿宋_GB2312" w:hAnsi="仿宋_GB2312" w:eastAsia="仿宋_GB2312" w:cs="仿宋_GB2312"/>
          <w:color w:val="000000" w:themeColor="text1"/>
          <w:kern w:val="0"/>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一、</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出现弄虚作假、冒名顶替等资格问题属于违规违纪行为，一经核实，立即取消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球队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比赛资格，并扣除纪律保证金。出现资格问题球队</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全部比赛比分均计对方3:0获胜，如果比赛实际比分超过3:0</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则以当时实际结果为准。</w:t>
      </w:r>
    </w:p>
    <w:p>
      <w:pPr>
        <w:keepNext w:val="0"/>
        <w:keepLines w:val="0"/>
        <w:pageBreakBefore w:val="0"/>
        <w:tabs>
          <w:tab w:val="left" w:pos="1640"/>
        </w:tabs>
        <w:kinsoku/>
        <w:wordWrap/>
        <w:topLinePunct w:val="0"/>
        <w:bidi w:val="0"/>
        <w:spacing w:line="240" w:lineRule="auto"/>
        <w:ind w:left="0" w:leftChars="0" w:right="0" w:rightChars="0" w:firstLine="640" w:firstLineChars="200"/>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、处在停赛期或正在诉讼过程中</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等</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尚未被允许参赛的球员，参加了比赛，该队此场比赛按弃权处理</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keepNext w:val="0"/>
        <w:keepLines w:val="0"/>
        <w:pageBreakBefore w:val="0"/>
        <w:kinsoku/>
        <w:wordWrap/>
        <w:overflowPunct w:val="0"/>
        <w:topLinePunct w:val="0"/>
        <w:bidi w:val="0"/>
        <w:spacing w:line="240" w:lineRule="auto"/>
        <w:ind w:left="0" w:leftChars="0" w:right="0" w:rightChars="0"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、超过比赛开球时间5分钟，参赛球队有以下情况，视为本场比赛弃权</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val="0"/>
        <w:topLinePunct w:val="0"/>
        <w:bidi w:val="0"/>
        <w:spacing w:line="240" w:lineRule="auto"/>
        <w:ind w:left="0" w:leftChars="0" w:right="0" w:rightChars="0"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（一）</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到场</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球员少于</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人</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val="0"/>
        <w:topLinePunct w:val="0"/>
        <w:bidi w:val="0"/>
        <w:spacing w:line="240" w:lineRule="auto"/>
        <w:ind w:left="0" w:leftChars="0" w:right="0" w:rightChars="0"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（二）球队</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报名的所有比赛</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官员到场人数少于</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人</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到场但未带</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证件</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原件视为未到场</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pStyle w:val="2"/>
        <w:keepNext w:val="0"/>
        <w:keepLines w:val="0"/>
        <w:pageBreakBefore w:val="0"/>
        <w:kinsoku/>
        <w:wordWrap/>
        <w:topLinePunct w:val="0"/>
        <w:bidi w:val="0"/>
        <w:spacing w:line="240" w:lineRule="auto"/>
        <w:ind w:left="0" w:leftChars="0" w:right="0" w:rightChars="0" w:firstLine="640" w:firstLineChars="200"/>
        <w:textAlignment w:val="auto"/>
        <w:rPr>
          <w:rFonts w:hint="eastAsia"/>
          <w:lang w:eastAsia="zh-CN"/>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（三）球队报名的赛风赛纪责任人、球队领队均未到场。</w:t>
      </w:r>
    </w:p>
    <w:p>
      <w:pPr>
        <w:keepNext w:val="0"/>
        <w:keepLines w:val="0"/>
        <w:pageBreakBefore w:val="0"/>
        <w:kinsoku/>
        <w:wordWrap/>
        <w:overflowPunct w:val="0"/>
        <w:topLinePunct w:val="0"/>
        <w:bidi w:val="0"/>
        <w:spacing w:line="240" w:lineRule="auto"/>
        <w:ind w:left="0" w:leftChars="0" w:right="0" w:rightChars="0"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四</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）未携带</w:t>
      </w:r>
      <w:r>
        <w:rPr>
          <w:rFonts w:hint="eastAsia" w:ascii="仿宋_GB2312" w:hAnsi="仿宋_GB2312" w:eastAsia="仿宋_GB2312" w:cs="仿宋_GB2312"/>
          <w:color w:val="000000" w:themeColor="text1"/>
          <w:sz w:val="32"/>
          <w:szCs w:val="32"/>
          <w:highlight w:val="none"/>
          <w14:textFill>
            <w14:solidFill>
              <w14:schemeClr w14:val="tx1"/>
            </w14:solidFill>
          </w14:textFill>
        </w:rPr>
        <w:t>款式统一的深、浅两套</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比赛服，</w:t>
      </w:r>
      <w:r>
        <w:rPr>
          <w:rFonts w:hint="eastAsia" w:ascii="仿宋_GB2312" w:hAnsi="仿宋_GB2312" w:eastAsia="仿宋_GB2312" w:cs="仿宋_GB2312"/>
          <w:color w:val="000000" w:themeColor="text1"/>
          <w:sz w:val="32"/>
          <w:szCs w:val="32"/>
          <w:highlight w:val="none"/>
          <w14:textFill>
            <w14:solidFill>
              <w14:schemeClr w14:val="tx1"/>
            </w14:solidFill>
          </w14:textFill>
        </w:rPr>
        <w:t>包括深、浅两套球袜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导致</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不具备开球条件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val="0"/>
        <w:topLinePunct w:val="0"/>
        <w:bidi w:val="0"/>
        <w:spacing w:line="240" w:lineRule="auto"/>
        <w:ind w:left="0" w:leftChars="0" w:right="0" w:rightChars="0" w:firstLine="640" w:firstLineChars="200"/>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五</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）其他</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造成</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不具备开球条件</w:t>
      </w:r>
      <w:r>
        <w:rPr>
          <w:rFonts w:hint="eastAsia" w:ascii="仿宋_GB2312" w:hAnsi="仿宋_GB2312" w:eastAsia="仿宋_GB2312" w:cs="仿宋_GB2312"/>
          <w:bCs/>
          <w:color w:val="000000" w:themeColor="text1"/>
          <w:kern w:val="0"/>
          <w:sz w:val="32"/>
          <w:szCs w:val="32"/>
          <w:highlight w:val="none"/>
          <w14:textFill>
            <w14:solidFill>
              <w14:schemeClr w14:val="tx1"/>
            </w14:solidFill>
          </w14:textFill>
        </w:rPr>
        <w:t>等情况。</w:t>
      </w:r>
    </w:p>
    <w:p>
      <w:pPr>
        <w:keepNext w:val="0"/>
        <w:keepLines w:val="0"/>
        <w:pageBreakBefore w:val="0"/>
        <w:kinsoku/>
        <w:wordWrap/>
        <w:overflowPunct w:val="0"/>
        <w:topLinePunct w:val="0"/>
        <w:bidi w:val="0"/>
        <w:spacing w:line="240" w:lineRule="auto"/>
        <w:ind w:left="0" w:leftChars="0" w:right="0" w:rightChars="0"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14:textFill>
            <w14:solidFill>
              <w14:schemeClr w14:val="tx1"/>
            </w14:solidFill>
          </w14:textFill>
        </w:rPr>
        <w:t>、如参赛队因为自身原因无法参赛即为弃权，应提前通知组委会。</w:t>
      </w:r>
    </w:p>
    <w:p>
      <w:pPr>
        <w:keepNext w:val="0"/>
        <w:keepLines w:val="0"/>
        <w:pageBreakBefore w:val="0"/>
        <w:kinsoku/>
        <w:wordWrap/>
        <w:overflowPunct w:val="0"/>
        <w:topLinePunct w:val="0"/>
        <w:bidi w:val="0"/>
        <w:spacing w:line="240" w:lineRule="auto"/>
        <w:ind w:left="0" w:leftChars="0" w:right="0" w:rightChars="0" w:firstLine="640" w:firstLineChars="200"/>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、弃权的处理</w:t>
      </w:r>
    </w:p>
    <w:p>
      <w:pPr>
        <w:keepNext w:val="0"/>
        <w:keepLines w:val="0"/>
        <w:pageBreakBefore w:val="0"/>
        <w:shd w:val="clear"/>
        <w:tabs>
          <w:tab w:val="left" w:pos="1640"/>
        </w:tabs>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一方球队比赛弃权，另一方球队以3:0获胜，</w:t>
      </w:r>
      <w:r>
        <w:rPr>
          <w:rFonts w:hint="eastAsia" w:ascii="仿宋_GB2312" w:hAnsi="仿宋_GB2312" w:eastAsia="仿宋_GB2312" w:cs="仿宋_GB2312"/>
          <w:color w:val="000000"/>
          <w:sz w:val="32"/>
          <w:szCs w:val="32"/>
          <w:highlight w:val="none"/>
        </w:rPr>
        <w:t>弃权一场比赛取消该队全部</w:t>
      </w:r>
      <w:r>
        <w:rPr>
          <w:rFonts w:hint="eastAsia" w:ascii="仿宋_GB2312" w:hAnsi="仿宋_GB2312" w:eastAsia="仿宋_GB2312" w:cs="仿宋_GB2312"/>
          <w:color w:val="000000"/>
          <w:sz w:val="32"/>
          <w:szCs w:val="32"/>
          <w:highlight w:val="none"/>
          <w:lang w:eastAsia="zh-CN"/>
        </w:rPr>
        <w:t>比赛</w:t>
      </w:r>
      <w:r>
        <w:rPr>
          <w:rFonts w:hint="eastAsia" w:ascii="仿宋_GB2312" w:hAnsi="仿宋_GB2312" w:eastAsia="仿宋_GB2312" w:cs="仿宋_GB2312"/>
          <w:color w:val="000000"/>
          <w:sz w:val="32"/>
          <w:szCs w:val="32"/>
          <w:highlight w:val="none"/>
        </w:rPr>
        <w:t>成绩</w:t>
      </w:r>
      <w:r>
        <w:rPr>
          <w:rFonts w:hint="eastAsia" w:ascii="仿宋_GB2312" w:hAnsi="仿宋_GB2312" w:eastAsia="仿宋_GB2312" w:cs="仿宋_GB2312"/>
          <w:color w:val="000000"/>
          <w:sz w:val="32"/>
          <w:szCs w:val="32"/>
          <w:highlight w:val="none"/>
          <w:lang w:eastAsia="zh-CN"/>
        </w:rPr>
        <w:t>，所有比赛比分均计对方</w:t>
      </w:r>
      <w:r>
        <w:rPr>
          <w:rFonts w:hint="eastAsia" w:ascii="仿宋_GB2312" w:hAnsi="仿宋_GB2312" w:eastAsia="仿宋_GB2312" w:cs="仿宋_GB2312"/>
          <w:color w:val="000000"/>
          <w:sz w:val="32"/>
          <w:szCs w:val="32"/>
          <w:highlight w:val="none"/>
          <w:lang w:val="en-US" w:eastAsia="zh-CN"/>
        </w:rPr>
        <w:t>3:0获胜（</w:t>
      </w:r>
      <w:r>
        <w:rPr>
          <w:rFonts w:hint="eastAsia" w:ascii="仿宋_GB2312" w:hAnsi="仿宋_GB2312" w:eastAsia="仿宋_GB2312" w:cs="仿宋_GB2312"/>
          <w:color w:val="000000"/>
          <w:sz w:val="32"/>
          <w:szCs w:val="32"/>
          <w:highlight w:val="none"/>
          <w:lang w:eastAsia="zh-CN"/>
        </w:rPr>
        <w:t>无论比赛是否已经进行</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lang w:eastAsia="zh-CN"/>
        </w:rPr>
        <w:t>。未进入淘汰赛的球队不予递补</w:t>
      </w:r>
      <w:r>
        <w:rPr>
          <w:rFonts w:hint="eastAsia" w:ascii="仿宋_GB2312" w:hAnsi="仿宋_GB2312" w:eastAsia="仿宋_GB2312" w:cs="仿宋_GB2312"/>
          <w:color w:val="000000"/>
          <w:sz w:val="32"/>
          <w:szCs w:val="32"/>
          <w:highlight w:val="none"/>
        </w:rPr>
        <w:t>。</w:t>
      </w:r>
    </w:p>
    <w:p>
      <w:pPr>
        <w:keepNext w:val="0"/>
        <w:keepLines w:val="0"/>
        <w:pageBreakBefore w:val="0"/>
        <w:tabs>
          <w:tab w:val="left" w:pos="1640"/>
        </w:tabs>
        <w:kinsoku/>
        <w:wordWrap/>
        <w:topLinePunct w:val="0"/>
        <w:bidi w:val="0"/>
        <w:spacing w:line="240" w:lineRule="auto"/>
        <w:ind w:left="0" w:leftChars="0" w:right="0" w:rightChars="0" w:firstLine="640" w:firstLineChars="200"/>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、罢赛行为</w:t>
      </w:r>
    </w:p>
    <w:p>
      <w:pPr>
        <w:keepNext w:val="0"/>
        <w:keepLines w:val="0"/>
        <w:pageBreakBefore w:val="0"/>
        <w:kinsoku/>
        <w:wordWrap/>
        <w:overflowPunct w:val="0"/>
        <w:topLinePunct w:val="0"/>
        <w:bidi w:val="0"/>
        <w:spacing w:line="240" w:lineRule="auto"/>
        <w:ind w:left="0" w:leftChars="0" w:right="0" w:rightChars="0"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并非因组委会认可的不可抗拒原因，且未获得批准，未参加赛程规定的比赛</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拒绝参加补赛或改期的比赛</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kinsoku/>
        <w:wordWrap/>
        <w:topLinePunct w:val="0"/>
        <w:bidi w:val="0"/>
        <w:spacing w:line="240" w:lineRule="auto"/>
        <w:ind w:left="0" w:leftChars="0" w:right="0" w:rightChars="0" w:firstLine="640" w:firstLineChars="200"/>
        <w:textAlignment w:val="auto"/>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拒绝按照裁判员要求，在5分钟内恢复中断的比赛或者在比赛结束前擅自离开比赛场地</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p>
    <w:p>
      <w:pPr>
        <w:keepNext w:val="0"/>
        <w:keepLines w:val="0"/>
        <w:pageBreakBefore w:val="0"/>
        <w:kinsoku/>
        <w:wordWrap/>
        <w:topLinePunct w:val="0"/>
        <w:bidi w:val="0"/>
        <w:spacing w:line="240" w:lineRule="auto"/>
        <w:ind w:left="0" w:leftChars="0" w:right="0" w:rightChars="0" w:firstLine="640" w:firstLineChars="200"/>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未经组委会同意，</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中途退出</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赛事</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w:t>
      </w:r>
    </w:p>
    <w:p>
      <w:pPr>
        <w:keepNext w:val="0"/>
        <w:keepLines w:val="0"/>
        <w:pageBreakBefore w:val="0"/>
        <w:kinsoku/>
        <w:wordWrap/>
        <w:topLinePunct w:val="0"/>
        <w:bidi w:val="0"/>
        <w:spacing w:line="240" w:lineRule="auto"/>
        <w:ind w:left="0" w:leftChars="0" w:right="0" w:rightChars="0" w:firstLine="640" w:firstLineChars="200"/>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七</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、罢赛的处理</w:t>
      </w:r>
    </w:p>
    <w:p>
      <w:pPr>
        <w:keepNext w:val="0"/>
        <w:keepLines w:val="0"/>
        <w:pageBreakBefore w:val="0"/>
        <w:kinsoku/>
        <w:wordWrap/>
        <w:topLinePunct w:val="0"/>
        <w:bidi w:val="0"/>
        <w:spacing w:line="240" w:lineRule="auto"/>
        <w:ind w:left="0" w:leftChars="0" w:right="0" w:rightChars="0" w:firstLine="640" w:firstLineChars="200"/>
        <w:textAlignment w:val="auto"/>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罢赛的球队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立即取消</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球队</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比赛资格。</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小组赛阶段，</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罢赛球队</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比分均计对方3</w:t>
      </w: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0获胜（无论比赛是否已经进行）。淘汰赛阶段，取消罢赛球队比赛成绩，其他球队名次不</w:t>
      </w:r>
      <w:r>
        <w:rPr>
          <w:rFonts w:hint="eastAsia" w:ascii="仿宋_GB2312" w:hAnsi="仿宋_GB2312" w:eastAsia="仿宋_GB2312" w:cs="仿宋_GB2312"/>
          <w:color w:val="000000"/>
          <w:sz w:val="32"/>
          <w:szCs w:val="32"/>
          <w:highlight w:val="none"/>
          <w:lang w:eastAsia="zh-CN"/>
        </w:rPr>
        <w:t>予</w:t>
      </w:r>
      <w:r>
        <w:rPr>
          <w:rFonts w:hint="eastAsia" w:ascii="仿宋_GB2312" w:hAnsi="仿宋_GB2312" w:eastAsia="仿宋_GB2312" w:cs="仿宋_GB2312"/>
          <w:color w:val="000000" w:themeColor="text1"/>
          <w:kern w:val="0"/>
          <w:sz w:val="32"/>
          <w:szCs w:val="32"/>
          <w:highlight w:val="none"/>
          <w:lang w:eastAsia="zh-CN"/>
          <w14:textFill>
            <w14:solidFill>
              <w14:schemeClr w14:val="tx1"/>
            </w14:solidFill>
          </w14:textFill>
        </w:rPr>
        <w:t>递补。</w:t>
      </w:r>
      <w:r>
        <w:rPr>
          <w:rFonts w:hint="eastAsia" w:ascii="仿宋_GB2312" w:hAnsi="仿宋_GB2312" w:eastAsia="仿宋_GB2312" w:cs="仿宋_GB2312"/>
          <w:color w:val="000000"/>
          <w:sz w:val="32"/>
          <w:szCs w:val="32"/>
          <w:highlight w:val="none"/>
          <w:lang w:eastAsia="zh-CN"/>
        </w:rPr>
        <w:t>未进入淘汰赛的球队不予递补</w:t>
      </w:r>
      <w:r>
        <w:rPr>
          <w:rFonts w:hint="eastAsia" w:ascii="仿宋_GB2312" w:hAnsi="仿宋_GB2312" w:eastAsia="仿宋_GB2312" w:cs="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八</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、出现资格问题、罢赛等被取消比赛资格的球队，</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如发生在赛事</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开始前，</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则该球队所有比赛取消，不做记录。</w:t>
      </w:r>
    </w:p>
    <w:p>
      <w:pPr>
        <w:keepNext w:val="0"/>
        <w:keepLines w:val="0"/>
        <w:pageBreakBefore w:val="0"/>
        <w:kinsoku/>
        <w:wordWrap/>
        <w:topLinePunct w:val="0"/>
        <w:bidi w:val="0"/>
        <w:spacing w:line="240" w:lineRule="auto"/>
        <w:ind w:left="0" w:leftChars="0" w:right="0" w:rightChars="0" w:firstLine="640" w:firstLineChars="200"/>
        <w:textAlignment w:val="auto"/>
        <w:rPr>
          <w:rFonts w:ascii="黑体" w:hAnsi="黑体" w:eastAsia="黑体" w:cs="黑体"/>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九、</w:t>
      </w:r>
      <w:r>
        <w:rPr>
          <w:rFonts w:hint="eastAsia" w:ascii="仿宋_GB2312" w:hAnsi="仿宋_GB2312" w:eastAsia="仿宋_GB2312" w:cs="仿宋_GB2312"/>
          <w:color w:val="000000" w:themeColor="text1"/>
          <w:sz w:val="32"/>
          <w:szCs w:val="32"/>
          <w:highlight w:val="none"/>
          <w14:textFill>
            <w14:solidFill>
              <w14:schemeClr w14:val="tx1"/>
            </w14:solidFill>
          </w14:textFill>
        </w:rPr>
        <w:t>纪律委员会有权</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根据</w:t>
      </w:r>
      <w:r>
        <w:rPr>
          <w:rFonts w:hint="eastAsia" w:ascii="仿宋_GB2312" w:hAnsi="仿宋_GB2312" w:eastAsia="仿宋_GB2312" w:cs="仿宋_GB2312"/>
          <w:color w:val="000000" w:themeColor="text1"/>
          <w:kern w:val="0"/>
          <w:sz w:val="32"/>
          <w:szCs w:val="32"/>
          <w:highlight w:val="none"/>
          <w14:textFill>
            <w14:solidFill>
              <w14:schemeClr w14:val="tx1"/>
            </w14:solidFill>
          </w14:textFill>
        </w:rPr>
        <w:t>《北京市足球运动协会纪律准则》</w:t>
      </w:r>
      <w:r>
        <w:rPr>
          <w:rFonts w:hint="eastAsia" w:ascii="仿宋_GB2312" w:hAnsi="仿宋_GB2312" w:eastAsia="仿宋_GB2312" w:cs="仿宋_GB2312"/>
          <w:color w:val="000000" w:themeColor="text1"/>
          <w:sz w:val="32"/>
          <w:szCs w:val="32"/>
          <w:highlight w:val="none"/>
          <w14:textFill>
            <w14:solidFill>
              <w14:schemeClr w14:val="tx1"/>
            </w14:solidFill>
          </w14:textFill>
        </w:rPr>
        <w:t>对上述弃权、罢赛等行为进行纪律处罚。</w:t>
      </w:r>
    </w:p>
    <w:p>
      <w:pPr>
        <w:pStyle w:val="11"/>
        <w:keepNext w:val="0"/>
        <w:keepLines w:val="0"/>
        <w:pageBreakBefore w:val="0"/>
        <w:kinsoku/>
        <w:wordWrap/>
        <w:topLinePunct w:val="0"/>
        <w:bidi w:val="0"/>
        <w:spacing w:line="240" w:lineRule="auto"/>
        <w:ind w:left="0" w:leftChars="0" w:right="0" w:rightChars="0" w:firstLine="640" w:firstLineChars="200"/>
        <w:jc w:val="center"/>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pStyle w:val="11"/>
        <w:keepNext w:val="0"/>
        <w:keepLines w:val="0"/>
        <w:pageBreakBefore w:val="0"/>
        <w:kinsoku/>
        <w:wordWrap/>
        <w:topLinePunct w:val="0"/>
        <w:bidi w:val="0"/>
        <w:spacing w:line="240" w:lineRule="auto"/>
        <w:ind w:left="0" w:leftChars="0" w:right="0" w:rightChars="0" w:firstLine="640" w:firstLineChars="200"/>
        <w:jc w:val="center"/>
        <w:textAlignment w:val="auto"/>
        <w:rPr>
          <w:rFonts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第五章 比赛装备</w:t>
      </w:r>
    </w:p>
    <w:p>
      <w:pPr>
        <w:pStyle w:val="11"/>
        <w:keepNext w:val="0"/>
        <w:keepLines w:val="0"/>
        <w:pageBreakBefore w:val="0"/>
        <w:kinsoku/>
        <w:wordWrap/>
        <w:topLinePunct w:val="0"/>
        <w:bidi w:val="0"/>
        <w:spacing w:line="240" w:lineRule="auto"/>
        <w:ind w:left="0" w:leftChars="0" w:right="0" w:rightChars="0" w:firstLine="640" w:firstLineChars="200"/>
        <w:jc w:val="left"/>
        <w:textAlignment w:val="auto"/>
        <w:rPr>
          <w:rFonts w:eastAsia="黑体"/>
          <w:color w:val="000000" w:themeColor="text1"/>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第十六条 </w:t>
      </w:r>
      <w:r>
        <w:rPr>
          <w:rFonts w:hint="eastAsia" w:ascii="黑体" w:hAnsi="黑体" w:eastAsia="黑体" w:cs="黑体"/>
          <w:color w:val="000000" w:themeColor="text1"/>
          <w:sz w:val="32"/>
          <w:szCs w:val="32"/>
          <w:highlight w:val="none"/>
          <w14:textFill>
            <w14:solidFill>
              <w14:schemeClr w14:val="tx1"/>
            </w14:solidFill>
          </w14:textFill>
        </w:rPr>
        <w:t>比赛</w:t>
      </w:r>
      <w:r>
        <w:rPr>
          <w:rFonts w:hint="eastAsia" w:ascii="黑体" w:hAnsi="黑体" w:eastAsia="黑体" w:cs="黑体"/>
          <w:color w:val="000000" w:themeColor="text1"/>
          <w:sz w:val="32"/>
          <w:szCs w:val="32"/>
          <w:highlight w:val="none"/>
          <w:lang w:val="en-US" w:eastAsia="zh-CN"/>
          <w14:textFill>
            <w14:solidFill>
              <w14:schemeClr w14:val="tx1"/>
            </w14:solidFill>
          </w14:textFill>
        </w:rPr>
        <w:t>装备</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bookmarkStart w:id="5" w:name="bookmark339"/>
      <w:r>
        <w:rPr>
          <w:rFonts w:hint="eastAsia" w:ascii="仿宋_GB2312" w:hAnsi="仿宋_GB2312" w:eastAsia="仿宋_GB2312" w:cs="仿宋_GB2312"/>
          <w:color w:val="000000" w:themeColor="text1"/>
          <w:sz w:val="32"/>
          <w:szCs w:val="32"/>
          <w:highlight w:val="none"/>
          <w14:textFill>
            <w14:solidFill>
              <w14:schemeClr w14:val="tx1"/>
            </w14:solidFill>
          </w14:textFill>
        </w:rPr>
        <w:t>一</w:t>
      </w:r>
      <w:bookmarkEnd w:id="5"/>
      <w:r>
        <w:rPr>
          <w:rFonts w:hint="eastAsia" w:ascii="仿宋_GB2312" w:hAnsi="仿宋_GB2312" w:eastAsia="仿宋_GB2312" w:cs="仿宋_GB2312"/>
          <w:color w:val="000000" w:themeColor="text1"/>
          <w:sz w:val="32"/>
          <w:szCs w:val="32"/>
          <w:highlight w:val="none"/>
          <w14:textFill>
            <w14:solidFill>
              <w14:schemeClr w14:val="tx1"/>
            </w14:solidFill>
          </w14:textFill>
        </w:rPr>
        <w:t>、参赛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球</w:t>
      </w:r>
      <w:r>
        <w:rPr>
          <w:rFonts w:hint="eastAsia" w:ascii="仿宋_GB2312" w:hAnsi="仿宋_GB2312" w:eastAsia="仿宋_GB2312" w:cs="仿宋_GB2312"/>
          <w:color w:val="000000" w:themeColor="text1"/>
          <w:sz w:val="32"/>
          <w:szCs w:val="32"/>
          <w:highlight w:val="none"/>
          <w14:textFill>
            <w14:solidFill>
              <w14:schemeClr w14:val="tx1"/>
            </w14:solidFill>
          </w14:textFill>
        </w:rPr>
        <w:t>队必须自备款式</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统一的深、浅</w:t>
      </w:r>
      <w:r>
        <w:rPr>
          <w:rFonts w:hint="eastAsia" w:ascii="仿宋_GB2312" w:hAnsi="仿宋_GB2312" w:eastAsia="仿宋_GB2312" w:cs="仿宋_GB2312"/>
          <w:color w:val="000000" w:themeColor="text1"/>
          <w:sz w:val="32"/>
          <w:szCs w:val="32"/>
          <w:highlight w:val="none"/>
          <w14:textFill>
            <w14:solidFill>
              <w14:schemeClr w14:val="tx1"/>
            </w14:solidFill>
          </w14:textFill>
        </w:rPr>
        <w:t>两套比赛服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装，</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包括深浅两套球袜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守门员服装颜色</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原则</w:t>
      </w:r>
      <w:r>
        <w:rPr>
          <w:rFonts w:hint="eastAsia" w:ascii="仿宋_GB2312" w:hAnsi="仿宋_GB2312" w:eastAsia="仿宋_GB2312" w:cs="仿宋_GB2312"/>
          <w:color w:val="000000" w:themeColor="text1"/>
          <w:sz w:val="32"/>
          <w:szCs w:val="32"/>
          <w:highlight w:val="none"/>
          <w14:textFill>
            <w14:solidFill>
              <w14:schemeClr w14:val="tx1"/>
            </w14:solidFill>
          </w14:textFill>
        </w:rPr>
        <w:t>须与球员比赛服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装</w:t>
      </w:r>
      <w:r>
        <w:rPr>
          <w:rFonts w:hint="eastAsia" w:ascii="仿宋_GB2312" w:hAnsi="仿宋_GB2312" w:eastAsia="仿宋_GB2312" w:cs="仿宋_GB2312"/>
          <w:color w:val="000000" w:themeColor="text1"/>
          <w:sz w:val="32"/>
          <w:szCs w:val="32"/>
          <w:highlight w:val="none"/>
          <w14:textFill>
            <w14:solidFill>
              <w14:schemeClr w14:val="tx1"/>
            </w14:solidFill>
          </w14:textFill>
        </w:rPr>
        <w:t>颜色</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有明显</w:t>
      </w:r>
      <w:r>
        <w:rPr>
          <w:rFonts w:hint="eastAsia" w:ascii="仿宋_GB2312" w:hAnsi="仿宋_GB2312" w:eastAsia="仿宋_GB2312" w:cs="仿宋_GB2312"/>
          <w:color w:val="000000" w:themeColor="text1"/>
          <w:sz w:val="32"/>
          <w:szCs w:val="32"/>
          <w:highlight w:val="none"/>
          <w14:textFill>
            <w14:solidFill>
              <w14:schemeClr w14:val="tx1"/>
            </w14:solidFill>
          </w14:textFill>
        </w:rPr>
        <w:t>区分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并指定1套为主场比赛服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1套为客场比赛服。</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bookmarkStart w:id="6" w:name="bookmark340"/>
      <w:r>
        <w:rPr>
          <w:rFonts w:hint="eastAsia" w:ascii="仿宋_GB2312" w:hAnsi="仿宋_GB2312" w:eastAsia="仿宋_GB2312" w:cs="仿宋_GB2312"/>
          <w:color w:val="000000" w:themeColor="text1"/>
          <w:sz w:val="32"/>
          <w:szCs w:val="32"/>
          <w:highlight w:val="none"/>
          <w14:textFill>
            <w14:solidFill>
              <w14:schemeClr w14:val="tx1"/>
            </w14:solidFill>
          </w14:textFill>
        </w:rPr>
        <w:t>二</w:t>
      </w:r>
      <w:bookmarkEnd w:id="6"/>
      <w:r>
        <w:rPr>
          <w:rFonts w:hint="eastAsia" w:ascii="仿宋_GB2312" w:hAnsi="仿宋_GB2312" w:eastAsia="仿宋_GB2312" w:cs="仿宋_GB2312"/>
          <w:color w:val="000000" w:themeColor="text1"/>
          <w:sz w:val="32"/>
          <w:szCs w:val="32"/>
          <w:highlight w:val="none"/>
          <w14:textFill>
            <w14:solidFill>
              <w14:schemeClr w14:val="tx1"/>
            </w14:solidFill>
          </w14:textFill>
        </w:rPr>
        <w:t>、比赛双方必须在比赛日携带两套不同颜色的比赛服到达</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比赛场地</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如因球队自身原因未按照上述要求携带两套比赛服装到达比赛场地，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导致</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不具备开球条件</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即判该队弃权比赛。</w:t>
      </w:r>
    </w:p>
    <w:p>
      <w:pPr>
        <w:pStyle w:val="11"/>
        <w:keepNext w:val="0"/>
        <w:keepLines w:val="0"/>
        <w:pageBreakBefore w:val="0"/>
        <w:tabs>
          <w:tab w:val="left" w:pos="435"/>
        </w:tabs>
        <w:kinsoku/>
        <w:wordWrap/>
        <w:topLinePunct w:val="0"/>
        <w:bidi w:val="0"/>
        <w:spacing w:line="240" w:lineRule="auto"/>
        <w:ind w:left="0" w:leftChars="0" w:right="0" w:rightChars="0"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bookmarkStart w:id="7" w:name="bookmark341"/>
      <w:r>
        <w:rPr>
          <w:rFonts w:hint="eastAsia" w:ascii="仿宋_GB2312" w:hAnsi="仿宋_GB2312" w:eastAsia="仿宋_GB2312" w:cs="仿宋_GB2312"/>
          <w:color w:val="000000" w:themeColor="text1"/>
          <w:sz w:val="32"/>
          <w:szCs w:val="32"/>
          <w:highlight w:val="none"/>
          <w14:textFill>
            <w14:solidFill>
              <w14:schemeClr w14:val="tx1"/>
            </w14:solidFill>
          </w14:textFill>
        </w:rPr>
        <w:t>三</w:t>
      </w:r>
      <w:bookmarkEnd w:id="7"/>
      <w:r>
        <w:rPr>
          <w:rFonts w:hint="eastAsia" w:ascii="仿宋_GB2312" w:hAnsi="仿宋_GB2312" w:eastAsia="仿宋_GB2312" w:cs="仿宋_GB2312"/>
          <w:color w:val="000000" w:themeColor="text1"/>
          <w:sz w:val="32"/>
          <w:szCs w:val="32"/>
          <w:highlight w:val="none"/>
          <w14:textFill>
            <w14:solidFill>
              <w14:schemeClr w14:val="tx1"/>
            </w14:solidFill>
          </w14:textFill>
        </w:rPr>
        <w:t>、比赛双方必须穿着颜色差异明显的比赛服，并经裁判员认可。如裁判员或比赛监督认为参赛双方比赛服颜色可能引起混淆或不适合转播，将有权要求更改比赛服颜色。主队应穿首选比赛服（不应混穿），客队避开主队比赛服颜色选择比赛服，如有必要，经比赛监督和裁判员认可后，可将本队两套比赛服混穿。两队确定比赛服装颜色后，裁判员会根据两队比赛服装颜色选择裁判服装颜色，如果裁判员及助理裁判员上衣服装颜色与守门员上衣服装颜色冲突，则守门员必须更换比赛服上衣颜色；比赛监督对比赛服装颜色有最终决定权。</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bookmarkStart w:id="8" w:name="bookmark342"/>
      <w:r>
        <w:rPr>
          <w:rFonts w:hint="eastAsia" w:ascii="仿宋_GB2312" w:hAnsi="仿宋_GB2312" w:eastAsia="仿宋_GB2312" w:cs="仿宋_GB2312"/>
          <w:color w:val="000000" w:themeColor="text1"/>
          <w:sz w:val="32"/>
          <w:szCs w:val="32"/>
          <w:highlight w:val="none"/>
          <w14:textFill>
            <w14:solidFill>
              <w14:schemeClr w14:val="tx1"/>
            </w14:solidFill>
          </w14:textFill>
        </w:rPr>
        <w:t>四</w:t>
      </w:r>
      <w:bookmarkEnd w:id="8"/>
      <w:r>
        <w:rPr>
          <w:rFonts w:hint="eastAsia" w:ascii="仿宋_GB2312" w:hAnsi="仿宋_GB2312" w:eastAsia="仿宋_GB2312" w:cs="仿宋_GB2312"/>
          <w:color w:val="000000" w:themeColor="text1"/>
          <w:sz w:val="32"/>
          <w:szCs w:val="32"/>
          <w:highlight w:val="none"/>
          <w14:textFill>
            <w14:solidFill>
              <w14:schemeClr w14:val="tx1"/>
            </w14:solidFill>
          </w14:textFill>
        </w:rPr>
        <w:t>、比赛服号码颜色应与比赛服颜色显著不同（浅色号码在深色服装上或相反）；对于有条纹颜色搭配的比赛服，为保证视觉效果，应在比赛服保留一块纯色位置供印制号码。</w:t>
      </w:r>
    </w:p>
    <w:p>
      <w:pPr>
        <w:pStyle w:val="11"/>
        <w:keepNext w:val="0"/>
        <w:keepLines w:val="0"/>
        <w:pageBreakBefore w:val="0"/>
        <w:tabs>
          <w:tab w:val="left" w:pos="435"/>
        </w:tabs>
        <w:kinsoku/>
        <w:wordWrap/>
        <w:topLinePunct w:val="0"/>
        <w:bidi w:val="0"/>
        <w:spacing w:line="240" w:lineRule="auto"/>
        <w:ind w:left="0" w:leftChars="0" w:right="0" w:rightChars="0"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bookmarkStart w:id="9" w:name="bookmark343"/>
      <w:r>
        <w:rPr>
          <w:rFonts w:hint="eastAsia" w:ascii="仿宋_GB2312" w:hAnsi="仿宋_GB2312" w:eastAsia="仿宋_GB2312" w:cs="仿宋_GB2312"/>
          <w:color w:val="000000" w:themeColor="text1"/>
          <w:sz w:val="32"/>
          <w:szCs w:val="32"/>
          <w:highlight w:val="none"/>
          <w14:textFill>
            <w14:solidFill>
              <w14:schemeClr w14:val="tx1"/>
            </w14:solidFill>
          </w14:textFill>
        </w:rPr>
        <w:t>五</w:t>
      </w:r>
      <w:bookmarkEnd w:id="9"/>
      <w:r>
        <w:rPr>
          <w:rFonts w:hint="eastAsia" w:ascii="仿宋_GB2312" w:hAnsi="仿宋_GB2312" w:eastAsia="仿宋_GB2312" w:cs="仿宋_GB2312"/>
          <w:color w:val="000000" w:themeColor="text1"/>
          <w:sz w:val="32"/>
          <w:szCs w:val="32"/>
          <w:highlight w:val="none"/>
          <w14:textFill>
            <w14:solidFill>
              <w14:schemeClr w14:val="tx1"/>
            </w14:solidFill>
          </w14:textFill>
        </w:rPr>
        <w:t>、比赛时球员护踝和脚踝绷带必须与袜子同色或透明。</w:t>
      </w:r>
    </w:p>
    <w:p>
      <w:pPr>
        <w:pStyle w:val="11"/>
        <w:keepNext w:val="0"/>
        <w:keepLines w:val="0"/>
        <w:pageBreakBefore w:val="0"/>
        <w:tabs>
          <w:tab w:val="left" w:pos="435"/>
        </w:tabs>
        <w:kinsoku/>
        <w:wordWrap/>
        <w:topLinePunct w:val="0"/>
        <w:bidi w:val="0"/>
        <w:spacing w:line="240" w:lineRule="auto"/>
        <w:ind w:left="0" w:leftChars="0" w:right="0" w:rightChars="0" w:firstLine="640" w:firstLineChars="200"/>
        <w:jc w:val="left"/>
        <w:textAlignment w:val="auto"/>
        <w:rPr>
          <w:rFonts w:ascii="仿宋_GB2312" w:hAnsi="仿宋_GB2312" w:eastAsia="仿宋_GB2312" w:cs="仿宋_GB2312"/>
          <w:color w:val="000000" w:themeColor="text1"/>
          <w:sz w:val="32"/>
          <w:szCs w:val="32"/>
          <w:highlight w:val="none"/>
          <w:lang w:eastAsia="zh-CN"/>
          <w14:textFill>
            <w14:solidFill>
              <w14:schemeClr w14:val="tx1"/>
            </w14:solidFill>
          </w14:textFill>
        </w:rPr>
      </w:pPr>
      <w:bookmarkStart w:id="10" w:name="bookmark344"/>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六</w:t>
      </w:r>
      <w:bookmarkEnd w:id="10"/>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、比赛服装号码必须与报名表相符，报名号码为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1至99号，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确保号码唯一、清晰，如无号、重号、零号、胶布临时贴号均不得上场比赛。</w:t>
      </w:r>
    </w:p>
    <w:p>
      <w:pPr>
        <w:pStyle w:val="11"/>
        <w:keepNext w:val="0"/>
        <w:keepLines w:val="0"/>
        <w:pageBreakBefore w:val="0"/>
        <w:tabs>
          <w:tab w:val="left" w:pos="435"/>
        </w:tabs>
        <w:kinsoku/>
        <w:wordWrap/>
        <w:topLinePunct w:val="0"/>
        <w:bidi w:val="0"/>
        <w:spacing w:line="240" w:lineRule="auto"/>
        <w:ind w:left="0" w:leftChars="0" w:right="0" w:rightChars="0"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bookmarkStart w:id="11" w:name="bookmark345"/>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bookmarkEnd w:id="11"/>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上场球员必须穿着足球鞋（金属钉除外）并佩戴护腿板，不得佩戴眼镜（足球项目运动眼镜除外）。</w:t>
      </w:r>
    </w:p>
    <w:p>
      <w:pPr>
        <w:pStyle w:val="11"/>
        <w:keepNext w:val="0"/>
        <w:keepLines w:val="0"/>
        <w:pageBreakBefore w:val="0"/>
        <w:tabs>
          <w:tab w:val="left" w:pos="435"/>
        </w:tabs>
        <w:kinsoku/>
        <w:wordWrap/>
        <w:topLinePunct w:val="0"/>
        <w:bidi w:val="0"/>
        <w:spacing w:line="240" w:lineRule="auto"/>
        <w:ind w:left="0" w:leftChars="0" w:right="0" w:rightChars="0" w:firstLine="640" w:firstLineChars="200"/>
        <w:jc w:val="left"/>
        <w:textAlignment w:val="auto"/>
        <w:rPr>
          <w:rFonts w:ascii="仿宋_GB2312" w:hAnsi="仿宋_GB2312" w:eastAsia="PMingLiU"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队长须佩戴袖标。</w:t>
      </w:r>
    </w:p>
    <w:p>
      <w:pPr>
        <w:pStyle w:val="11"/>
        <w:keepNext w:val="0"/>
        <w:keepLines w:val="0"/>
        <w:pageBreakBefore w:val="0"/>
        <w:tabs>
          <w:tab w:val="left" w:pos="435"/>
        </w:tabs>
        <w:kinsoku/>
        <w:wordWrap/>
        <w:topLinePunct w:val="0"/>
        <w:bidi w:val="0"/>
        <w:spacing w:line="240" w:lineRule="auto"/>
        <w:ind w:left="0" w:leftChars="0" w:right="0" w:rightChars="0"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九、由参赛队自备分队服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组委会原则上不提供分队服。</w:t>
      </w:r>
    </w:p>
    <w:p>
      <w:pPr>
        <w:pStyle w:val="11"/>
        <w:keepNext w:val="0"/>
        <w:keepLines w:val="0"/>
        <w:pageBreakBefore w:val="0"/>
        <w:tabs>
          <w:tab w:val="left" w:pos="435"/>
        </w:tabs>
        <w:kinsoku/>
        <w:wordWrap/>
        <w:topLinePunct w:val="0"/>
        <w:bidi w:val="0"/>
        <w:spacing w:line="24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十、比赛服印制内容不能出现有悖国家法律或规定的文字和标识，及组委会不予认可的内容等。同时须符合《广告法》关于广告发布的规定。</w:t>
      </w:r>
    </w:p>
    <w:p>
      <w:pPr>
        <w:pStyle w:val="11"/>
        <w:keepNext w:val="0"/>
        <w:keepLines w:val="0"/>
        <w:pageBreakBefore w:val="0"/>
        <w:kinsoku/>
        <w:wordWrap/>
        <w:topLinePunct w:val="0"/>
        <w:bidi w:val="0"/>
        <w:spacing w:line="240" w:lineRule="auto"/>
        <w:ind w:left="0" w:leftChars="0" w:right="0" w:rightChars="0" w:firstLine="640" w:firstLineChars="200"/>
        <w:jc w:val="center"/>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p>
    <w:p>
      <w:pPr>
        <w:pStyle w:val="11"/>
        <w:keepNext w:val="0"/>
        <w:keepLines w:val="0"/>
        <w:pageBreakBefore w:val="0"/>
        <w:kinsoku/>
        <w:wordWrap/>
        <w:topLinePunct w:val="0"/>
        <w:bidi w:val="0"/>
        <w:spacing w:line="240" w:lineRule="auto"/>
        <w:ind w:left="0" w:leftChars="0" w:right="0" w:rightChars="0" w:firstLine="640" w:firstLineChars="200"/>
        <w:jc w:val="center"/>
        <w:textAlignment w:val="auto"/>
        <w:rPr>
          <w:rFonts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第六章 纪律处罚和程序</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textAlignment w:val="auto"/>
        <w:rPr>
          <w:rFonts w:ascii="黑体" w:hAnsi="黑体" w:eastAsia="黑体" w:cs="黑体"/>
          <w:bCs/>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第十</w:t>
      </w:r>
      <w:r>
        <w:rPr>
          <w:rFonts w:hint="eastAsia" w:ascii="黑体" w:hAnsi="黑体" w:eastAsia="黑体" w:cs="黑体"/>
          <w:color w:val="000000" w:themeColor="text1"/>
          <w:sz w:val="32"/>
          <w:szCs w:val="32"/>
          <w:highlight w:val="none"/>
          <w:lang w:val="en-US" w:eastAsia="zh-CN"/>
          <w14:textFill>
            <w14:solidFill>
              <w14:schemeClr w14:val="tx1"/>
            </w14:solidFill>
          </w14:textFill>
        </w:rPr>
        <w:t>七</w:t>
      </w:r>
      <w:r>
        <w:rPr>
          <w:rFonts w:hint="eastAsia" w:ascii="黑体" w:hAnsi="黑体" w:eastAsia="黑体" w:cs="黑体"/>
          <w:color w:val="000000" w:themeColor="text1"/>
          <w:sz w:val="32"/>
          <w:szCs w:val="32"/>
          <w:highlight w:val="none"/>
          <w14:textFill>
            <w14:solidFill>
              <w14:schemeClr w14:val="tx1"/>
            </w14:solidFill>
          </w14:textFill>
        </w:rPr>
        <w:t>条 红、黄牌停赛</w:t>
      </w:r>
    </w:p>
    <w:p>
      <w:pPr>
        <w:pStyle w:val="11"/>
        <w:keepNext w:val="0"/>
        <w:keepLines w:val="0"/>
        <w:pageBreakBefore w:val="0"/>
        <w:tabs>
          <w:tab w:val="left" w:pos="435"/>
        </w:tabs>
        <w:kinsoku/>
        <w:wordWrap/>
        <w:topLinePunct w:val="0"/>
        <w:bidi w:val="0"/>
        <w:spacing w:line="24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同一名球员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球队官员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累计2张黄牌，则顺延停赛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场，停赛后该球员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球队官员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黄牌数不再累计。</w:t>
      </w:r>
    </w:p>
    <w:p>
      <w:pPr>
        <w:pStyle w:val="11"/>
        <w:keepNext w:val="0"/>
        <w:keepLines w:val="0"/>
        <w:pageBreakBefore w:val="0"/>
        <w:tabs>
          <w:tab w:val="left" w:pos="435"/>
        </w:tabs>
        <w:kinsoku/>
        <w:wordWrap/>
        <w:topLinePunct w:val="0"/>
        <w:bidi w:val="0"/>
        <w:spacing w:line="24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一场比赛，同一名球员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球队官员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被出示累计2张黄牌，将被红牌罚下，并顺延停赛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场，停赛后该球员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球队官员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红黄牌数不再累计。</w:t>
      </w:r>
    </w:p>
    <w:p>
      <w:pPr>
        <w:pStyle w:val="11"/>
        <w:keepNext w:val="0"/>
        <w:keepLines w:val="0"/>
        <w:pageBreakBefore w:val="0"/>
        <w:tabs>
          <w:tab w:val="left" w:pos="435"/>
        </w:tabs>
        <w:kinsoku/>
        <w:wordWrap/>
        <w:topLinePunct w:val="0"/>
        <w:bidi w:val="0"/>
        <w:spacing w:line="24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14:textFill>
            <w14:solidFill>
              <w14:schemeClr w14:val="tx1"/>
            </w14:solidFill>
          </w14:textFill>
        </w:rPr>
        <w:t>一场比赛，球员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球队官员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被出示1张黄牌，而后该球员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球队官员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被直接出示红牌罚下，顺延停赛</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highlight w:val="none"/>
          <w14:textFill>
            <w14:solidFill>
              <w14:schemeClr w14:val="tx1"/>
            </w14:solidFill>
          </w14:textFill>
        </w:rPr>
        <w:t>场，黄牌继续累计。</w:t>
      </w:r>
    </w:p>
    <w:p>
      <w:pPr>
        <w:pStyle w:val="11"/>
        <w:keepNext w:val="0"/>
        <w:keepLines w:val="0"/>
        <w:pageBreakBefore w:val="0"/>
        <w:tabs>
          <w:tab w:val="left" w:pos="435"/>
        </w:tabs>
        <w:kinsoku/>
        <w:wordWrap/>
        <w:topLinePunct w:val="0"/>
        <w:bidi w:val="0"/>
        <w:spacing w:line="24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14:textFill>
            <w14:solidFill>
              <w14:schemeClr w14:val="tx1"/>
            </w14:solidFill>
          </w14:textFill>
        </w:rPr>
        <w:t>球员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球队官员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被直接出示红牌后必须立即离开比赛场地，不得回到球队替补席。</w:t>
      </w:r>
    </w:p>
    <w:p>
      <w:pPr>
        <w:pStyle w:val="11"/>
        <w:keepNext w:val="0"/>
        <w:keepLines w:val="0"/>
        <w:pageBreakBefore w:val="0"/>
        <w:tabs>
          <w:tab w:val="left" w:pos="435"/>
        </w:tabs>
        <w:kinsoku/>
        <w:wordWrap/>
        <w:topLinePunct w:val="0"/>
        <w:bidi w:val="0"/>
        <w:spacing w:line="24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同一名球员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球队官员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第一次被出示红牌，自动停赛1场；第二次被出示红牌，处停赛2场；第三次被出示红牌，处停赛4场，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以此类推</w:t>
      </w:r>
      <w:r>
        <w:rPr>
          <w:rFonts w:hint="eastAsia" w:ascii="仿宋_GB2312" w:hAnsi="仿宋_GB2312" w:eastAsia="仿宋_GB2312" w:cs="仿宋_GB2312"/>
          <w:color w:val="000000" w:themeColor="text1"/>
          <w:sz w:val="32"/>
          <w:szCs w:val="32"/>
          <w:highlight w:val="none"/>
          <w14:textFill>
            <w14:solidFill>
              <w14:schemeClr w14:val="tx1"/>
            </w14:solidFill>
          </w14:textFill>
        </w:rPr>
        <w:t>，加倍停赛。</w:t>
      </w:r>
    </w:p>
    <w:p>
      <w:pPr>
        <w:pStyle w:val="11"/>
        <w:keepNext w:val="0"/>
        <w:keepLines w:val="0"/>
        <w:pageBreakBefore w:val="0"/>
        <w:tabs>
          <w:tab w:val="left" w:pos="435"/>
        </w:tabs>
        <w:kinsoku/>
        <w:wordWrap/>
        <w:topLinePunct w:val="0"/>
        <w:bidi w:val="0"/>
        <w:spacing w:line="240" w:lineRule="auto"/>
        <w:ind w:left="0" w:leftChars="0" w:right="0" w:rightChars="0" w:firstLine="640" w:firstLineChars="200"/>
        <w:jc w:val="left"/>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sz w:val="32"/>
          <w:szCs w:val="32"/>
          <w:highlight w:val="none"/>
          <w14:textFill>
            <w14:solidFill>
              <w14:schemeClr w14:val="tx1"/>
            </w14:solidFill>
          </w14:textFill>
        </w:rPr>
        <w:t>轮空均不计入停赛轮次；如有补赛或比赛场次日期调整，停赛按时间顺序执行。</w:t>
      </w:r>
      <w:r>
        <w:rPr>
          <w:rFonts w:hint="eastAsia" w:ascii="仿宋_GB2312" w:hAnsi="仿宋_GB2312" w:eastAsia="仿宋_GB2312" w:cs="仿宋_GB2312"/>
          <w:color w:val="000000" w:themeColor="text1"/>
          <w:sz w:val="32"/>
          <w:szCs w:val="32"/>
          <w:highlight w:val="none"/>
          <w:shd w:val="clear"/>
          <w:lang w:eastAsia="zh-CN"/>
          <w14:textFill>
            <w14:solidFill>
              <w14:schemeClr w14:val="tx1"/>
            </w14:solidFill>
          </w14:textFill>
        </w:rPr>
        <w:t>小组赛阶段红黄牌累计计入淘汰赛阶段。</w:t>
      </w:r>
    </w:p>
    <w:p>
      <w:pPr>
        <w:pStyle w:val="11"/>
        <w:keepNext w:val="0"/>
        <w:keepLines w:val="0"/>
        <w:pageBreakBefore w:val="0"/>
        <w:kinsoku/>
        <w:wordWrap/>
        <w:topLinePunct w:val="0"/>
        <w:bidi w:val="0"/>
        <w:spacing w:line="240" w:lineRule="auto"/>
        <w:ind w:left="0" w:leftChars="0" w:right="0" w:rightChars="0" w:firstLine="640" w:firstLineChars="200"/>
        <w:jc w:val="left"/>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第十八条 </w:t>
      </w:r>
      <w:r>
        <w:rPr>
          <w:rFonts w:hint="eastAsia" w:ascii="黑体" w:hAnsi="黑体" w:eastAsia="黑体" w:cs="黑体"/>
          <w:color w:val="000000" w:themeColor="text1"/>
          <w:sz w:val="32"/>
          <w:szCs w:val="32"/>
          <w:highlight w:val="none"/>
          <w14:textFill>
            <w14:solidFill>
              <w14:schemeClr w14:val="tx1"/>
            </w14:solidFill>
          </w14:textFill>
        </w:rPr>
        <w:t>纪律处罚</w:t>
      </w:r>
    </w:p>
    <w:p>
      <w:pPr>
        <w:pStyle w:val="11"/>
        <w:keepNext w:val="0"/>
        <w:keepLines w:val="0"/>
        <w:pageBreakBefore w:val="0"/>
        <w:tabs>
          <w:tab w:val="left" w:pos="435"/>
        </w:tabs>
        <w:kinsoku/>
        <w:wordWrap/>
        <w:topLinePunct w:val="0"/>
        <w:bidi w:val="0"/>
        <w:spacing w:line="240" w:lineRule="auto"/>
        <w:ind w:left="0" w:leftChars="0" w:right="0" w:rightChars="0"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bookmarkStart w:id="12" w:name="bookmark364"/>
      <w:r>
        <w:rPr>
          <w:rFonts w:hint="eastAsia" w:ascii="仿宋_GB2312" w:hAnsi="仿宋_GB2312" w:eastAsia="仿宋_GB2312" w:cs="仿宋_GB2312"/>
          <w:color w:val="000000" w:themeColor="text1"/>
          <w:sz w:val="32"/>
          <w:szCs w:val="32"/>
          <w:highlight w:val="none"/>
          <w14:textFill>
            <w14:solidFill>
              <w14:schemeClr w14:val="tx1"/>
            </w14:solidFill>
          </w14:textFill>
        </w:rPr>
        <w:t>一</w:t>
      </w:r>
      <w:bookmarkEnd w:id="12"/>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如比赛中出现</w:t>
      </w:r>
      <w:r>
        <w:rPr>
          <w:rFonts w:hint="eastAsia" w:ascii="仿宋_GB2312" w:hAnsi="仿宋_GB2312" w:eastAsia="仿宋_GB2312" w:cs="仿宋_GB2312"/>
          <w:color w:val="000000" w:themeColor="text1"/>
          <w:sz w:val="32"/>
          <w:szCs w:val="32"/>
          <w:highlight w:val="none"/>
          <w14:textFill>
            <w14:solidFill>
              <w14:schemeClr w14:val="tx1"/>
            </w14:solidFill>
          </w14:textFill>
        </w:rPr>
        <w:t>违规违纪行为和事件，由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北京市足球运动协会</w:t>
      </w:r>
      <w:r>
        <w:rPr>
          <w:rFonts w:hint="eastAsia" w:ascii="仿宋_GB2312" w:hAnsi="仿宋_GB2312" w:eastAsia="仿宋_GB2312" w:cs="仿宋_GB2312"/>
          <w:color w:val="000000" w:themeColor="text1"/>
          <w:sz w:val="32"/>
          <w:szCs w:val="32"/>
          <w:highlight w:val="none"/>
          <w14:textFill>
            <w14:solidFill>
              <w14:schemeClr w14:val="tx1"/>
            </w14:solidFill>
          </w14:textFill>
        </w:rPr>
        <w:t>纪律委员会根据比赛监督、裁判监督、裁判员的报告</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或其他</w:t>
      </w:r>
      <w:r>
        <w:rPr>
          <w:rFonts w:hint="eastAsia" w:ascii="仿宋_GB2312" w:hAnsi="仿宋_GB2312" w:eastAsia="仿宋_GB2312" w:cs="仿宋_GB2312"/>
          <w:color w:val="000000" w:themeColor="text1"/>
          <w:sz w:val="32"/>
          <w:szCs w:val="32"/>
          <w:highlight w:val="none"/>
          <w14:textFill>
            <w14:solidFill>
              <w14:schemeClr w14:val="tx1"/>
            </w14:solidFill>
          </w14:textFill>
        </w:rPr>
        <w:t>视频材料等进行处理。</w:t>
      </w:r>
    </w:p>
    <w:p>
      <w:pPr>
        <w:pStyle w:val="11"/>
        <w:keepNext w:val="0"/>
        <w:keepLines w:val="0"/>
        <w:pageBreakBefore w:val="0"/>
        <w:tabs>
          <w:tab w:val="left" w:pos="430"/>
        </w:tabs>
        <w:kinsoku/>
        <w:wordWrap/>
        <w:topLinePunct w:val="0"/>
        <w:bidi w:val="0"/>
        <w:spacing w:line="240" w:lineRule="auto"/>
        <w:ind w:left="0" w:leftChars="0" w:right="0" w:rightChars="0"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bookmarkStart w:id="13" w:name="bookmark365"/>
      <w:r>
        <w:rPr>
          <w:rFonts w:hint="eastAsia" w:ascii="仿宋_GB2312" w:hAnsi="仿宋_GB2312" w:eastAsia="仿宋_GB2312" w:cs="仿宋_GB2312"/>
          <w:color w:val="000000" w:themeColor="text1"/>
          <w:sz w:val="32"/>
          <w:szCs w:val="32"/>
          <w:highlight w:val="none"/>
          <w14:textFill>
            <w14:solidFill>
              <w14:schemeClr w14:val="tx1"/>
            </w14:solidFill>
          </w14:textFill>
        </w:rPr>
        <w:t>二</w:t>
      </w:r>
      <w:bookmarkEnd w:id="13"/>
      <w:r>
        <w:rPr>
          <w:rFonts w:hint="eastAsia" w:ascii="仿宋_GB2312" w:hAnsi="仿宋_GB2312" w:eastAsia="仿宋_GB2312" w:cs="仿宋_GB2312"/>
          <w:color w:val="000000" w:themeColor="text1"/>
          <w:sz w:val="32"/>
          <w:szCs w:val="32"/>
          <w:highlight w:val="none"/>
          <w14:textFill>
            <w14:solidFill>
              <w14:schemeClr w14:val="tx1"/>
            </w14:solidFill>
          </w14:textFill>
        </w:rPr>
        <w:t>、如果</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组委会</w:t>
      </w:r>
      <w:r>
        <w:rPr>
          <w:rFonts w:hint="eastAsia" w:ascii="仿宋_GB2312" w:hAnsi="仿宋_GB2312" w:eastAsia="仿宋_GB2312" w:cs="仿宋_GB2312"/>
          <w:color w:val="000000" w:themeColor="text1"/>
          <w:sz w:val="32"/>
          <w:szCs w:val="32"/>
          <w:highlight w:val="none"/>
          <w14:textFill>
            <w14:solidFill>
              <w14:schemeClr w14:val="tx1"/>
            </w14:solidFill>
          </w14:textFill>
        </w:rPr>
        <w:t>认为存在违规行为，则有权在无比赛监督、裁判监督、裁判员报告时启动调查程序。</w:t>
      </w:r>
    </w:p>
    <w:p>
      <w:pPr>
        <w:pStyle w:val="11"/>
        <w:keepNext w:val="0"/>
        <w:keepLines w:val="0"/>
        <w:pageBreakBefore w:val="0"/>
        <w:kinsoku/>
        <w:wordWrap/>
        <w:topLinePunct w:val="0"/>
        <w:bidi w:val="0"/>
        <w:spacing w:line="240" w:lineRule="auto"/>
        <w:ind w:left="0" w:leftChars="0" w:right="0" w:rightChars="0" w:firstLine="640" w:firstLineChars="200"/>
        <w:jc w:val="left"/>
        <w:textAlignment w:val="auto"/>
        <w:rPr>
          <w:rFonts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第十九条 抗议</w:t>
      </w:r>
    </w:p>
    <w:p>
      <w:pPr>
        <w:keepNext w:val="0"/>
        <w:keepLines w:val="0"/>
        <w:pageBreakBefore w:val="0"/>
        <w:kinsoku/>
        <w:wordWrap/>
        <w:topLinePunct w:val="0"/>
        <w:bidi w:val="0"/>
        <w:spacing w:line="240" w:lineRule="auto"/>
        <w:ind w:left="0" w:leftChars="0" w:right="0" w:rightChars="0"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一、由裁判员根据比赛相关事实做出的场上判罚为最终判罚，对此不得提出抗议。</w:t>
      </w:r>
    </w:p>
    <w:p>
      <w:pPr>
        <w:keepNext w:val="0"/>
        <w:keepLines w:val="0"/>
        <w:pageBreakBefore w:val="0"/>
        <w:kinsoku/>
        <w:wordWrap/>
        <w:topLinePunct w:val="0"/>
        <w:bidi w:val="0"/>
        <w:spacing w:line="240" w:lineRule="auto"/>
        <w:ind w:left="0" w:leftChars="0" w:right="0" w:rightChars="0" w:firstLine="640" w:firstLineChars="200"/>
        <w:jc w:val="left"/>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二、比赛中的违规违纪行为和事件，由纪律委员会负责处理，并发布处理结果。球队提出抗议应该在比赛结束后2小时内以书面形式和视频资料提交给当场比赛的比赛监督，并同时提交抗议费现金</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14:textFill>
            <w14:solidFill>
              <w14:schemeClr w14:val="tx1"/>
            </w14:solidFill>
          </w14:textFill>
        </w:rPr>
        <w:t>000元，抗议一经受理，抗议费概不退还。</w:t>
      </w:r>
    </w:p>
    <w:p>
      <w:pPr>
        <w:pStyle w:val="7"/>
        <w:keepNext w:val="0"/>
        <w:keepLines w:val="0"/>
        <w:pageBreakBefore w:val="0"/>
        <w:kinsoku/>
        <w:wordWrap/>
        <w:topLinePunct w:val="0"/>
        <w:bidi w:val="0"/>
        <w:spacing w:before="0" w:after="0" w:line="240" w:lineRule="auto"/>
        <w:ind w:left="0" w:leftChars="0" w:right="0" w:rightChars="0" w:firstLine="640" w:firstLineChars="200"/>
        <w:jc w:val="both"/>
        <w:textAlignment w:val="auto"/>
        <w:rPr>
          <w:rFonts w:hint="eastAsia" w:ascii="仿宋_GB2312" w:hAnsi="仿宋_GB2312" w:eastAsia="仿宋_GB2312" w:cs="仿宋_GB2312"/>
          <w:b w:val="0"/>
          <w:bCs w:val="0"/>
          <w:color w:val="000000" w:themeColor="text1"/>
          <w:highlight w:val="none"/>
          <w14:textFill>
            <w14:solidFill>
              <w14:schemeClr w14:val="tx1"/>
            </w14:solidFill>
          </w14:textFill>
        </w:rPr>
      </w:pPr>
      <w:r>
        <w:rPr>
          <w:rFonts w:hint="eastAsia" w:ascii="仿宋_GB2312" w:hAnsi="仿宋_GB2312" w:eastAsia="仿宋_GB2312" w:cs="仿宋_GB2312"/>
          <w:b w:val="0"/>
          <w:bCs w:val="0"/>
          <w:color w:val="000000" w:themeColor="text1"/>
          <w:highlight w:val="none"/>
          <w14:textFill>
            <w14:solidFill>
              <w14:schemeClr w14:val="tx1"/>
            </w14:solidFill>
          </w14:textFill>
        </w:rPr>
        <w:t>三、如果向组委会提出没有事实依据的或者不负责任的抗议，纪律委员会将有权对其进行处罚。</w:t>
      </w:r>
    </w:p>
    <w:p>
      <w:pPr>
        <w:pStyle w:val="3"/>
        <w:ind w:left="0" w:leftChars="0" w:firstLine="640" w:firstLineChars="200"/>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四、</w:t>
      </w:r>
      <w:r>
        <w:rPr>
          <w:rFonts w:hint="eastAsia" w:ascii="仿宋_GB2312" w:hAnsi="仿宋_GB2312" w:eastAsia="仿宋_GB2312" w:cs="仿宋_GB2312"/>
          <w:b w:val="0"/>
          <w:bCs w:val="0"/>
          <w:color w:val="000000" w:themeColor="text1"/>
          <w:kern w:val="2"/>
          <w:sz w:val="32"/>
          <w:szCs w:val="32"/>
          <w:highlight w:val="none"/>
          <w:shd w:val="clear"/>
          <w:lang w:val="en-US" w:eastAsia="zh-CN" w:bidi="ar-SA"/>
          <w14:textFill>
            <w14:solidFill>
              <w14:schemeClr w14:val="tx1"/>
            </w14:solidFill>
          </w14:textFill>
        </w:rPr>
        <w:t>如对</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纪律委员会处罚决定有异议，可在处罚决定公布之日起七日内向纠纷解决委员会提出申诉，并同时提交申诉费现金5000元，申诉一经受理，申诉费概不退还。</w:t>
      </w:r>
    </w:p>
    <w:p>
      <w:pPr>
        <w:pStyle w:val="7"/>
        <w:keepNext w:val="0"/>
        <w:keepLines w:val="0"/>
        <w:pageBreakBefore w:val="0"/>
        <w:kinsoku/>
        <w:wordWrap/>
        <w:topLinePunct w:val="0"/>
        <w:bidi w:val="0"/>
        <w:spacing w:before="0" w:after="0" w:line="240" w:lineRule="auto"/>
        <w:ind w:left="0" w:leftChars="0" w:right="0" w:rightChars="0" w:firstLine="640" w:firstLineChars="200"/>
        <w:textAlignment w:val="auto"/>
        <w:rPr>
          <w:rFonts w:hint="eastAsia" w:ascii="黑体" w:hAnsi="黑体" w:eastAsia="黑体" w:cs="黑体"/>
          <w:b w:val="0"/>
          <w:bCs w:val="0"/>
          <w:color w:val="000000" w:themeColor="text1"/>
          <w:highlight w:val="none"/>
          <w14:textFill>
            <w14:solidFill>
              <w14:schemeClr w14:val="tx1"/>
            </w14:solidFill>
          </w14:textFill>
        </w:rPr>
      </w:pPr>
    </w:p>
    <w:p>
      <w:pPr>
        <w:pStyle w:val="7"/>
        <w:keepNext w:val="0"/>
        <w:keepLines w:val="0"/>
        <w:pageBreakBefore w:val="0"/>
        <w:kinsoku/>
        <w:wordWrap/>
        <w:topLinePunct w:val="0"/>
        <w:bidi w:val="0"/>
        <w:spacing w:before="0" w:after="0" w:line="240" w:lineRule="auto"/>
        <w:ind w:left="0" w:leftChars="0" w:right="0" w:rightChars="0" w:firstLine="640" w:firstLineChars="200"/>
        <w:textAlignment w:val="auto"/>
        <w:rPr>
          <w:rFonts w:ascii="黑体" w:hAnsi="黑体" w:eastAsia="黑体" w:cs="黑体"/>
          <w:b w:val="0"/>
          <w:bCs w:val="0"/>
          <w:color w:val="000000" w:themeColor="text1"/>
          <w:highlight w:val="none"/>
          <w14:textFill>
            <w14:solidFill>
              <w14:schemeClr w14:val="tx1"/>
            </w14:solidFill>
          </w14:textFill>
        </w:rPr>
      </w:pPr>
      <w:r>
        <w:rPr>
          <w:rFonts w:hint="eastAsia" w:ascii="黑体" w:hAnsi="黑体" w:eastAsia="黑体" w:cs="黑体"/>
          <w:b w:val="0"/>
          <w:bCs w:val="0"/>
          <w:color w:val="000000" w:themeColor="text1"/>
          <w:highlight w:val="none"/>
          <w14:textFill>
            <w14:solidFill>
              <w14:schemeClr w14:val="tx1"/>
            </w14:solidFill>
          </w14:textFill>
        </w:rPr>
        <w:t>第七章 运营与管理</w:t>
      </w:r>
    </w:p>
    <w:p>
      <w:pPr>
        <w:pStyle w:val="3"/>
        <w:keepNext w:val="0"/>
        <w:keepLines w:val="0"/>
        <w:pageBreakBefore w:val="0"/>
        <w:kinsoku/>
        <w:wordWrap/>
        <w:topLinePunct w:val="0"/>
        <w:bidi w:val="0"/>
        <w:spacing w:after="0" w:line="240" w:lineRule="auto"/>
        <w:ind w:left="0" w:leftChars="0" w:right="0" w:rightChars="0" w:firstLine="640" w:firstLineChars="200"/>
        <w:textAlignment w:val="auto"/>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二十</w:t>
      </w:r>
      <w:r>
        <w:rPr>
          <w:rFonts w:hint="eastAsia" w:ascii="黑体" w:hAnsi="黑体" w:eastAsia="黑体" w:cs="黑体"/>
          <w:color w:val="000000" w:themeColor="text1"/>
          <w:sz w:val="32"/>
          <w:szCs w:val="32"/>
          <w:highlight w:val="none"/>
          <w14:textFill>
            <w14:solidFill>
              <w14:schemeClr w14:val="tx1"/>
            </w14:solidFill>
          </w14:textFill>
        </w:rPr>
        <w:t>条 比赛监督</w:t>
      </w:r>
    </w:p>
    <w:p>
      <w:pPr>
        <w:keepNext w:val="0"/>
        <w:keepLines w:val="0"/>
        <w:pageBreakBefore w:val="0"/>
        <w:kinsoku/>
        <w:wordWrap/>
        <w:topLinePunct w:val="0"/>
        <w:bidi w:val="0"/>
        <w:spacing w:line="240" w:lineRule="auto"/>
        <w:ind w:left="0" w:leftChars="0" w:right="0" w:rightChars="0"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比赛监督由组委会统一选派，代表组委会按规定指导、协调、监督赛事工作，并对比赛和赛事工作进行监督、指导和评定，向组委会负责。</w:t>
      </w:r>
    </w:p>
    <w:p>
      <w:pPr>
        <w:pStyle w:val="11"/>
        <w:keepNext w:val="0"/>
        <w:keepLines w:val="0"/>
        <w:pageBreakBefore w:val="0"/>
        <w:kinsoku/>
        <w:wordWrap/>
        <w:topLinePunct w:val="0"/>
        <w:bidi w:val="0"/>
        <w:spacing w:line="240" w:lineRule="auto"/>
        <w:ind w:left="0" w:leftChars="0" w:right="0" w:rightChars="0" w:firstLine="640" w:firstLineChars="200"/>
        <w:jc w:val="left"/>
        <w:textAlignment w:val="auto"/>
        <w:rPr>
          <w:rFonts w:ascii="黑体" w:hAnsi="黑体" w:eastAsia="黑体" w:cs="黑体"/>
          <w:color w:val="000000" w:themeColor="text1"/>
          <w:sz w:val="32"/>
          <w:szCs w:val="32"/>
          <w:highlight w:val="none"/>
          <w:lang w:val="en-US" w:eastAsia="zh-CN" w:bidi="ar-SA"/>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第二十一条 </w:t>
      </w:r>
      <w:r>
        <w:rPr>
          <w:rFonts w:hint="eastAsia" w:ascii="黑体" w:hAnsi="黑体" w:eastAsia="黑体" w:cs="黑体"/>
          <w:color w:val="000000" w:themeColor="text1"/>
          <w:sz w:val="32"/>
          <w:szCs w:val="32"/>
          <w:highlight w:val="none"/>
          <w:lang w:val="en-US" w:eastAsia="zh-CN" w:bidi="ar-SA"/>
          <w14:textFill>
            <w14:solidFill>
              <w14:schemeClr w14:val="tx1"/>
            </w14:solidFill>
          </w14:textFill>
        </w:rPr>
        <w:t>裁判监督和裁判员</w:t>
      </w:r>
    </w:p>
    <w:p>
      <w:pPr>
        <w:keepNext w:val="0"/>
        <w:keepLines w:val="0"/>
        <w:pageBreakBefore w:val="0"/>
        <w:kinsoku/>
        <w:wordWrap/>
        <w:topLinePunct w:val="0"/>
        <w:bidi w:val="0"/>
        <w:spacing w:line="240" w:lineRule="auto"/>
        <w:ind w:left="0" w:leftChars="0" w:right="0" w:rightChars="0" w:firstLine="640" w:firstLineChars="200"/>
        <w:textAlignment w:val="auto"/>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裁判监督、裁判员</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由组委会进行选派。</w:t>
      </w:r>
    </w:p>
    <w:p>
      <w:pPr>
        <w:pStyle w:val="11"/>
        <w:keepNext w:val="0"/>
        <w:keepLines w:val="0"/>
        <w:pageBreakBefore w:val="0"/>
        <w:kinsoku/>
        <w:wordWrap/>
        <w:topLinePunct w:val="0"/>
        <w:bidi w:val="0"/>
        <w:spacing w:line="240" w:lineRule="auto"/>
        <w:ind w:left="0" w:leftChars="0" w:right="0" w:rightChars="0" w:firstLine="640" w:firstLineChars="200"/>
        <w:jc w:val="left"/>
        <w:textAlignment w:val="auto"/>
        <w:rPr>
          <w:rFonts w:ascii="黑体" w:hAnsi="黑体" w:eastAsia="黑体" w:cs="黑体"/>
          <w:color w:val="000000" w:themeColor="text1"/>
          <w:sz w:val="32"/>
          <w:szCs w:val="32"/>
          <w:highlight w:val="none"/>
          <w:lang w:val="en-US" w:eastAsia="zh-CN" w:bidi="ar-SA"/>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第二十二条 </w:t>
      </w:r>
      <w:r>
        <w:rPr>
          <w:rFonts w:hint="eastAsia" w:ascii="黑体" w:hAnsi="黑体" w:eastAsia="黑体" w:cs="黑体"/>
          <w:color w:val="000000" w:themeColor="text1"/>
          <w:sz w:val="32"/>
          <w:szCs w:val="32"/>
          <w:highlight w:val="none"/>
          <w:lang w:val="en-US" w:eastAsia="zh-CN" w:bidi="ar-SA"/>
          <w14:textFill>
            <w14:solidFill>
              <w14:schemeClr w14:val="tx1"/>
            </w14:solidFill>
          </w14:textFill>
        </w:rPr>
        <w:t>奖项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highlight w:val="green"/>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各组别比赛均录取奖励前8名，如报名不足8队参赛时，按实际参赛队数录取名次；获得比赛前3名的运动队分别颁发金、银、铜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奖杯，球员获得</w:t>
      </w:r>
      <w:r>
        <w:rPr>
          <w:rFonts w:hint="eastAsia" w:ascii="仿宋_GB2312" w:hAnsi="仿宋_GB2312" w:eastAsia="仿宋_GB2312" w:cs="仿宋_GB2312"/>
          <w:color w:val="000000" w:themeColor="text1"/>
          <w:sz w:val="32"/>
          <w:szCs w:val="32"/>
          <w:highlight w:val="none"/>
          <w14:textFill>
            <w14:solidFill>
              <w14:schemeClr w14:val="tx1"/>
            </w14:solidFill>
          </w14:textFill>
        </w:rPr>
        <w:t>金、银、铜奖牌和证书；获得名次者分别颁发证书。</w:t>
      </w:r>
    </w:p>
    <w:p>
      <w:pPr>
        <w:pStyle w:val="11"/>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黑体" w:hAnsi="黑体" w:eastAsia="黑体" w:cs="黑体"/>
          <w:color w:val="000000" w:themeColor="text1"/>
          <w:sz w:val="32"/>
          <w:szCs w:val="32"/>
          <w:highlight w:val="none"/>
          <w:lang w:val="en-US" w:eastAsia="zh-CN" w:bidi="ar-SA"/>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 xml:space="preserve">第二十三条 </w:t>
      </w:r>
      <w:r>
        <w:rPr>
          <w:rFonts w:hint="eastAsia" w:ascii="黑体" w:hAnsi="黑体" w:eastAsia="黑体" w:cs="黑体"/>
          <w:color w:val="000000" w:themeColor="text1"/>
          <w:sz w:val="32"/>
          <w:szCs w:val="32"/>
          <w:highlight w:val="none"/>
          <w:lang w:val="en-US" w:eastAsia="zh-CN" w:bidi="ar-SA"/>
          <w14:textFill>
            <w14:solidFill>
              <w14:schemeClr w14:val="tx1"/>
            </w14:solidFill>
          </w14:textFill>
        </w:rPr>
        <w:t>球员技术等级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按照《中国足球协会关于印发中国足球协会足球运动员技术等级管理规定系列文件的通知》（足球字〔2022〕286号）执行。请各参赛队提前准备，按要求申报。</w:t>
      </w:r>
    </w:p>
    <w:p>
      <w:pPr>
        <w:pStyle w:val="7"/>
        <w:keepNext w:val="0"/>
        <w:keepLines w:val="0"/>
        <w:pageBreakBefore w:val="0"/>
        <w:kinsoku/>
        <w:wordWrap/>
        <w:topLinePunct w:val="0"/>
        <w:bidi w:val="0"/>
        <w:spacing w:before="0" w:after="0" w:line="240" w:lineRule="auto"/>
        <w:ind w:left="0" w:leftChars="0" w:right="0" w:rightChars="0" w:firstLine="640" w:firstLineChars="200"/>
        <w:textAlignment w:val="auto"/>
        <w:rPr>
          <w:rFonts w:hint="eastAsia" w:ascii="黑体" w:hAnsi="黑体" w:eastAsia="黑体" w:cs="黑体"/>
          <w:b w:val="0"/>
          <w:bCs w:val="0"/>
          <w:color w:val="000000" w:themeColor="text1"/>
          <w:highlight w:val="none"/>
          <w:lang w:val="en-US" w:eastAsia="zh-CN"/>
          <w14:textFill>
            <w14:solidFill>
              <w14:schemeClr w14:val="tx1"/>
            </w14:solidFill>
          </w14:textFill>
        </w:rPr>
      </w:pPr>
    </w:p>
    <w:p>
      <w:pPr>
        <w:pStyle w:val="7"/>
        <w:keepNext w:val="0"/>
        <w:keepLines w:val="0"/>
        <w:pageBreakBefore w:val="0"/>
        <w:kinsoku/>
        <w:wordWrap/>
        <w:topLinePunct w:val="0"/>
        <w:bidi w:val="0"/>
        <w:spacing w:before="0" w:after="0" w:line="240" w:lineRule="auto"/>
        <w:ind w:left="0" w:leftChars="0" w:right="0" w:rightChars="0" w:firstLine="640" w:firstLineChars="200"/>
        <w:textAlignment w:val="auto"/>
        <w:rPr>
          <w:rFonts w:ascii="黑体" w:hAnsi="黑体" w:eastAsia="黑体" w:cs="黑体"/>
          <w:b w:val="0"/>
          <w:bCs w:val="0"/>
          <w:color w:val="000000" w:themeColor="text1"/>
          <w:highlight w:val="none"/>
          <w14:textFill>
            <w14:solidFill>
              <w14:schemeClr w14:val="tx1"/>
            </w14:solidFill>
          </w14:textFill>
        </w:rPr>
      </w:pPr>
      <w:r>
        <w:rPr>
          <w:rFonts w:hint="eastAsia" w:ascii="黑体" w:hAnsi="黑体" w:eastAsia="黑体" w:cs="黑体"/>
          <w:b w:val="0"/>
          <w:bCs w:val="0"/>
          <w:color w:val="000000" w:themeColor="text1"/>
          <w:highlight w:val="none"/>
          <w14:textFill>
            <w14:solidFill>
              <w14:schemeClr w14:val="tx1"/>
            </w14:solidFill>
          </w14:textFill>
        </w:rPr>
        <w:t>第八章 附则</w:t>
      </w:r>
    </w:p>
    <w:p>
      <w:pPr>
        <w:keepNext w:val="0"/>
        <w:keepLines w:val="0"/>
        <w:pageBreakBefore w:val="0"/>
        <w:kinsoku/>
        <w:wordWrap/>
        <w:topLinePunct w:val="0"/>
        <w:autoSpaceDE w:val="0"/>
        <w:autoSpaceDN w:val="0"/>
        <w:bidi w:val="0"/>
        <w:adjustRightInd w:val="0"/>
        <w:spacing w:line="240" w:lineRule="auto"/>
        <w:ind w:left="0" w:leftChars="0" w:right="0" w:rightChars="0" w:firstLine="640" w:firstLineChars="200"/>
        <w:jc w:val="left"/>
        <w:textAlignment w:val="auto"/>
        <w:rPr>
          <w:rFonts w:hint="eastAsia" w:ascii="黑体" w:hAnsi="黑体" w:eastAsia="黑体" w:cs="黑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第二十</w:t>
      </w:r>
      <w:r>
        <w:rPr>
          <w:rFonts w:hint="eastAsia" w:ascii="黑体" w:hAnsi="黑体" w:eastAsia="黑体" w:cs="黑体"/>
          <w:color w:val="000000" w:themeColor="text1"/>
          <w:sz w:val="32"/>
          <w:szCs w:val="32"/>
          <w:highlight w:val="none"/>
          <w:lang w:val="en-US" w:eastAsia="zh-CN"/>
          <w14:textFill>
            <w14:solidFill>
              <w14:schemeClr w14:val="tx1"/>
            </w14:solidFill>
          </w14:textFill>
        </w:rPr>
        <w:t>四</w:t>
      </w:r>
      <w:r>
        <w:rPr>
          <w:rFonts w:hint="eastAsia" w:ascii="黑体" w:hAnsi="黑体" w:eastAsia="黑体" w:cs="黑体"/>
          <w:color w:val="000000" w:themeColor="text1"/>
          <w:sz w:val="32"/>
          <w:szCs w:val="32"/>
          <w:highlight w:val="none"/>
          <w14:textFill>
            <w14:solidFill>
              <w14:schemeClr w14:val="tx1"/>
            </w14:solidFill>
          </w14:textFill>
        </w:rPr>
        <w:t xml:space="preserve">条 </w:t>
      </w:r>
      <w:r>
        <w:rPr>
          <w:rFonts w:hint="eastAsia" w:ascii="黑体" w:hAnsi="黑体" w:eastAsia="黑体" w:cs="黑体"/>
          <w:color w:val="000000" w:themeColor="text1"/>
          <w:kern w:val="0"/>
          <w:sz w:val="32"/>
          <w:szCs w:val="32"/>
          <w:highlight w:val="none"/>
          <w14:textFill>
            <w14:solidFill>
              <w14:schemeClr w14:val="tx1"/>
            </w14:solidFill>
          </w14:textFill>
        </w:rPr>
        <w:t>本规程解释权、修改权、补充权归</w:t>
      </w:r>
      <w:r>
        <w:rPr>
          <w:rFonts w:hint="eastAsia" w:ascii="黑体" w:hAnsi="黑体" w:eastAsia="黑体" w:cs="黑体"/>
          <w:color w:val="000000" w:themeColor="text1"/>
          <w:kern w:val="0"/>
          <w:sz w:val="32"/>
          <w:szCs w:val="32"/>
          <w:highlight w:val="none"/>
          <w:lang w:val="en-US" w:eastAsia="zh-CN"/>
          <w14:textFill>
            <w14:solidFill>
              <w14:schemeClr w14:val="tx1"/>
            </w14:solidFill>
          </w14:textFill>
        </w:rPr>
        <w:t>北京市足球运动协会</w:t>
      </w:r>
      <w:r>
        <w:rPr>
          <w:rFonts w:hint="eastAsia" w:ascii="黑体" w:hAnsi="黑体" w:eastAsia="黑体" w:cs="黑体"/>
          <w:color w:val="000000" w:themeColor="text1"/>
          <w:kern w:val="0"/>
          <w:sz w:val="32"/>
          <w:szCs w:val="32"/>
          <w:highlight w:val="none"/>
          <w14:textFill>
            <w14:solidFill>
              <w14:schemeClr w14:val="tx1"/>
            </w14:solidFill>
          </w14:textFill>
        </w:rPr>
        <w:t>所有，</w:t>
      </w:r>
      <w:r>
        <w:rPr>
          <w:rFonts w:hint="eastAsia" w:ascii="黑体" w:hAnsi="黑体" w:eastAsia="黑体" w:cs="黑体"/>
          <w:color w:val="000000" w:themeColor="text1"/>
          <w:kern w:val="0"/>
          <w:sz w:val="32"/>
          <w:szCs w:val="32"/>
          <w:highlight w:val="none"/>
          <w:lang w:eastAsia="zh-CN"/>
          <w14:textFill>
            <w14:solidFill>
              <w14:schemeClr w14:val="tx1"/>
            </w14:solidFill>
          </w14:textFill>
        </w:rPr>
        <w:t>其他</w:t>
      </w:r>
      <w:r>
        <w:rPr>
          <w:rFonts w:hint="eastAsia" w:ascii="黑体" w:hAnsi="黑体" w:eastAsia="黑体" w:cs="黑体"/>
          <w:color w:val="000000" w:themeColor="text1"/>
          <w:kern w:val="0"/>
          <w:sz w:val="32"/>
          <w:szCs w:val="32"/>
          <w:highlight w:val="none"/>
          <w14:textFill>
            <w14:solidFill>
              <w14:schemeClr w14:val="tx1"/>
            </w14:solidFill>
          </w14:textFill>
        </w:rPr>
        <w:t>未尽事宜另行通知。</w:t>
      </w:r>
    </w:p>
    <w:sectPr>
      <w:footerReference r:id="rId3" w:type="default"/>
      <w:pgSz w:w="11906" w:h="16838"/>
      <w:pgMar w:top="2098" w:right="1474" w:bottom="1985" w:left="1588" w:header="851" w:footer="1587" w:gutter="0"/>
      <w:pgNumType w:fmt="numberInDash"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7C3948-F737-42A7-9297-639922B6E14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C6BC56AC-57A4-4550-94EF-6A53EAA1D4C5}"/>
  </w:font>
  <w:font w:name="仿宋_GB2312">
    <w:panose1 w:val="02010609030101010101"/>
    <w:charset w:val="86"/>
    <w:family w:val="auto"/>
    <w:pitch w:val="default"/>
    <w:sig w:usb0="00000001" w:usb1="080E0000" w:usb2="00000000" w:usb3="00000000" w:csb0="00040000" w:csb1="00000000"/>
    <w:embedRegular r:id="rId3" w:fontKey="{F051F4CF-A3A9-4AAB-BE29-5A00B87169AB}"/>
  </w:font>
  <w:font w:name="仿宋">
    <w:panose1 w:val="02010609060101010101"/>
    <w:charset w:val="86"/>
    <w:family w:val="modern"/>
    <w:pitch w:val="default"/>
    <w:sig w:usb0="800002BF" w:usb1="38CF7CFA" w:usb2="00000016" w:usb3="00000000" w:csb0="00040001" w:csb1="00000000"/>
    <w:embedRegular r:id="rId4" w:fontKey="{41722B98-27B6-4B83-981A-DDF03C7C4ECD}"/>
  </w:font>
  <w:font w:name="PMingLiU">
    <w:altName w:val="PMingLiU-ExtB"/>
    <w:panose1 w:val="02020500000000000000"/>
    <w:charset w:val="88"/>
    <w:family w:val="roman"/>
    <w:pitch w:val="default"/>
    <w:sig w:usb0="00000000" w:usb1="00000000" w:usb2="00000016" w:usb3="00000000" w:csb0="00100001" w:csb1="00000000"/>
    <w:embedRegular r:id="rId5" w:fontKey="{5A45A4BD-BDD5-48F3-8E1D-791F599D1554}"/>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MmVkZThkZmZjNDk0ZWEzNzNkNWRmMDUzYmJiZDEifQ=="/>
  </w:docVars>
  <w:rsids>
    <w:rsidRoot w:val="9FBFA301"/>
    <w:rsid w:val="00053678"/>
    <w:rsid w:val="0007043E"/>
    <w:rsid w:val="0010251A"/>
    <w:rsid w:val="0024566C"/>
    <w:rsid w:val="00260AAC"/>
    <w:rsid w:val="00283239"/>
    <w:rsid w:val="002F6650"/>
    <w:rsid w:val="004032E1"/>
    <w:rsid w:val="004415C5"/>
    <w:rsid w:val="004928E4"/>
    <w:rsid w:val="004B05AA"/>
    <w:rsid w:val="004C6E03"/>
    <w:rsid w:val="00594408"/>
    <w:rsid w:val="005C1276"/>
    <w:rsid w:val="006605CA"/>
    <w:rsid w:val="006911F9"/>
    <w:rsid w:val="006B636F"/>
    <w:rsid w:val="0070448C"/>
    <w:rsid w:val="008F0A1C"/>
    <w:rsid w:val="0090254A"/>
    <w:rsid w:val="00902595"/>
    <w:rsid w:val="0095725A"/>
    <w:rsid w:val="00983686"/>
    <w:rsid w:val="00A467E3"/>
    <w:rsid w:val="00A75944"/>
    <w:rsid w:val="00A8009B"/>
    <w:rsid w:val="00AC565F"/>
    <w:rsid w:val="00B5752D"/>
    <w:rsid w:val="00B97240"/>
    <w:rsid w:val="00BA2C0E"/>
    <w:rsid w:val="00BC2663"/>
    <w:rsid w:val="00C4442A"/>
    <w:rsid w:val="00CA6475"/>
    <w:rsid w:val="00CC08B1"/>
    <w:rsid w:val="00CF643B"/>
    <w:rsid w:val="00D00BE6"/>
    <w:rsid w:val="00D24148"/>
    <w:rsid w:val="00D53F7A"/>
    <w:rsid w:val="00D74B53"/>
    <w:rsid w:val="00E35082"/>
    <w:rsid w:val="00E42176"/>
    <w:rsid w:val="00ED0E09"/>
    <w:rsid w:val="00F134E0"/>
    <w:rsid w:val="00F96B97"/>
    <w:rsid w:val="00FE56CD"/>
    <w:rsid w:val="012B68C7"/>
    <w:rsid w:val="01E34076"/>
    <w:rsid w:val="022165AB"/>
    <w:rsid w:val="025F7AF4"/>
    <w:rsid w:val="02A816EE"/>
    <w:rsid w:val="02CC42EB"/>
    <w:rsid w:val="02FC45A7"/>
    <w:rsid w:val="0304339D"/>
    <w:rsid w:val="03092386"/>
    <w:rsid w:val="033A256D"/>
    <w:rsid w:val="03402295"/>
    <w:rsid w:val="037435B5"/>
    <w:rsid w:val="03767EB5"/>
    <w:rsid w:val="03814863"/>
    <w:rsid w:val="0392201E"/>
    <w:rsid w:val="03B83E3A"/>
    <w:rsid w:val="03BD7C09"/>
    <w:rsid w:val="03F62BF4"/>
    <w:rsid w:val="049D20AA"/>
    <w:rsid w:val="04BF2EAB"/>
    <w:rsid w:val="04D94D82"/>
    <w:rsid w:val="04E672BC"/>
    <w:rsid w:val="04FA2D68"/>
    <w:rsid w:val="0521146D"/>
    <w:rsid w:val="05215296"/>
    <w:rsid w:val="056E5F3E"/>
    <w:rsid w:val="05AE17DE"/>
    <w:rsid w:val="05E535CA"/>
    <w:rsid w:val="06342F58"/>
    <w:rsid w:val="064047AA"/>
    <w:rsid w:val="064C13A1"/>
    <w:rsid w:val="0680104B"/>
    <w:rsid w:val="069A65B0"/>
    <w:rsid w:val="06D02AE7"/>
    <w:rsid w:val="07187F45"/>
    <w:rsid w:val="07625D1B"/>
    <w:rsid w:val="078537E8"/>
    <w:rsid w:val="07C85746"/>
    <w:rsid w:val="080034AF"/>
    <w:rsid w:val="081542F5"/>
    <w:rsid w:val="081D367E"/>
    <w:rsid w:val="089F1587"/>
    <w:rsid w:val="08B11F30"/>
    <w:rsid w:val="08CE2796"/>
    <w:rsid w:val="09175198"/>
    <w:rsid w:val="094C7A90"/>
    <w:rsid w:val="094D41F6"/>
    <w:rsid w:val="09522B9B"/>
    <w:rsid w:val="097F3C77"/>
    <w:rsid w:val="099077F7"/>
    <w:rsid w:val="09A0232D"/>
    <w:rsid w:val="09AC2F09"/>
    <w:rsid w:val="09B41D5F"/>
    <w:rsid w:val="0A0A0275"/>
    <w:rsid w:val="0A24334F"/>
    <w:rsid w:val="0A4437E8"/>
    <w:rsid w:val="0A4D33BD"/>
    <w:rsid w:val="0A880B23"/>
    <w:rsid w:val="0B2F1CCB"/>
    <w:rsid w:val="0BA9612C"/>
    <w:rsid w:val="0BE77E99"/>
    <w:rsid w:val="0BFC1173"/>
    <w:rsid w:val="0BFC6A58"/>
    <w:rsid w:val="0C111BFC"/>
    <w:rsid w:val="0C506894"/>
    <w:rsid w:val="0C734321"/>
    <w:rsid w:val="0CB95D68"/>
    <w:rsid w:val="0CC212FB"/>
    <w:rsid w:val="0D0429D6"/>
    <w:rsid w:val="0D054B95"/>
    <w:rsid w:val="0D0B5B12"/>
    <w:rsid w:val="0D1D5845"/>
    <w:rsid w:val="0D3A1897"/>
    <w:rsid w:val="0D69706B"/>
    <w:rsid w:val="0D6B4803"/>
    <w:rsid w:val="0D993E8E"/>
    <w:rsid w:val="0DE3413F"/>
    <w:rsid w:val="0E3F3599"/>
    <w:rsid w:val="0EA70D13"/>
    <w:rsid w:val="0EBA629E"/>
    <w:rsid w:val="0EC71E62"/>
    <w:rsid w:val="0EE45AE1"/>
    <w:rsid w:val="0F0D57F6"/>
    <w:rsid w:val="0F422718"/>
    <w:rsid w:val="0F6A1A3D"/>
    <w:rsid w:val="0FB95FF5"/>
    <w:rsid w:val="0FF450A0"/>
    <w:rsid w:val="10092180"/>
    <w:rsid w:val="104D6442"/>
    <w:rsid w:val="107E484D"/>
    <w:rsid w:val="108E2C65"/>
    <w:rsid w:val="10D01002"/>
    <w:rsid w:val="10DA5675"/>
    <w:rsid w:val="10F64AED"/>
    <w:rsid w:val="10FB76E3"/>
    <w:rsid w:val="11001706"/>
    <w:rsid w:val="1116440E"/>
    <w:rsid w:val="112959A9"/>
    <w:rsid w:val="11436264"/>
    <w:rsid w:val="1158684B"/>
    <w:rsid w:val="11653296"/>
    <w:rsid w:val="11B90012"/>
    <w:rsid w:val="11C4449E"/>
    <w:rsid w:val="11D3303E"/>
    <w:rsid w:val="11DD55A3"/>
    <w:rsid w:val="11EC2E82"/>
    <w:rsid w:val="12E558F2"/>
    <w:rsid w:val="12F61E46"/>
    <w:rsid w:val="12F939E0"/>
    <w:rsid w:val="130C25E4"/>
    <w:rsid w:val="134A75CE"/>
    <w:rsid w:val="13B24D81"/>
    <w:rsid w:val="14BF73DF"/>
    <w:rsid w:val="14EF46DF"/>
    <w:rsid w:val="151C54CF"/>
    <w:rsid w:val="15510318"/>
    <w:rsid w:val="155142DE"/>
    <w:rsid w:val="15561CF4"/>
    <w:rsid w:val="15724781"/>
    <w:rsid w:val="1573445B"/>
    <w:rsid w:val="1573694A"/>
    <w:rsid w:val="159B74FB"/>
    <w:rsid w:val="15B41605"/>
    <w:rsid w:val="15CE0CA7"/>
    <w:rsid w:val="15E80718"/>
    <w:rsid w:val="15EF306A"/>
    <w:rsid w:val="16067E40"/>
    <w:rsid w:val="16775464"/>
    <w:rsid w:val="168D01E5"/>
    <w:rsid w:val="16D12BF1"/>
    <w:rsid w:val="17061BF1"/>
    <w:rsid w:val="17392115"/>
    <w:rsid w:val="173A1B89"/>
    <w:rsid w:val="17487963"/>
    <w:rsid w:val="174F0C6D"/>
    <w:rsid w:val="175E7DFA"/>
    <w:rsid w:val="17A92837"/>
    <w:rsid w:val="17E93834"/>
    <w:rsid w:val="17F152BB"/>
    <w:rsid w:val="18FC6139"/>
    <w:rsid w:val="1901554E"/>
    <w:rsid w:val="190D0947"/>
    <w:rsid w:val="1913665F"/>
    <w:rsid w:val="19351C0F"/>
    <w:rsid w:val="1A2255ED"/>
    <w:rsid w:val="1A4D2F56"/>
    <w:rsid w:val="1AFB7C4E"/>
    <w:rsid w:val="1B180D43"/>
    <w:rsid w:val="1B3E3557"/>
    <w:rsid w:val="1B444391"/>
    <w:rsid w:val="1BC05FB3"/>
    <w:rsid w:val="1C045936"/>
    <w:rsid w:val="1C397CE6"/>
    <w:rsid w:val="1C77690F"/>
    <w:rsid w:val="1CBB1081"/>
    <w:rsid w:val="1CC92AF9"/>
    <w:rsid w:val="1CE90952"/>
    <w:rsid w:val="1D1B19E2"/>
    <w:rsid w:val="1D324E68"/>
    <w:rsid w:val="1D461560"/>
    <w:rsid w:val="1D8B1425"/>
    <w:rsid w:val="1E0C3C6C"/>
    <w:rsid w:val="1E6D7CAF"/>
    <w:rsid w:val="1E8B7D7F"/>
    <w:rsid w:val="1EB813CD"/>
    <w:rsid w:val="1F437284"/>
    <w:rsid w:val="1F9B5991"/>
    <w:rsid w:val="1FAD48B9"/>
    <w:rsid w:val="20821001"/>
    <w:rsid w:val="20A95C53"/>
    <w:rsid w:val="20B1477B"/>
    <w:rsid w:val="20BD416F"/>
    <w:rsid w:val="20C72B10"/>
    <w:rsid w:val="21011C7B"/>
    <w:rsid w:val="212A1361"/>
    <w:rsid w:val="2186017A"/>
    <w:rsid w:val="21DA2ABE"/>
    <w:rsid w:val="21EA09A9"/>
    <w:rsid w:val="21F73AD3"/>
    <w:rsid w:val="22287BC2"/>
    <w:rsid w:val="223C00C4"/>
    <w:rsid w:val="223E5BEA"/>
    <w:rsid w:val="223F20D3"/>
    <w:rsid w:val="22627DAF"/>
    <w:rsid w:val="227B407D"/>
    <w:rsid w:val="22B71F29"/>
    <w:rsid w:val="22CB676E"/>
    <w:rsid w:val="22CD18BE"/>
    <w:rsid w:val="22E744D4"/>
    <w:rsid w:val="23520760"/>
    <w:rsid w:val="23EC7215"/>
    <w:rsid w:val="24636C94"/>
    <w:rsid w:val="247B2E5C"/>
    <w:rsid w:val="24B623B0"/>
    <w:rsid w:val="24C4455C"/>
    <w:rsid w:val="2528235F"/>
    <w:rsid w:val="252C636D"/>
    <w:rsid w:val="253E5F41"/>
    <w:rsid w:val="25402255"/>
    <w:rsid w:val="25BE3EFF"/>
    <w:rsid w:val="25C6384A"/>
    <w:rsid w:val="260602B0"/>
    <w:rsid w:val="26420DF9"/>
    <w:rsid w:val="26B6615E"/>
    <w:rsid w:val="26CA399A"/>
    <w:rsid w:val="271B0BF0"/>
    <w:rsid w:val="271F5FD6"/>
    <w:rsid w:val="27206206"/>
    <w:rsid w:val="276764C4"/>
    <w:rsid w:val="27687ED9"/>
    <w:rsid w:val="276B00DA"/>
    <w:rsid w:val="27910EB2"/>
    <w:rsid w:val="27BC42F7"/>
    <w:rsid w:val="27DD5EA5"/>
    <w:rsid w:val="27F85D17"/>
    <w:rsid w:val="28047B1F"/>
    <w:rsid w:val="28105106"/>
    <w:rsid w:val="284C69C3"/>
    <w:rsid w:val="28543CBE"/>
    <w:rsid w:val="2871607D"/>
    <w:rsid w:val="28F11087"/>
    <w:rsid w:val="29135C44"/>
    <w:rsid w:val="294361DC"/>
    <w:rsid w:val="294F6001"/>
    <w:rsid w:val="29B92B48"/>
    <w:rsid w:val="29C75794"/>
    <w:rsid w:val="29D654C7"/>
    <w:rsid w:val="29F35650"/>
    <w:rsid w:val="29F8727E"/>
    <w:rsid w:val="2A2D4EC2"/>
    <w:rsid w:val="2A5D28E8"/>
    <w:rsid w:val="2A895687"/>
    <w:rsid w:val="2AAB32D8"/>
    <w:rsid w:val="2AE177F6"/>
    <w:rsid w:val="2AEC2197"/>
    <w:rsid w:val="2B013132"/>
    <w:rsid w:val="2BDB4CAA"/>
    <w:rsid w:val="2CB8739B"/>
    <w:rsid w:val="2CDB583A"/>
    <w:rsid w:val="2D1B777C"/>
    <w:rsid w:val="2D6D0C94"/>
    <w:rsid w:val="2DBB0BEC"/>
    <w:rsid w:val="2DD7263F"/>
    <w:rsid w:val="2E0B48B2"/>
    <w:rsid w:val="2E19788A"/>
    <w:rsid w:val="2E1C229E"/>
    <w:rsid w:val="2ED16D20"/>
    <w:rsid w:val="2F1A178D"/>
    <w:rsid w:val="2F277254"/>
    <w:rsid w:val="2F6D330C"/>
    <w:rsid w:val="2FBF1942"/>
    <w:rsid w:val="2FE06533"/>
    <w:rsid w:val="2FEE08D2"/>
    <w:rsid w:val="30353F1B"/>
    <w:rsid w:val="303F06D1"/>
    <w:rsid w:val="304A1D40"/>
    <w:rsid w:val="30B42BAA"/>
    <w:rsid w:val="30C41CB6"/>
    <w:rsid w:val="30F901B8"/>
    <w:rsid w:val="310974A7"/>
    <w:rsid w:val="310D6804"/>
    <w:rsid w:val="31E921E2"/>
    <w:rsid w:val="324C06E6"/>
    <w:rsid w:val="326605FE"/>
    <w:rsid w:val="326D76BB"/>
    <w:rsid w:val="32755467"/>
    <w:rsid w:val="32BF606D"/>
    <w:rsid w:val="32C1089D"/>
    <w:rsid w:val="330937B7"/>
    <w:rsid w:val="332466B1"/>
    <w:rsid w:val="33B51A84"/>
    <w:rsid w:val="33DA14EB"/>
    <w:rsid w:val="33E17DD5"/>
    <w:rsid w:val="347F6DD1"/>
    <w:rsid w:val="34802092"/>
    <w:rsid w:val="34B61F58"/>
    <w:rsid w:val="34EA6D1A"/>
    <w:rsid w:val="35210EDB"/>
    <w:rsid w:val="358D0764"/>
    <w:rsid w:val="35AE7CBF"/>
    <w:rsid w:val="35FA4AC4"/>
    <w:rsid w:val="360B7892"/>
    <w:rsid w:val="36127BF3"/>
    <w:rsid w:val="362232FE"/>
    <w:rsid w:val="363F76E9"/>
    <w:rsid w:val="3668692A"/>
    <w:rsid w:val="367A740F"/>
    <w:rsid w:val="378C33AD"/>
    <w:rsid w:val="378F55D9"/>
    <w:rsid w:val="384D3CF2"/>
    <w:rsid w:val="386D0B7F"/>
    <w:rsid w:val="38CF181C"/>
    <w:rsid w:val="39255B6D"/>
    <w:rsid w:val="393D3FA2"/>
    <w:rsid w:val="39A127A2"/>
    <w:rsid w:val="39D8059A"/>
    <w:rsid w:val="39E44E71"/>
    <w:rsid w:val="3A5D74D9"/>
    <w:rsid w:val="3A755F63"/>
    <w:rsid w:val="3AA85885"/>
    <w:rsid w:val="3AE81F7D"/>
    <w:rsid w:val="3B07777D"/>
    <w:rsid w:val="3B1A3241"/>
    <w:rsid w:val="3B530501"/>
    <w:rsid w:val="3B984165"/>
    <w:rsid w:val="3BBC3FFE"/>
    <w:rsid w:val="3BD93627"/>
    <w:rsid w:val="3C7715BD"/>
    <w:rsid w:val="3C8734C6"/>
    <w:rsid w:val="3CC1626E"/>
    <w:rsid w:val="3CC5173A"/>
    <w:rsid w:val="3D6A38DF"/>
    <w:rsid w:val="3D791D75"/>
    <w:rsid w:val="3DE944B0"/>
    <w:rsid w:val="3E0029FB"/>
    <w:rsid w:val="3E194BC1"/>
    <w:rsid w:val="3E431E4E"/>
    <w:rsid w:val="3E834E1F"/>
    <w:rsid w:val="3E854E75"/>
    <w:rsid w:val="3EAC7351"/>
    <w:rsid w:val="3ED46878"/>
    <w:rsid w:val="3EE43783"/>
    <w:rsid w:val="3F300DD6"/>
    <w:rsid w:val="3F780EC3"/>
    <w:rsid w:val="3FBA4FB2"/>
    <w:rsid w:val="3FC90D91"/>
    <w:rsid w:val="3FD2347F"/>
    <w:rsid w:val="3FD73992"/>
    <w:rsid w:val="4000052B"/>
    <w:rsid w:val="40024711"/>
    <w:rsid w:val="403F2512"/>
    <w:rsid w:val="40615464"/>
    <w:rsid w:val="40AE3874"/>
    <w:rsid w:val="40F650B7"/>
    <w:rsid w:val="41174116"/>
    <w:rsid w:val="411C0B2E"/>
    <w:rsid w:val="414447B0"/>
    <w:rsid w:val="415154E2"/>
    <w:rsid w:val="41834C52"/>
    <w:rsid w:val="418B0DE2"/>
    <w:rsid w:val="418D366A"/>
    <w:rsid w:val="41C63B8E"/>
    <w:rsid w:val="421008C0"/>
    <w:rsid w:val="42845443"/>
    <w:rsid w:val="42D1510C"/>
    <w:rsid w:val="42D84EC8"/>
    <w:rsid w:val="42DE0FF8"/>
    <w:rsid w:val="42E60330"/>
    <w:rsid w:val="432E5A45"/>
    <w:rsid w:val="4348021A"/>
    <w:rsid w:val="43A46EA0"/>
    <w:rsid w:val="43B51303"/>
    <w:rsid w:val="43BB30E7"/>
    <w:rsid w:val="43E34E93"/>
    <w:rsid w:val="43E85D96"/>
    <w:rsid w:val="44276F2B"/>
    <w:rsid w:val="447308FD"/>
    <w:rsid w:val="4488746D"/>
    <w:rsid w:val="44AE0583"/>
    <w:rsid w:val="44D30B6A"/>
    <w:rsid w:val="452C585E"/>
    <w:rsid w:val="454E4597"/>
    <w:rsid w:val="45813C02"/>
    <w:rsid w:val="45F33426"/>
    <w:rsid w:val="45F55794"/>
    <w:rsid w:val="45FE4FBA"/>
    <w:rsid w:val="46036001"/>
    <w:rsid w:val="4618015E"/>
    <w:rsid w:val="463D7DE3"/>
    <w:rsid w:val="46902123"/>
    <w:rsid w:val="46BB09F6"/>
    <w:rsid w:val="47481269"/>
    <w:rsid w:val="478163F5"/>
    <w:rsid w:val="479249F5"/>
    <w:rsid w:val="48421D58"/>
    <w:rsid w:val="48AB7349"/>
    <w:rsid w:val="493808CB"/>
    <w:rsid w:val="498961F6"/>
    <w:rsid w:val="4B734612"/>
    <w:rsid w:val="4BB3068A"/>
    <w:rsid w:val="4BD60A4C"/>
    <w:rsid w:val="4BDB2A64"/>
    <w:rsid w:val="4C1F1413"/>
    <w:rsid w:val="4C7622A1"/>
    <w:rsid w:val="4C7F1237"/>
    <w:rsid w:val="4CBD675F"/>
    <w:rsid w:val="4CC22AC8"/>
    <w:rsid w:val="4CF65190"/>
    <w:rsid w:val="4D4507B1"/>
    <w:rsid w:val="4D7E6A70"/>
    <w:rsid w:val="4D996877"/>
    <w:rsid w:val="4E411170"/>
    <w:rsid w:val="4EA41181"/>
    <w:rsid w:val="4EBC7D57"/>
    <w:rsid w:val="4EC9680B"/>
    <w:rsid w:val="4F6F7E52"/>
    <w:rsid w:val="4F733DAF"/>
    <w:rsid w:val="4FD9232A"/>
    <w:rsid w:val="501610BD"/>
    <w:rsid w:val="51404C2B"/>
    <w:rsid w:val="514B7966"/>
    <w:rsid w:val="5196484B"/>
    <w:rsid w:val="519805C3"/>
    <w:rsid w:val="51E13944"/>
    <w:rsid w:val="51FA127E"/>
    <w:rsid w:val="52F669F6"/>
    <w:rsid w:val="53463323"/>
    <w:rsid w:val="535B1E41"/>
    <w:rsid w:val="536D234E"/>
    <w:rsid w:val="538B05D6"/>
    <w:rsid w:val="53E47046"/>
    <w:rsid w:val="5418772A"/>
    <w:rsid w:val="54224ABC"/>
    <w:rsid w:val="542904D4"/>
    <w:rsid w:val="543B4AB3"/>
    <w:rsid w:val="545C1713"/>
    <w:rsid w:val="54740E86"/>
    <w:rsid w:val="549017B1"/>
    <w:rsid w:val="55055F70"/>
    <w:rsid w:val="5527238A"/>
    <w:rsid w:val="55427DB2"/>
    <w:rsid w:val="55CC11D5"/>
    <w:rsid w:val="560650F7"/>
    <w:rsid w:val="5683022C"/>
    <w:rsid w:val="568C5953"/>
    <w:rsid w:val="56995541"/>
    <w:rsid w:val="57045F7C"/>
    <w:rsid w:val="57A05B02"/>
    <w:rsid w:val="57A95ABD"/>
    <w:rsid w:val="57C71C02"/>
    <w:rsid w:val="58074AD6"/>
    <w:rsid w:val="584C33F8"/>
    <w:rsid w:val="588E0972"/>
    <w:rsid w:val="58991DF0"/>
    <w:rsid w:val="58B36AA0"/>
    <w:rsid w:val="58C87638"/>
    <w:rsid w:val="58EE4002"/>
    <w:rsid w:val="592443D0"/>
    <w:rsid w:val="594A4899"/>
    <w:rsid w:val="595C79E9"/>
    <w:rsid w:val="597208E5"/>
    <w:rsid w:val="598F3A95"/>
    <w:rsid w:val="59AF6DF2"/>
    <w:rsid w:val="59D8590A"/>
    <w:rsid w:val="59EB087E"/>
    <w:rsid w:val="59FB24CC"/>
    <w:rsid w:val="5A212698"/>
    <w:rsid w:val="5A3E4C35"/>
    <w:rsid w:val="5A8D7684"/>
    <w:rsid w:val="5A8E6CC6"/>
    <w:rsid w:val="5ABF173F"/>
    <w:rsid w:val="5AC129BE"/>
    <w:rsid w:val="5AC8724C"/>
    <w:rsid w:val="5AE147B9"/>
    <w:rsid w:val="5B73692E"/>
    <w:rsid w:val="5BA87A3F"/>
    <w:rsid w:val="5BCF4988"/>
    <w:rsid w:val="5BE261AF"/>
    <w:rsid w:val="5C71213D"/>
    <w:rsid w:val="5C8414D1"/>
    <w:rsid w:val="5CC037DC"/>
    <w:rsid w:val="5D4D3138"/>
    <w:rsid w:val="5D591DC9"/>
    <w:rsid w:val="5E2C6A39"/>
    <w:rsid w:val="5E5D7BE4"/>
    <w:rsid w:val="5E7F70C9"/>
    <w:rsid w:val="5E9F11E3"/>
    <w:rsid w:val="5F2809DA"/>
    <w:rsid w:val="5F625C2F"/>
    <w:rsid w:val="5FBB6258"/>
    <w:rsid w:val="604116B2"/>
    <w:rsid w:val="60FC22A0"/>
    <w:rsid w:val="61596B36"/>
    <w:rsid w:val="61D64FBA"/>
    <w:rsid w:val="61EA0548"/>
    <w:rsid w:val="61EF4230"/>
    <w:rsid w:val="62257FFA"/>
    <w:rsid w:val="622715C0"/>
    <w:rsid w:val="625447AB"/>
    <w:rsid w:val="627F48F3"/>
    <w:rsid w:val="62847A18"/>
    <w:rsid w:val="6286155E"/>
    <w:rsid w:val="628870E6"/>
    <w:rsid w:val="628E68D3"/>
    <w:rsid w:val="628F2C23"/>
    <w:rsid w:val="62A204A5"/>
    <w:rsid w:val="630C0E11"/>
    <w:rsid w:val="63186A07"/>
    <w:rsid w:val="63660B97"/>
    <w:rsid w:val="63941346"/>
    <w:rsid w:val="63C811DC"/>
    <w:rsid w:val="63D8548A"/>
    <w:rsid w:val="64320274"/>
    <w:rsid w:val="64B61035"/>
    <w:rsid w:val="64EA16D9"/>
    <w:rsid w:val="65046244"/>
    <w:rsid w:val="65177F7C"/>
    <w:rsid w:val="6558329C"/>
    <w:rsid w:val="65851FF8"/>
    <w:rsid w:val="658C51A4"/>
    <w:rsid w:val="65FB6C84"/>
    <w:rsid w:val="66195D1F"/>
    <w:rsid w:val="66276EC1"/>
    <w:rsid w:val="665B1DD8"/>
    <w:rsid w:val="66642507"/>
    <w:rsid w:val="66867433"/>
    <w:rsid w:val="669F17D2"/>
    <w:rsid w:val="67082944"/>
    <w:rsid w:val="67586EF3"/>
    <w:rsid w:val="67B16209"/>
    <w:rsid w:val="67B85361"/>
    <w:rsid w:val="67C80950"/>
    <w:rsid w:val="67CF5490"/>
    <w:rsid w:val="67D331DA"/>
    <w:rsid w:val="67E469E8"/>
    <w:rsid w:val="68282B7F"/>
    <w:rsid w:val="683602DF"/>
    <w:rsid w:val="68432E51"/>
    <w:rsid w:val="684626D0"/>
    <w:rsid w:val="688952EA"/>
    <w:rsid w:val="690E2DE0"/>
    <w:rsid w:val="6917734A"/>
    <w:rsid w:val="692264F2"/>
    <w:rsid w:val="695D70C6"/>
    <w:rsid w:val="695E5126"/>
    <w:rsid w:val="69986CAD"/>
    <w:rsid w:val="69ED4199"/>
    <w:rsid w:val="69F23066"/>
    <w:rsid w:val="6A04384E"/>
    <w:rsid w:val="6A174EB8"/>
    <w:rsid w:val="6A784F62"/>
    <w:rsid w:val="6AA30143"/>
    <w:rsid w:val="6AA82111"/>
    <w:rsid w:val="6ABF796A"/>
    <w:rsid w:val="6ADA627D"/>
    <w:rsid w:val="6B553928"/>
    <w:rsid w:val="6BB477F2"/>
    <w:rsid w:val="6C67530A"/>
    <w:rsid w:val="6CAD0F6F"/>
    <w:rsid w:val="6CBF0CA2"/>
    <w:rsid w:val="6D7823EF"/>
    <w:rsid w:val="6D9E1DF1"/>
    <w:rsid w:val="6DB4457F"/>
    <w:rsid w:val="6DD4629B"/>
    <w:rsid w:val="6DD95D94"/>
    <w:rsid w:val="6DE72AB3"/>
    <w:rsid w:val="6E55366C"/>
    <w:rsid w:val="6E626756"/>
    <w:rsid w:val="6EBC6FBF"/>
    <w:rsid w:val="6EC56A8A"/>
    <w:rsid w:val="6ED924EF"/>
    <w:rsid w:val="6F25629D"/>
    <w:rsid w:val="6F300E72"/>
    <w:rsid w:val="6FB10D76"/>
    <w:rsid w:val="6FD63EB7"/>
    <w:rsid w:val="70191A8B"/>
    <w:rsid w:val="705D3599"/>
    <w:rsid w:val="707F612B"/>
    <w:rsid w:val="70BF74C3"/>
    <w:rsid w:val="70D6653A"/>
    <w:rsid w:val="710D7F17"/>
    <w:rsid w:val="7115635B"/>
    <w:rsid w:val="71BB5EDC"/>
    <w:rsid w:val="71DA7392"/>
    <w:rsid w:val="71E04D0F"/>
    <w:rsid w:val="71E40975"/>
    <w:rsid w:val="71FC5A60"/>
    <w:rsid w:val="720C45CB"/>
    <w:rsid w:val="724E4FA2"/>
    <w:rsid w:val="72CD46B7"/>
    <w:rsid w:val="734F7E45"/>
    <w:rsid w:val="73700F48"/>
    <w:rsid w:val="73AF1A71"/>
    <w:rsid w:val="73CE2CE1"/>
    <w:rsid w:val="73D65C0F"/>
    <w:rsid w:val="73E23543"/>
    <w:rsid w:val="74201C88"/>
    <w:rsid w:val="74956A8E"/>
    <w:rsid w:val="749B5040"/>
    <w:rsid w:val="749C3157"/>
    <w:rsid w:val="74BD4E6D"/>
    <w:rsid w:val="74C91655"/>
    <w:rsid w:val="7518237F"/>
    <w:rsid w:val="753B493D"/>
    <w:rsid w:val="757540A9"/>
    <w:rsid w:val="758B7AAC"/>
    <w:rsid w:val="75D569D1"/>
    <w:rsid w:val="763E78C5"/>
    <w:rsid w:val="76446146"/>
    <w:rsid w:val="766905FD"/>
    <w:rsid w:val="767A3346"/>
    <w:rsid w:val="76A56439"/>
    <w:rsid w:val="76CD220E"/>
    <w:rsid w:val="76E1197F"/>
    <w:rsid w:val="77046592"/>
    <w:rsid w:val="771B6D53"/>
    <w:rsid w:val="771E489C"/>
    <w:rsid w:val="771E6BE3"/>
    <w:rsid w:val="77604E72"/>
    <w:rsid w:val="77920469"/>
    <w:rsid w:val="779A2A15"/>
    <w:rsid w:val="779E42D6"/>
    <w:rsid w:val="77B34420"/>
    <w:rsid w:val="77C70000"/>
    <w:rsid w:val="77C873AC"/>
    <w:rsid w:val="786526DF"/>
    <w:rsid w:val="78C07F42"/>
    <w:rsid w:val="79A11104"/>
    <w:rsid w:val="7A172352"/>
    <w:rsid w:val="7A2B1F18"/>
    <w:rsid w:val="7A9F3FA0"/>
    <w:rsid w:val="7AE855FB"/>
    <w:rsid w:val="7B2D1921"/>
    <w:rsid w:val="7BF11866"/>
    <w:rsid w:val="7D7B0C16"/>
    <w:rsid w:val="7DA912BE"/>
    <w:rsid w:val="7DBC1176"/>
    <w:rsid w:val="7E4E34C3"/>
    <w:rsid w:val="7E8B6FD4"/>
    <w:rsid w:val="7F3361BC"/>
    <w:rsid w:val="7F6A3F73"/>
    <w:rsid w:val="7F9C18AD"/>
    <w:rsid w:val="7FA74FD2"/>
    <w:rsid w:val="7FCC1C78"/>
    <w:rsid w:val="7FE3647E"/>
    <w:rsid w:val="7FF12162"/>
    <w:rsid w:val="9FBFA301"/>
    <w:rsid w:val="EEBB9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List"/>
    <w:basedOn w:val="1"/>
    <w:autoRedefine/>
    <w:semiHidden/>
    <w:unhideWhenUsed/>
    <w:qFormat/>
    <w:uiPriority w:val="99"/>
    <w:pPr>
      <w:ind w:left="200" w:hanging="200" w:hangingChars="200"/>
      <w:contextualSpacing/>
    </w:pPr>
  </w:style>
  <w:style w:type="paragraph" w:styleId="3">
    <w:name w:val="Body Text Indent"/>
    <w:basedOn w:val="1"/>
    <w:next w:val="1"/>
    <w:autoRedefine/>
    <w:qFormat/>
    <w:uiPriority w:val="0"/>
    <w:pPr>
      <w:spacing w:after="120"/>
      <w:ind w:left="420" w:leftChars="20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0"/>
    <w:pPr>
      <w:spacing w:before="100" w:beforeAutospacing="1" w:after="100" w:afterAutospacing="1"/>
    </w:pPr>
    <w:rPr>
      <w:rFonts w:ascii="宋体" w:hAnsi="Times New Roman" w:eastAsia="宋体" w:cs="宋体"/>
      <w:sz w:val="24"/>
      <w:szCs w:val="24"/>
    </w:rPr>
  </w:style>
  <w:style w:type="paragraph" w:styleId="7">
    <w:name w:val="Title"/>
    <w:basedOn w:val="1"/>
    <w:next w:val="3"/>
    <w:autoRedefine/>
    <w:qFormat/>
    <w:uiPriority w:val="0"/>
    <w:pPr>
      <w:spacing w:before="240" w:after="60"/>
      <w:jc w:val="center"/>
      <w:outlineLvl w:val="0"/>
    </w:pPr>
    <w:rPr>
      <w:rFonts w:ascii="Calibri Light" w:hAnsi="Calibri Light" w:cs="Times New Roman"/>
      <w:b/>
      <w:bCs/>
      <w:sz w:val="32"/>
      <w:szCs w:val="32"/>
    </w:rPr>
  </w:style>
  <w:style w:type="character" w:styleId="10">
    <w:name w:val="Strong"/>
    <w:basedOn w:val="9"/>
    <w:autoRedefine/>
    <w:qFormat/>
    <w:uiPriority w:val="0"/>
    <w:rPr>
      <w:b/>
    </w:rPr>
  </w:style>
  <w:style w:type="paragraph" w:customStyle="1" w:styleId="11">
    <w:name w:val="Body text|1"/>
    <w:basedOn w:val="1"/>
    <w:autoRedefine/>
    <w:qFormat/>
    <w:uiPriority w:val="0"/>
    <w:rPr>
      <w:rFonts w:ascii="宋体" w:hAnsi="宋体" w:eastAsia="宋体" w:cs="宋体"/>
      <w:sz w:val="18"/>
      <w:szCs w:val="18"/>
      <w:lang w:val="zh-TW" w:eastAsia="zh-TW" w:bidi="zh-TW"/>
    </w:rPr>
  </w:style>
  <w:style w:type="paragraph" w:customStyle="1" w:styleId="12">
    <w:name w:val="Heading #4|1"/>
    <w:basedOn w:val="1"/>
    <w:autoRedefine/>
    <w:qFormat/>
    <w:uiPriority w:val="0"/>
    <w:pPr>
      <w:spacing w:after="40"/>
      <w:outlineLvl w:val="3"/>
    </w:pPr>
    <w:rPr>
      <w:rFonts w:ascii="宋体" w:hAnsi="宋体" w:eastAsia="宋体" w:cs="宋体"/>
      <w:shd w:val="clear" w:color="auto" w:fill="FFFFFF"/>
      <w:lang w:val="zh-TW" w:eastAsia="zh-TW" w:bidi="zh-TW"/>
    </w:rPr>
  </w:style>
  <w:style w:type="paragraph" w:customStyle="1" w:styleId="13">
    <w:name w:val="Body text|2"/>
    <w:basedOn w:val="1"/>
    <w:autoRedefine/>
    <w:qFormat/>
    <w:uiPriority w:val="0"/>
    <w:pPr>
      <w:spacing w:after="640"/>
      <w:ind w:firstLine="430"/>
    </w:pPr>
    <w:rPr>
      <w:b/>
      <w:bCs/>
      <w:i/>
      <w:iCs/>
      <w:shd w:val="clear" w:color="auto" w:fill="FFFFFF"/>
    </w:rPr>
  </w:style>
  <w:style w:type="paragraph" w:customStyle="1" w:styleId="14">
    <w:name w:val="列表段落1"/>
    <w:basedOn w:val="1"/>
    <w:autoRedefine/>
    <w:qFormat/>
    <w:uiPriority w:val="0"/>
    <w:pPr>
      <w:ind w:firstLine="200" w:firstLineChars="200"/>
    </w:pPr>
  </w:style>
  <w:style w:type="character" w:customStyle="1" w:styleId="15">
    <w:name w:val="NormalCharacter"/>
    <w:autoRedefine/>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6608</Words>
  <Characters>6795</Characters>
  <Lines>63</Lines>
  <Paragraphs>17</Paragraphs>
  <TotalTime>8</TotalTime>
  <ScaleCrop>false</ScaleCrop>
  <LinksUpToDate>false</LinksUpToDate>
  <CharactersWithSpaces>6827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2022-10-14T10:03:00Z</dcterms:created>
  <dc:creator>admin</dc:creator>
  <cp:lastModifiedBy>匿名用户</cp:lastModifiedBy>
  <cp:lastPrinted>2023-03-15T07:28:00Z</cp:lastPrinted>
  <dcterms:modified xsi:type="dcterms:W3CDTF">2024-03-07T01:48:36Z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A3445AF144414F3680BB8F0927D9AE95_13</vt:lpwstr>
  </property>
</Properties>
</file>