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AF427">
      <w:pPr>
        <w:spacing w:line="560" w:lineRule="exact"/>
        <w:jc w:val="left"/>
        <w:rPr>
          <w:rFonts w:ascii="黑体" w:hAnsi="黑体" w:eastAsia="黑体" w:cs="方正小标宋简体"/>
        </w:rPr>
      </w:pPr>
      <w:bookmarkStart w:id="3" w:name="_GoBack"/>
      <w:bookmarkEnd w:id="3"/>
      <w:r>
        <w:rPr>
          <w:rFonts w:hint="eastAsia" w:ascii="黑体" w:hAnsi="黑体" w:eastAsia="黑体" w:cs="方正小标宋简体"/>
        </w:rPr>
        <w:t>附件1</w:t>
      </w:r>
    </w:p>
    <w:p w14:paraId="1461A1C0">
      <w:pPr>
        <w:spacing w:line="560" w:lineRule="exact"/>
        <w:jc w:val="center"/>
        <w:rPr>
          <w:rFonts w:hint="eastAsia" w:ascii="方正小标宋简体" w:hAnsi="仿宋" w:eastAsia="方正小标宋简体" w:cs="方正小标宋简体"/>
          <w:sz w:val="44"/>
          <w:szCs w:val="44"/>
          <w:lang w:eastAsia="zh-CN"/>
        </w:rPr>
      </w:pPr>
      <w:r>
        <w:rPr>
          <w:rFonts w:hint="eastAsia" w:ascii="方正小标宋简体" w:hAnsi="仿宋" w:eastAsia="方正小标宋简体" w:cs="方正小标宋简体"/>
          <w:sz w:val="44"/>
          <w:szCs w:val="44"/>
        </w:rPr>
        <w:t>2025年北京市青少年</w:t>
      </w:r>
      <w:r>
        <w:rPr>
          <w:rFonts w:hint="eastAsia" w:ascii="方正小标宋简体" w:hAnsi="仿宋" w:eastAsia="方正小标宋简体" w:cs="方正小标宋简体"/>
          <w:sz w:val="44"/>
          <w:szCs w:val="44"/>
          <w:lang w:eastAsia="zh-CN"/>
        </w:rPr>
        <w:t>垒球锦标赛</w:t>
      </w:r>
    </w:p>
    <w:p w14:paraId="433CD18B">
      <w:pPr>
        <w:spacing w:line="560" w:lineRule="exact"/>
        <w:jc w:val="center"/>
        <w:rPr>
          <w:rFonts w:ascii="宋体" w:hAnsi="宋体"/>
          <w:color w:val="000000"/>
        </w:rPr>
      </w:pPr>
      <w:r>
        <w:rPr>
          <w:rFonts w:hint="eastAsia" w:ascii="方正小标宋简体" w:hAnsi="仿宋" w:eastAsia="方正小标宋简体" w:cs="方正小标宋简体"/>
          <w:sz w:val="44"/>
          <w:szCs w:val="44"/>
        </w:rPr>
        <w:t>竞赛规程</w:t>
      </w:r>
    </w:p>
    <w:p w14:paraId="329C65BD">
      <w:pPr>
        <w:spacing w:line="560" w:lineRule="exact"/>
        <w:ind w:firstLine="640" w:firstLineChars="200"/>
        <w:jc w:val="left"/>
        <w:outlineLvl w:val="0"/>
        <w:rPr>
          <w:rFonts w:ascii="黑体" w:hAnsi="黑体" w:eastAsia="黑体"/>
          <w:color w:val="000000"/>
          <w:sz w:val="32"/>
          <w:szCs w:val="32"/>
        </w:rPr>
      </w:pPr>
      <w:r>
        <w:rPr>
          <w:rFonts w:hint="eastAsia" w:ascii="黑体" w:hAnsi="黑体" w:eastAsia="黑体"/>
          <w:color w:val="000000"/>
          <w:sz w:val="32"/>
          <w:szCs w:val="32"/>
        </w:rPr>
        <w:t>一、主办单位</w:t>
      </w:r>
    </w:p>
    <w:p w14:paraId="2DF31DFC">
      <w:pPr>
        <w:spacing w:line="560" w:lineRule="exact"/>
        <w:ind w:firstLine="640" w:firstLineChars="200"/>
        <w:rPr>
          <w:rFonts w:ascii="仿宋_GB2312" w:hAnsi="仿宋" w:eastAsia="仿宋_GB2312" w:cs="黑体"/>
          <w:color w:val="000000"/>
          <w:sz w:val="32"/>
          <w:szCs w:val="32"/>
        </w:rPr>
      </w:pPr>
      <w:r>
        <w:rPr>
          <w:rFonts w:hint="eastAsia" w:ascii="仿宋_GB2312" w:hAnsi="仿宋" w:eastAsia="仿宋_GB2312" w:cs="黑体"/>
          <w:color w:val="000000"/>
          <w:sz w:val="32"/>
          <w:szCs w:val="32"/>
        </w:rPr>
        <w:t>北京市体育局</w:t>
      </w:r>
    </w:p>
    <w:p w14:paraId="2B31E6C6">
      <w:pPr>
        <w:spacing w:line="560" w:lineRule="exact"/>
        <w:ind w:firstLine="640" w:firstLineChars="200"/>
        <w:rPr>
          <w:rFonts w:ascii="仿宋_GB2312" w:hAnsi="仿宋" w:eastAsia="仿宋_GB2312" w:cs="黑体"/>
          <w:color w:val="000000"/>
          <w:sz w:val="32"/>
          <w:szCs w:val="32"/>
        </w:rPr>
      </w:pPr>
      <w:r>
        <w:rPr>
          <w:rFonts w:hint="eastAsia" w:ascii="仿宋_GB2312" w:hAnsi="仿宋" w:eastAsia="仿宋_GB2312" w:cs="黑体"/>
          <w:color w:val="000000"/>
          <w:sz w:val="32"/>
          <w:szCs w:val="32"/>
        </w:rPr>
        <w:t>北京市教育委员会</w:t>
      </w:r>
    </w:p>
    <w:p w14:paraId="17580DB3">
      <w:pPr>
        <w:spacing w:line="560" w:lineRule="exact"/>
        <w:ind w:firstLine="640" w:firstLineChars="200"/>
        <w:jc w:val="left"/>
        <w:outlineLvl w:val="0"/>
        <w:rPr>
          <w:rFonts w:ascii="黑体" w:hAnsi="黑体" w:eastAsia="黑体"/>
          <w:color w:val="000000"/>
          <w:sz w:val="32"/>
          <w:szCs w:val="32"/>
        </w:rPr>
      </w:pPr>
      <w:r>
        <w:rPr>
          <w:rFonts w:hint="eastAsia" w:ascii="黑体" w:hAnsi="黑体" w:eastAsia="黑体"/>
          <w:color w:val="000000"/>
          <w:sz w:val="32"/>
          <w:szCs w:val="32"/>
        </w:rPr>
        <w:t>二、承办单位</w:t>
      </w:r>
    </w:p>
    <w:p w14:paraId="5428A9F8">
      <w:pPr>
        <w:spacing w:line="560" w:lineRule="exact"/>
        <w:ind w:firstLine="640" w:firstLineChars="200"/>
        <w:rPr>
          <w:rFonts w:ascii="仿宋_GB2312" w:hAnsi="仿宋" w:eastAsia="仿宋_GB2312" w:cs="黑体"/>
          <w:color w:val="000000"/>
          <w:sz w:val="32"/>
          <w:szCs w:val="32"/>
        </w:rPr>
      </w:pPr>
      <w:r>
        <w:rPr>
          <w:rFonts w:hint="eastAsia" w:ascii="仿宋_GB2312" w:hAnsi="仿宋" w:eastAsia="仿宋_GB2312" w:cs="黑体"/>
          <w:color w:val="000000"/>
          <w:sz w:val="32"/>
          <w:szCs w:val="32"/>
        </w:rPr>
        <w:t>北京市体育竞赛管理和国际交流中心</w:t>
      </w:r>
    </w:p>
    <w:p w14:paraId="52FE0962">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北京市垒球运动协会</w:t>
      </w:r>
    </w:p>
    <w:p w14:paraId="0B6408C1">
      <w:pPr>
        <w:spacing w:line="560" w:lineRule="exact"/>
        <w:ind w:firstLine="640" w:firstLineChars="200"/>
        <w:jc w:val="left"/>
        <w:outlineLvl w:val="0"/>
        <w:rPr>
          <w:rFonts w:ascii="黑体" w:hAnsi="黑体" w:eastAsia="黑体"/>
          <w:color w:val="000000"/>
          <w:sz w:val="32"/>
          <w:szCs w:val="32"/>
        </w:rPr>
      </w:pPr>
      <w:r>
        <w:rPr>
          <w:rFonts w:hint="eastAsia" w:ascii="黑体" w:hAnsi="黑体" w:eastAsia="黑体"/>
          <w:color w:val="000000"/>
          <w:sz w:val="32"/>
          <w:szCs w:val="32"/>
        </w:rPr>
        <w:t>三、时间和地点</w:t>
      </w:r>
    </w:p>
    <w:p w14:paraId="02273DFF">
      <w:pPr>
        <w:spacing w:line="560" w:lineRule="exact"/>
        <w:ind w:left="0" w:leftChars="0" w:firstLine="640" w:firstLineChars="200"/>
        <w:jc w:val="left"/>
        <w:outlineLvl w:val="0"/>
        <w:rPr>
          <w:rFonts w:hint="default" w:ascii="仿宋_GB2312" w:hAnsi="仿宋" w:eastAsia="仿宋_GB2312"/>
          <w:color w:val="000000"/>
          <w:sz w:val="32"/>
          <w:szCs w:val="32"/>
          <w:highlight w:val="none"/>
          <w:lang w:val="en-US" w:eastAsia="zh-CN"/>
        </w:rPr>
      </w:pPr>
      <w:r>
        <w:rPr>
          <w:rFonts w:hint="eastAsia" w:ascii="仿宋_GB2312" w:hAnsi="仿宋" w:eastAsia="仿宋_GB2312"/>
          <w:color w:val="000000"/>
          <w:sz w:val="32"/>
          <w:szCs w:val="32"/>
          <w:highlight w:val="none"/>
          <w:lang w:eastAsia="zh-CN"/>
        </w:rPr>
        <w:t>2025</w:t>
      </w:r>
      <w:r>
        <w:rPr>
          <w:rFonts w:hint="eastAsia" w:ascii="仿宋_GB2312" w:hAnsi="仿宋" w:eastAsia="仿宋_GB2312"/>
          <w:color w:val="000000"/>
          <w:sz w:val="32"/>
          <w:szCs w:val="32"/>
          <w:highlight w:val="none"/>
        </w:rPr>
        <w:t>年</w:t>
      </w:r>
      <w:r>
        <w:rPr>
          <w:rFonts w:hint="eastAsia" w:ascii="仿宋_GB2312" w:hAnsi="仿宋" w:eastAsia="仿宋_GB2312"/>
          <w:color w:val="000000"/>
          <w:sz w:val="32"/>
          <w:szCs w:val="32"/>
          <w:highlight w:val="none"/>
          <w:lang w:val="en-US" w:eastAsia="zh-CN"/>
        </w:rPr>
        <w:t>9</w:t>
      </w:r>
      <w:r>
        <w:rPr>
          <w:rFonts w:hint="eastAsia" w:ascii="仿宋_GB2312" w:hAnsi="仿宋" w:eastAsia="仿宋_GB2312"/>
          <w:color w:val="000000"/>
          <w:sz w:val="32"/>
          <w:szCs w:val="32"/>
          <w:highlight w:val="none"/>
        </w:rPr>
        <w:t>月</w:t>
      </w:r>
      <w:r>
        <w:rPr>
          <w:rFonts w:hint="eastAsia" w:ascii="仿宋_GB2312" w:hAnsi="仿宋" w:eastAsia="仿宋_GB2312"/>
          <w:color w:val="000000"/>
          <w:sz w:val="32"/>
          <w:szCs w:val="32"/>
          <w:highlight w:val="none"/>
          <w:lang w:val="en-US" w:eastAsia="zh-CN"/>
        </w:rPr>
        <w:t>6日—7</w:t>
      </w:r>
      <w:r>
        <w:rPr>
          <w:rFonts w:hint="eastAsia" w:ascii="仿宋_GB2312" w:hAnsi="仿宋" w:eastAsia="仿宋_GB2312"/>
          <w:color w:val="000000"/>
          <w:sz w:val="32"/>
          <w:szCs w:val="32"/>
          <w:highlight w:val="none"/>
        </w:rPr>
        <w:t>日</w:t>
      </w:r>
      <w:r>
        <w:rPr>
          <w:rFonts w:hint="eastAsia" w:ascii="仿宋_GB2312" w:hAnsi="仿宋" w:eastAsia="仿宋_GB2312"/>
          <w:color w:val="000000"/>
          <w:sz w:val="32"/>
          <w:szCs w:val="32"/>
          <w:highlight w:val="none"/>
          <w:lang w:eastAsia="zh-CN"/>
        </w:rPr>
        <w:t>、</w:t>
      </w:r>
      <w:r>
        <w:rPr>
          <w:rFonts w:hint="eastAsia" w:ascii="仿宋_GB2312" w:hAnsi="仿宋" w:eastAsia="仿宋_GB2312"/>
          <w:color w:val="000000"/>
          <w:sz w:val="32"/>
          <w:szCs w:val="32"/>
          <w:highlight w:val="none"/>
          <w:lang w:val="en-US" w:eastAsia="zh-CN"/>
        </w:rPr>
        <w:t>13日—14日</w:t>
      </w:r>
    </w:p>
    <w:p w14:paraId="58387F05">
      <w:pPr>
        <w:spacing w:line="560" w:lineRule="exact"/>
        <w:ind w:left="0" w:leftChars="0" w:firstLine="640" w:firstLineChars="200"/>
        <w:jc w:val="left"/>
        <w:outlineLvl w:val="0"/>
        <w:rPr>
          <w:rFonts w:hint="eastAsia" w:ascii="仿宋_GB2312" w:hAnsi="仿宋" w:eastAsia="仿宋_GB2312"/>
          <w:color w:val="000000"/>
          <w:sz w:val="32"/>
          <w:szCs w:val="32"/>
          <w:highlight w:val="none"/>
          <w:lang w:eastAsia="zh-CN"/>
        </w:rPr>
      </w:pPr>
      <w:r>
        <w:rPr>
          <w:rFonts w:hint="eastAsia" w:ascii="仿宋_GB2312" w:hAnsi="仿宋" w:eastAsia="仿宋_GB2312"/>
          <w:color w:val="000000"/>
          <w:sz w:val="32"/>
          <w:szCs w:val="32"/>
          <w:highlight w:val="none"/>
          <w:lang w:eastAsia="zh-CN"/>
        </w:rPr>
        <w:t>北京市芦城体育运动技术学校垒球场</w:t>
      </w:r>
    </w:p>
    <w:p w14:paraId="25E86681">
      <w:pPr>
        <w:spacing w:line="560" w:lineRule="exact"/>
        <w:ind w:left="973" w:leftChars="304" w:firstLine="0" w:firstLineChars="0"/>
        <w:jc w:val="left"/>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四、竞赛组别和年龄</w:t>
      </w:r>
    </w:p>
    <w:p w14:paraId="7B969BB0">
      <w:pPr>
        <w:spacing w:line="560" w:lineRule="exact"/>
        <w:ind w:firstLine="640" w:firstLineChars="200"/>
        <w:rPr>
          <w:rFonts w:ascii="仿宋_GB2312" w:hAnsi="仿宋" w:eastAsia="仿宋_GB2312" w:cs="黑体"/>
          <w:color w:val="000000"/>
          <w:sz w:val="32"/>
          <w:szCs w:val="32"/>
          <w:highlight w:val="none"/>
        </w:rPr>
      </w:pPr>
      <w:bookmarkStart w:id="0" w:name="_Hlk125033879"/>
      <w:r>
        <w:rPr>
          <w:rFonts w:hint="eastAsia" w:ascii="仿宋_GB2312" w:hAnsi="仿宋" w:eastAsia="仿宋_GB2312" w:cs="黑体"/>
          <w:color w:val="000000"/>
          <w:sz w:val="32"/>
          <w:szCs w:val="32"/>
          <w:highlight w:val="none"/>
        </w:rPr>
        <w:t>甲组</w:t>
      </w:r>
      <w:r>
        <w:rPr>
          <w:rFonts w:hint="eastAsia" w:ascii="仿宋_GB2312" w:hAnsi="仿宋" w:eastAsia="仿宋_GB2312" w:cs="黑体"/>
          <w:color w:val="000000"/>
          <w:sz w:val="32"/>
          <w:szCs w:val="32"/>
          <w:highlight w:val="none"/>
          <w:lang w:eastAsia="zh-CN"/>
        </w:rPr>
        <w:t>（女子）</w:t>
      </w:r>
      <w:r>
        <w:rPr>
          <w:rFonts w:hint="eastAsia" w:ascii="仿宋_GB2312" w:hAnsi="仿宋" w:eastAsia="仿宋_GB2312" w:cs="黑体"/>
          <w:color w:val="000000"/>
          <w:sz w:val="32"/>
          <w:szCs w:val="32"/>
          <w:highlight w:val="none"/>
        </w:rPr>
        <w:t>：200</w:t>
      </w:r>
      <w:r>
        <w:rPr>
          <w:rFonts w:hint="eastAsia" w:ascii="仿宋_GB2312" w:hAnsi="仿宋" w:eastAsia="仿宋_GB2312" w:cs="黑体"/>
          <w:color w:val="000000"/>
          <w:sz w:val="32"/>
          <w:szCs w:val="32"/>
          <w:highlight w:val="none"/>
          <w:lang w:val="en-US" w:eastAsia="zh-CN"/>
        </w:rPr>
        <w:t>8</w:t>
      </w:r>
      <w:r>
        <w:rPr>
          <w:rFonts w:hint="eastAsia" w:ascii="仿宋_GB2312" w:hAnsi="仿宋" w:eastAsia="仿宋_GB2312" w:cs="黑体"/>
          <w:color w:val="000000"/>
          <w:sz w:val="32"/>
          <w:szCs w:val="32"/>
          <w:highlight w:val="none"/>
        </w:rPr>
        <w:t>年1月1日</w:t>
      </w:r>
      <w:bookmarkEnd w:id="0"/>
      <w:r>
        <w:rPr>
          <w:rFonts w:hint="eastAsia" w:ascii="仿宋_GB2312" w:hAnsi="仿宋" w:eastAsia="仿宋_GB2312" w:cs="黑体"/>
          <w:color w:val="000000"/>
          <w:sz w:val="32"/>
          <w:szCs w:val="32"/>
          <w:highlight w:val="none"/>
        </w:rPr>
        <w:t>至20</w:t>
      </w:r>
      <w:r>
        <w:rPr>
          <w:rFonts w:hint="eastAsia" w:ascii="仿宋_GB2312" w:hAnsi="仿宋" w:eastAsia="仿宋_GB2312" w:cs="黑体"/>
          <w:color w:val="000000"/>
          <w:sz w:val="32"/>
          <w:szCs w:val="32"/>
          <w:highlight w:val="none"/>
          <w:lang w:val="en-US" w:eastAsia="zh-CN"/>
        </w:rPr>
        <w:t>10</w:t>
      </w:r>
      <w:r>
        <w:rPr>
          <w:rFonts w:hint="eastAsia" w:ascii="仿宋_GB2312" w:hAnsi="仿宋" w:eastAsia="仿宋_GB2312" w:cs="黑体"/>
          <w:color w:val="000000"/>
          <w:sz w:val="32"/>
          <w:szCs w:val="32"/>
          <w:highlight w:val="none"/>
        </w:rPr>
        <w:t>年12月31日出生（15至</w:t>
      </w:r>
      <w:bookmarkStart w:id="1" w:name="_Hlk125033891"/>
      <w:r>
        <w:rPr>
          <w:rFonts w:hint="eastAsia" w:ascii="仿宋_GB2312" w:hAnsi="仿宋" w:eastAsia="仿宋_GB2312" w:cs="黑体"/>
          <w:color w:val="000000"/>
          <w:sz w:val="32"/>
          <w:szCs w:val="32"/>
          <w:highlight w:val="none"/>
        </w:rPr>
        <w:t>17岁</w:t>
      </w:r>
      <w:bookmarkEnd w:id="1"/>
      <w:r>
        <w:rPr>
          <w:rFonts w:hint="eastAsia" w:ascii="仿宋_GB2312" w:hAnsi="仿宋" w:eastAsia="仿宋_GB2312" w:cs="黑体"/>
          <w:color w:val="000000"/>
          <w:sz w:val="32"/>
          <w:szCs w:val="32"/>
          <w:highlight w:val="none"/>
        </w:rPr>
        <w:t>）；</w:t>
      </w:r>
    </w:p>
    <w:p w14:paraId="636A2980">
      <w:pPr>
        <w:spacing w:line="560" w:lineRule="exact"/>
        <w:ind w:firstLine="640" w:firstLineChars="200"/>
        <w:rPr>
          <w:rFonts w:ascii="仿宋_GB2312" w:hAnsi="仿宋" w:eastAsia="仿宋_GB2312" w:cs="黑体"/>
          <w:color w:val="000000"/>
          <w:sz w:val="32"/>
          <w:szCs w:val="32"/>
          <w:highlight w:val="none"/>
        </w:rPr>
      </w:pPr>
      <w:r>
        <w:rPr>
          <w:rFonts w:hint="eastAsia" w:ascii="仿宋_GB2312" w:hAnsi="仿宋" w:eastAsia="仿宋_GB2312" w:cs="黑体"/>
          <w:color w:val="000000"/>
          <w:sz w:val="32"/>
          <w:szCs w:val="32"/>
          <w:highlight w:val="none"/>
        </w:rPr>
        <w:t>乙组</w:t>
      </w:r>
      <w:r>
        <w:rPr>
          <w:rFonts w:hint="eastAsia" w:ascii="仿宋_GB2312" w:hAnsi="仿宋" w:eastAsia="仿宋_GB2312" w:cs="黑体"/>
          <w:color w:val="000000"/>
          <w:sz w:val="32"/>
          <w:szCs w:val="32"/>
          <w:highlight w:val="none"/>
          <w:lang w:eastAsia="zh-CN"/>
        </w:rPr>
        <w:t>（女子）</w:t>
      </w:r>
      <w:r>
        <w:rPr>
          <w:rFonts w:hint="eastAsia" w:ascii="仿宋_GB2312" w:hAnsi="仿宋" w:eastAsia="仿宋_GB2312" w:cs="黑体"/>
          <w:color w:val="000000"/>
          <w:sz w:val="32"/>
          <w:szCs w:val="32"/>
          <w:highlight w:val="none"/>
        </w:rPr>
        <w:t>：20</w:t>
      </w:r>
      <w:r>
        <w:rPr>
          <w:rFonts w:hint="eastAsia" w:ascii="仿宋_GB2312" w:hAnsi="仿宋" w:eastAsia="仿宋_GB2312" w:cs="黑体"/>
          <w:color w:val="000000"/>
          <w:sz w:val="32"/>
          <w:szCs w:val="32"/>
          <w:highlight w:val="none"/>
          <w:lang w:val="en-US" w:eastAsia="zh-CN"/>
        </w:rPr>
        <w:t>11</w:t>
      </w:r>
      <w:r>
        <w:rPr>
          <w:rFonts w:hint="eastAsia" w:ascii="仿宋_GB2312" w:hAnsi="仿宋" w:eastAsia="仿宋_GB2312" w:cs="黑体"/>
          <w:color w:val="000000"/>
          <w:sz w:val="32"/>
          <w:szCs w:val="32"/>
          <w:highlight w:val="none"/>
        </w:rPr>
        <w:t>年1月1日至201</w:t>
      </w:r>
      <w:r>
        <w:rPr>
          <w:rFonts w:hint="eastAsia" w:ascii="仿宋_GB2312" w:hAnsi="仿宋" w:eastAsia="仿宋_GB2312" w:cs="黑体"/>
          <w:color w:val="000000"/>
          <w:sz w:val="32"/>
          <w:szCs w:val="32"/>
          <w:highlight w:val="none"/>
          <w:lang w:val="en-US" w:eastAsia="zh-CN"/>
        </w:rPr>
        <w:t>3</w:t>
      </w:r>
      <w:r>
        <w:rPr>
          <w:rFonts w:hint="eastAsia" w:ascii="仿宋_GB2312" w:hAnsi="仿宋" w:eastAsia="仿宋_GB2312" w:cs="黑体"/>
          <w:color w:val="000000"/>
          <w:sz w:val="32"/>
          <w:szCs w:val="32"/>
          <w:highlight w:val="none"/>
        </w:rPr>
        <w:t>年12月31日出生（12至14岁）。</w:t>
      </w:r>
    </w:p>
    <w:p w14:paraId="561041E2">
      <w:pPr>
        <w:spacing w:line="560" w:lineRule="exact"/>
        <w:ind w:firstLine="640" w:firstLineChars="200"/>
        <w:jc w:val="left"/>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五、运动员资格</w:t>
      </w:r>
    </w:p>
    <w:p w14:paraId="7FC1CE90">
      <w:pPr>
        <w:spacing w:line="560" w:lineRule="exact"/>
        <w:ind w:firstLine="640" w:firstLineChars="200"/>
        <w:jc w:val="left"/>
        <w:outlineLvl w:val="0"/>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（一）符合北京市体育局《北京市青少年运动员注册管理办法（试行）》（京体</w:t>
      </w:r>
      <w:r>
        <w:rPr>
          <w:rFonts w:hint="eastAsia" w:ascii="仿宋_GB2312" w:hAnsi="仿宋" w:eastAsia="仿宋_GB2312" w:cs="仿宋_GB2312"/>
          <w:sz w:val="32"/>
          <w:szCs w:val="32"/>
          <w:highlight w:val="none"/>
          <w:lang w:eastAsia="zh-CN"/>
        </w:rPr>
        <w:t>青</w:t>
      </w:r>
      <w:r>
        <w:rPr>
          <w:rFonts w:hint="eastAsia" w:ascii="仿宋_GB2312" w:hAnsi="仿宋" w:eastAsia="仿宋_GB2312" w:cs="仿宋_GB2312"/>
          <w:sz w:val="32"/>
          <w:szCs w:val="32"/>
          <w:highlight w:val="none"/>
        </w:rPr>
        <w:t>字〔20</w:t>
      </w:r>
      <w:r>
        <w:rPr>
          <w:rFonts w:hint="eastAsia" w:ascii="仿宋_GB2312" w:hAnsi="仿宋" w:eastAsia="仿宋_GB2312" w:cs="仿宋_GB2312"/>
          <w:sz w:val="32"/>
          <w:szCs w:val="32"/>
          <w:highlight w:val="none"/>
          <w:lang w:val="en-US" w:eastAsia="zh-CN"/>
        </w:rPr>
        <w:t>25</w:t>
      </w: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rPr>
        <w:t>号）的有关规定。</w:t>
      </w:r>
    </w:p>
    <w:p w14:paraId="5870727B">
      <w:pPr>
        <w:spacing w:line="560" w:lineRule="exact"/>
        <w:ind w:firstLine="640" w:firstLineChars="200"/>
        <w:jc w:val="left"/>
        <w:outlineLvl w:val="0"/>
        <w:rPr>
          <w:rFonts w:ascii="宋体" w:hAnsi="宋体"/>
          <w:color w:val="000000"/>
          <w:sz w:val="32"/>
          <w:szCs w:val="32"/>
          <w:highlight w:val="none"/>
        </w:rPr>
      </w:pPr>
      <w:r>
        <w:rPr>
          <w:rFonts w:hint="eastAsia" w:ascii="仿宋_GB2312" w:hAnsi="仿宋" w:eastAsia="仿宋_GB2312" w:cs="仿宋_GB2312"/>
          <w:sz w:val="32"/>
          <w:szCs w:val="32"/>
          <w:highlight w:val="none"/>
        </w:rPr>
        <w:t>（二）</w:t>
      </w:r>
      <w:r>
        <w:rPr>
          <w:rFonts w:hint="eastAsia" w:ascii="仿宋_GB2312" w:hAnsi="仿宋" w:eastAsia="仿宋_GB2312" w:cs="仿宋_GB2312"/>
          <w:sz w:val="32"/>
          <w:szCs w:val="32"/>
          <w:highlight w:val="none"/>
          <w:lang w:eastAsia="zh-CN"/>
        </w:rPr>
        <w:t>2025</w:t>
      </w:r>
      <w:r>
        <w:rPr>
          <w:rFonts w:hint="eastAsia" w:ascii="仿宋_GB2312" w:hAnsi="仿宋" w:eastAsia="仿宋_GB2312" w:cs="仿宋_GB2312"/>
          <w:sz w:val="32"/>
          <w:szCs w:val="32"/>
          <w:highlight w:val="none"/>
        </w:rPr>
        <w:t>年北京市青少年垒球冠军赛各组别前八名的运动队，</w:t>
      </w:r>
      <w:r>
        <w:rPr>
          <w:rFonts w:hint="eastAsia" w:ascii="仿宋_GB2312" w:hAnsi="仿宋" w:eastAsia="仿宋_GB2312" w:cs="仿宋_GB2312"/>
          <w:kern w:val="2"/>
          <w:sz w:val="32"/>
          <w:szCs w:val="32"/>
          <w:highlight w:val="none"/>
          <w:lang w:val="en-US" w:eastAsia="zh-CN" w:bidi="ar"/>
        </w:rPr>
        <w:t>报名</w:t>
      </w:r>
      <w:r>
        <w:rPr>
          <w:rFonts w:hint="eastAsia" w:ascii="仿宋_GB2312" w:hAnsi="宋体" w:eastAsia="仿宋_GB2312" w:cs="仿宋_GB2312"/>
          <w:kern w:val="2"/>
          <w:sz w:val="32"/>
          <w:szCs w:val="32"/>
          <w:highlight w:val="none"/>
          <w:lang w:val="en-US" w:eastAsia="zh-CN" w:bidi="ar"/>
        </w:rPr>
        <w:t>运动员必须有青少年冠军赛上场比赛记录或数据，</w:t>
      </w:r>
      <w:r>
        <w:rPr>
          <w:rFonts w:hint="eastAsia" w:ascii="仿宋_GB2312" w:hAnsi="仿宋" w:eastAsia="仿宋_GB2312" w:cs="仿宋_GB2312"/>
          <w:sz w:val="32"/>
          <w:szCs w:val="32"/>
          <w:highlight w:val="none"/>
        </w:rPr>
        <w:t>并且符合</w:t>
      </w:r>
      <w:r>
        <w:rPr>
          <w:rFonts w:hint="eastAsia" w:ascii="仿宋_GB2312" w:hAnsi="仿宋" w:eastAsia="仿宋_GB2312" w:cs="仿宋_GB2312"/>
          <w:sz w:val="32"/>
          <w:szCs w:val="32"/>
          <w:highlight w:val="none"/>
          <w:lang w:eastAsia="zh-CN"/>
        </w:rPr>
        <w:t>报名</w:t>
      </w:r>
      <w:r>
        <w:rPr>
          <w:rFonts w:hint="eastAsia" w:ascii="仿宋_GB2312" w:hAnsi="仿宋" w:eastAsia="仿宋_GB2312" w:cs="仿宋_GB2312"/>
          <w:sz w:val="32"/>
          <w:szCs w:val="32"/>
          <w:highlight w:val="none"/>
        </w:rPr>
        <w:t>参赛资格的运动员不少于1</w:t>
      </w: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rPr>
        <w:t>人。</w:t>
      </w:r>
    </w:p>
    <w:p w14:paraId="6E4B22B0">
      <w:pPr>
        <w:spacing w:line="560" w:lineRule="exact"/>
        <w:ind w:firstLine="640" w:firstLineChars="200"/>
        <w:jc w:val="left"/>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六、参加办法</w:t>
      </w:r>
    </w:p>
    <w:p w14:paraId="5CA2B318">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highlight w:val="none"/>
          <w:lang w:val="en-US"/>
        </w:rPr>
      </w:pPr>
      <w:r>
        <w:rPr>
          <w:rFonts w:hint="eastAsia" w:ascii="仿宋_GB2312" w:hAnsi="仿宋" w:eastAsia="仿宋_GB2312" w:cs="仿宋_GB2312"/>
          <w:kern w:val="2"/>
          <w:sz w:val="32"/>
          <w:szCs w:val="32"/>
          <w:highlight w:val="none"/>
          <w:lang w:val="en-US" w:eastAsia="zh-CN" w:bidi="ar"/>
        </w:rPr>
        <w:t>（一）以区为单位组队参加。</w:t>
      </w:r>
    </w:p>
    <w:p w14:paraId="1EC4171F">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highlight w:val="none"/>
          <w:lang w:val="en-US"/>
        </w:rPr>
      </w:pPr>
      <w:r>
        <w:rPr>
          <w:rFonts w:hint="eastAsia" w:ascii="仿宋_GB2312" w:hAnsi="仿宋" w:eastAsia="仿宋_GB2312" w:cs="仿宋_GB2312"/>
          <w:kern w:val="2"/>
          <w:sz w:val="32"/>
          <w:szCs w:val="32"/>
          <w:highlight w:val="none"/>
          <w:lang w:val="en-US" w:eastAsia="zh-CN" w:bidi="ar"/>
        </w:rPr>
        <w:t>（二）以2025年度青少年运动员注册为依据，运动员只能代表2025年度注册单位参加比赛。</w:t>
      </w:r>
    </w:p>
    <w:p w14:paraId="1E82810F">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highlight w:val="none"/>
          <w:lang w:val="en-US"/>
        </w:rPr>
      </w:pPr>
      <w:r>
        <w:rPr>
          <w:rFonts w:hint="eastAsia" w:ascii="仿宋_GB2312" w:hAnsi="仿宋" w:eastAsia="仿宋_GB2312" w:cs="仿宋_GB2312"/>
          <w:kern w:val="2"/>
          <w:sz w:val="32"/>
          <w:szCs w:val="32"/>
          <w:highlight w:val="none"/>
          <w:lang w:val="en-US" w:eastAsia="zh-CN" w:bidi="ar"/>
        </w:rPr>
        <w:t xml:space="preserve">（三）所有参赛人员经二级以上医院检查证明身体健康。 </w:t>
      </w:r>
    </w:p>
    <w:p w14:paraId="2FCEC58A">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highlight w:val="none"/>
          <w:lang w:val="en-US"/>
        </w:rPr>
      </w:pPr>
      <w:r>
        <w:rPr>
          <w:rFonts w:hint="eastAsia" w:ascii="仿宋_GB2312" w:hAnsi="仿宋" w:eastAsia="仿宋_GB2312" w:cs="仿宋_GB2312"/>
          <w:kern w:val="2"/>
          <w:sz w:val="32"/>
          <w:szCs w:val="32"/>
          <w:highlight w:val="none"/>
          <w:lang w:val="en-US" w:eastAsia="zh-CN" w:bidi="ar"/>
        </w:rPr>
        <w:t>（四）每队可报领队1人，教练员3人，队医或队务1人，运动员最少12人，最多22人。</w:t>
      </w:r>
    </w:p>
    <w:p w14:paraId="7AAEA349">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highlight w:val="none"/>
          <w:lang w:val="en-US"/>
        </w:rPr>
      </w:pPr>
      <w:r>
        <w:rPr>
          <w:rFonts w:hint="eastAsia" w:ascii="仿宋_GB2312" w:hAnsi="仿宋" w:eastAsia="仿宋_GB2312" w:cs="仿宋_GB2312"/>
          <w:kern w:val="2"/>
          <w:sz w:val="32"/>
          <w:szCs w:val="32"/>
          <w:highlight w:val="none"/>
          <w:lang w:val="en-US" w:eastAsia="zh-CN" w:bidi="ar"/>
        </w:rPr>
        <w:t>（五）同一名领队、教练员及随队工作人员只能代表一个参赛单位进行报名。</w:t>
      </w:r>
    </w:p>
    <w:p w14:paraId="623706F4">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highlight w:val="none"/>
          <w:lang w:val="en-US"/>
        </w:rPr>
      </w:pPr>
      <w:r>
        <w:rPr>
          <w:rFonts w:hint="eastAsia" w:ascii="仿宋_GB2312" w:hAnsi="仿宋" w:eastAsia="仿宋_GB2312" w:cs="仿宋_GB2312"/>
          <w:kern w:val="2"/>
          <w:sz w:val="32"/>
          <w:szCs w:val="32"/>
          <w:highlight w:val="none"/>
          <w:lang w:val="en-US" w:eastAsia="zh-CN" w:bidi="ar"/>
        </w:rPr>
        <w:t>（六）报名</w:t>
      </w:r>
      <w:r>
        <w:rPr>
          <w:rFonts w:hint="eastAsia" w:ascii="仿宋_GB2312" w:hAnsi="仿宋" w:eastAsia="仿宋_GB2312" w:cs="仿宋_GB2312"/>
          <w:sz w:val="32"/>
          <w:szCs w:val="32"/>
          <w:highlight w:val="none"/>
        </w:rPr>
        <w:t>运动员须持本人</w:t>
      </w:r>
      <w:r>
        <w:rPr>
          <w:rFonts w:hint="eastAsia" w:ascii="仿宋_GB2312" w:hAnsi="仿宋" w:eastAsia="仿宋_GB2312" w:cs="仿宋_GB2312"/>
          <w:sz w:val="32"/>
          <w:szCs w:val="32"/>
          <w:highlight w:val="none"/>
          <w:lang w:eastAsia="zh-CN"/>
        </w:rPr>
        <w:t>二代身份证或</w:t>
      </w:r>
      <w:r>
        <w:rPr>
          <w:rFonts w:hint="eastAsia" w:ascii="仿宋_GB2312" w:hAnsi="仿宋" w:eastAsia="仿宋_GB2312" w:cs="仿宋_GB2312"/>
          <w:sz w:val="32"/>
          <w:szCs w:val="32"/>
          <w:highlight w:val="none"/>
        </w:rPr>
        <w:t>注册时所提交的有效身份证件原件</w:t>
      </w:r>
      <w:r>
        <w:rPr>
          <w:rFonts w:hint="eastAsia" w:ascii="仿宋_GB2312" w:hAnsi="仿宋" w:eastAsia="仿宋_GB2312" w:cs="仿宋_GB2312"/>
          <w:sz w:val="32"/>
          <w:szCs w:val="32"/>
          <w:highlight w:val="none"/>
          <w:lang w:eastAsia="zh-CN"/>
        </w:rPr>
        <w:t>参加比赛</w:t>
      </w:r>
      <w:r>
        <w:rPr>
          <w:rFonts w:hint="eastAsia" w:ascii="仿宋_GB2312" w:hAnsi="仿宋" w:eastAsia="仿宋_GB2312" w:cs="仿宋_GB2312"/>
          <w:sz w:val="32"/>
          <w:szCs w:val="32"/>
          <w:highlight w:val="none"/>
        </w:rPr>
        <w:t>。</w:t>
      </w:r>
    </w:p>
    <w:p w14:paraId="74EB1C13">
      <w:pPr>
        <w:spacing w:line="560" w:lineRule="exact"/>
        <w:ind w:firstLine="640" w:firstLineChars="200"/>
        <w:jc w:val="left"/>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七、竞赛办法</w:t>
      </w:r>
    </w:p>
    <w:p w14:paraId="45BFD66A">
      <w:pPr>
        <w:spacing w:line="560" w:lineRule="exact"/>
        <w:ind w:firstLine="640" w:firstLineChars="200"/>
        <w:jc w:val="left"/>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（一）</w:t>
      </w:r>
      <w:r>
        <w:rPr>
          <w:rFonts w:hint="eastAsia" w:ascii="仿宋_GB2312" w:hAnsi="宋体" w:eastAsia="仿宋_GB2312" w:cs="宋体"/>
          <w:color w:val="000000"/>
          <w:kern w:val="0"/>
          <w:sz w:val="32"/>
          <w:szCs w:val="32"/>
          <w:highlight w:val="none"/>
          <w:lang w:eastAsia="zh-CN"/>
        </w:rPr>
        <w:t>各组</w:t>
      </w:r>
      <w:r>
        <w:rPr>
          <w:rFonts w:ascii="仿宋_GB2312" w:hAnsi="仿宋" w:eastAsia="仿宋_GB2312" w:cs="仿宋_GB2312"/>
          <w:sz w:val="32"/>
          <w:szCs w:val="32"/>
          <w:highlight w:val="none"/>
        </w:rPr>
        <w:t>报名不足3队时，则不进行比赛。已报名而参赛不足3队时，</w:t>
      </w:r>
      <w:r>
        <w:rPr>
          <w:rFonts w:hint="eastAsia" w:ascii="仿宋_GB2312" w:hAnsi="仿宋" w:eastAsia="仿宋_GB2312" w:cs="仿宋_GB2312"/>
          <w:sz w:val="32"/>
          <w:szCs w:val="32"/>
          <w:highlight w:val="none"/>
        </w:rPr>
        <w:t>不</w:t>
      </w:r>
      <w:r>
        <w:rPr>
          <w:rFonts w:ascii="仿宋_GB2312" w:hAnsi="仿宋" w:eastAsia="仿宋_GB2312" w:cs="仿宋_GB2312"/>
          <w:sz w:val="32"/>
          <w:szCs w:val="32"/>
          <w:highlight w:val="none"/>
        </w:rPr>
        <w:t>进行比赛和录取名次。</w:t>
      </w:r>
      <w:r>
        <w:rPr>
          <w:rFonts w:hint="eastAsia" w:ascii="仿宋_GB2312" w:hAnsi="仿宋" w:eastAsia="仿宋_GB2312" w:cs="仿宋_GB2312"/>
          <w:sz w:val="32"/>
          <w:szCs w:val="32"/>
          <w:highlight w:val="none"/>
        </w:rPr>
        <w:t>实际到场</w:t>
      </w:r>
      <w:r>
        <w:rPr>
          <w:rFonts w:ascii="仿宋_GB2312" w:hAnsi="仿宋" w:eastAsia="仿宋_GB2312" w:cs="仿宋_GB2312"/>
          <w:sz w:val="32"/>
          <w:szCs w:val="32"/>
          <w:highlight w:val="none"/>
        </w:rPr>
        <w:t>参赛3队时，可进行比赛和录取名次。</w:t>
      </w:r>
    </w:p>
    <w:p w14:paraId="15C338DA">
      <w:pPr>
        <w:spacing w:line="560" w:lineRule="exact"/>
        <w:ind w:firstLine="640" w:firstLineChars="200"/>
        <w:jc w:val="left"/>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（二）</w:t>
      </w:r>
      <w:r>
        <w:rPr>
          <w:rFonts w:hint="eastAsia" w:ascii="仿宋_GB2312" w:hAnsi="仿宋" w:eastAsia="仿宋_GB2312" w:cs="仿宋_GB2312"/>
          <w:sz w:val="32"/>
          <w:szCs w:val="32"/>
          <w:highlight w:val="none"/>
        </w:rPr>
        <w:t>赛前领队或教练员必须到场，否则不允许进行比赛，</w:t>
      </w:r>
      <w:r>
        <w:rPr>
          <w:rFonts w:hint="eastAsia" w:ascii="仿宋_GB2312" w:hAnsi="宋体" w:eastAsia="仿宋_GB2312" w:cs="宋体"/>
          <w:color w:val="000000"/>
          <w:kern w:val="0"/>
          <w:sz w:val="32"/>
          <w:szCs w:val="32"/>
          <w:highlight w:val="none"/>
        </w:rPr>
        <w:t>如</w:t>
      </w:r>
      <w:r>
        <w:rPr>
          <w:rFonts w:hint="eastAsia" w:ascii="仿宋_GB2312" w:hAnsi="仿宋" w:eastAsia="仿宋_GB2312" w:cs="仿宋_GB2312"/>
          <w:sz w:val="32"/>
          <w:szCs w:val="32"/>
          <w:highlight w:val="none"/>
        </w:rPr>
        <w:t>参赛队运动员不够</w:t>
      </w:r>
      <w:r>
        <w:rPr>
          <w:rFonts w:hint="eastAsia" w:ascii="仿宋_GB2312" w:hAnsi="仿宋" w:eastAsia="仿宋_GB2312" w:cs="仿宋_GB2312"/>
          <w:sz w:val="32"/>
          <w:szCs w:val="32"/>
          <w:highlight w:val="none"/>
          <w:lang w:eastAsia="zh-CN"/>
        </w:rPr>
        <w:t>上场</w:t>
      </w:r>
      <w:r>
        <w:rPr>
          <w:rFonts w:hint="eastAsia" w:ascii="仿宋_GB2312" w:hAnsi="仿宋" w:eastAsia="仿宋_GB2312" w:cs="仿宋_GB2312"/>
          <w:sz w:val="32"/>
          <w:szCs w:val="32"/>
          <w:highlight w:val="none"/>
        </w:rPr>
        <w:t>人数（</w:t>
      </w:r>
      <w:r>
        <w:rPr>
          <w:rFonts w:hint="eastAsia" w:ascii="仿宋_GB2312" w:hAnsi="仿宋" w:eastAsia="仿宋_GB2312" w:cs="仿宋_GB2312"/>
          <w:sz w:val="32"/>
          <w:szCs w:val="32"/>
          <w:highlight w:val="none"/>
          <w:lang w:eastAsia="zh-CN"/>
        </w:rPr>
        <w:t>最少</w:t>
      </w:r>
      <w:r>
        <w:rPr>
          <w:rFonts w:hint="eastAsia" w:ascii="仿宋_GB2312" w:hAnsi="仿宋" w:eastAsia="仿宋_GB2312" w:cs="仿宋_GB2312"/>
          <w:sz w:val="32"/>
          <w:szCs w:val="32"/>
          <w:highlight w:val="none"/>
          <w:lang w:val="en-US" w:eastAsia="zh-CN"/>
        </w:rPr>
        <w:t>9</w:t>
      </w:r>
      <w:r>
        <w:rPr>
          <w:rFonts w:hint="eastAsia" w:ascii="仿宋_GB2312" w:hAnsi="仿宋" w:eastAsia="仿宋_GB2312" w:cs="仿宋_GB2312"/>
          <w:sz w:val="32"/>
          <w:szCs w:val="32"/>
          <w:highlight w:val="none"/>
        </w:rPr>
        <w:t>人），该场比赛按照0:20判负。任何原因弃权比赛均按照0:20判负，</w:t>
      </w:r>
      <w:r>
        <w:rPr>
          <w:rFonts w:hint="eastAsia" w:ascii="仿宋_GB2312" w:hAnsi="宋体" w:eastAsia="仿宋_GB2312" w:cs="宋体"/>
          <w:color w:val="000000"/>
          <w:kern w:val="0"/>
          <w:sz w:val="32"/>
          <w:szCs w:val="32"/>
          <w:highlight w:val="none"/>
        </w:rPr>
        <w:t>如弃权时净负</w:t>
      </w:r>
      <w:r>
        <w:rPr>
          <w:rFonts w:hint="eastAsia" w:ascii="仿宋_GB2312" w:hAnsi="宋体" w:eastAsia="仿宋_GB2312" w:cs="宋体"/>
          <w:color w:val="000000"/>
          <w:kern w:val="0"/>
          <w:sz w:val="32"/>
          <w:szCs w:val="32"/>
          <w:highlight w:val="none"/>
          <w:lang w:eastAsia="zh-CN"/>
        </w:rPr>
        <w:t>分</w:t>
      </w:r>
      <w:r>
        <w:rPr>
          <w:rFonts w:hint="eastAsia" w:ascii="仿宋_GB2312" w:hAnsi="宋体" w:eastAsia="仿宋_GB2312" w:cs="宋体"/>
          <w:color w:val="000000"/>
          <w:kern w:val="0"/>
          <w:sz w:val="32"/>
          <w:szCs w:val="32"/>
          <w:highlight w:val="none"/>
        </w:rPr>
        <w:t>多于 20 个按实际比分计算。</w:t>
      </w:r>
    </w:p>
    <w:p w14:paraId="051C9815">
      <w:pPr>
        <w:spacing w:line="560" w:lineRule="exact"/>
        <w:ind w:firstLine="640" w:firstLineChars="200"/>
        <w:jc w:val="left"/>
        <w:rPr>
          <w:rFonts w:hint="eastAsia" w:ascii="仿宋_GB2312" w:hAnsi="仿宋" w:eastAsia="仿宋_GB2312" w:cs="仿宋_GB2312"/>
          <w:sz w:val="32"/>
          <w:szCs w:val="32"/>
          <w:highlight w:val="none"/>
        </w:rPr>
      </w:pPr>
      <w:r>
        <w:rPr>
          <w:rFonts w:hint="eastAsia" w:ascii="仿宋_GB2312" w:hAnsi="宋体" w:eastAsia="仿宋_GB2312" w:cs="宋体"/>
          <w:color w:val="000000"/>
          <w:kern w:val="0"/>
          <w:sz w:val="32"/>
          <w:szCs w:val="32"/>
          <w:highlight w:val="none"/>
        </w:rPr>
        <w:t>（三）</w:t>
      </w:r>
      <w:r>
        <w:rPr>
          <w:rFonts w:hint="eastAsia" w:ascii="仿宋_GB2312" w:hAnsi="仿宋" w:eastAsia="仿宋_GB2312" w:cs="仿宋_GB2312"/>
          <w:sz w:val="32"/>
          <w:szCs w:val="32"/>
          <w:highlight w:val="none"/>
        </w:rPr>
        <w:t>各参赛队每场比赛开赛前</w:t>
      </w:r>
      <w:r>
        <w:rPr>
          <w:rFonts w:hint="eastAsia" w:ascii="仿宋_GB2312" w:hAnsi="仿宋" w:eastAsia="仿宋_GB2312" w:cs="仿宋_GB2312"/>
          <w:sz w:val="32"/>
          <w:szCs w:val="32"/>
          <w:highlight w:val="none"/>
          <w:lang w:val="en-US" w:eastAsia="zh-CN"/>
        </w:rPr>
        <w:t>60分钟</w:t>
      </w:r>
      <w:r>
        <w:rPr>
          <w:rFonts w:hint="eastAsia" w:ascii="仿宋_GB2312" w:hAnsi="仿宋" w:eastAsia="仿宋_GB2312" w:cs="仿宋_GB2312"/>
          <w:sz w:val="32"/>
          <w:szCs w:val="32"/>
          <w:highlight w:val="none"/>
        </w:rPr>
        <w:t>将上场队员名单提交</w:t>
      </w:r>
      <w:r>
        <w:rPr>
          <w:rFonts w:hint="eastAsia" w:ascii="仿宋_GB2312" w:hAnsi="仿宋" w:eastAsia="仿宋_GB2312" w:cs="仿宋_GB2312"/>
          <w:sz w:val="32"/>
          <w:szCs w:val="32"/>
          <w:highlight w:val="none"/>
          <w:lang w:eastAsia="zh-CN"/>
        </w:rPr>
        <w:t>到</w:t>
      </w:r>
      <w:r>
        <w:rPr>
          <w:rFonts w:hint="eastAsia" w:ascii="仿宋_GB2312" w:hAnsi="仿宋" w:eastAsia="仿宋_GB2312" w:cs="仿宋_GB2312"/>
          <w:sz w:val="32"/>
          <w:szCs w:val="32"/>
          <w:highlight w:val="none"/>
        </w:rPr>
        <w:t>记录处，未列入上场队员名单的</w:t>
      </w:r>
      <w:r>
        <w:rPr>
          <w:rFonts w:hint="eastAsia" w:ascii="仿宋_GB2312" w:hAnsi="仿宋" w:eastAsia="仿宋_GB2312" w:cs="仿宋_GB2312"/>
          <w:sz w:val="32"/>
          <w:szCs w:val="32"/>
          <w:highlight w:val="none"/>
          <w:lang w:eastAsia="zh-CN"/>
        </w:rPr>
        <w:t>运动</w:t>
      </w:r>
      <w:r>
        <w:rPr>
          <w:rFonts w:hint="eastAsia" w:ascii="仿宋_GB2312" w:hAnsi="仿宋" w:eastAsia="仿宋_GB2312" w:cs="仿宋_GB2312"/>
          <w:sz w:val="32"/>
          <w:szCs w:val="32"/>
          <w:highlight w:val="none"/>
        </w:rPr>
        <w:t>员不得上场参加本场比赛，不在秩序册名单内的比赛无关人员，不得进入队员席和比赛场地</w:t>
      </w:r>
      <w:r>
        <w:rPr>
          <w:rFonts w:hint="eastAsia" w:ascii="仿宋_GB2312" w:hAnsi="仿宋" w:eastAsia="仿宋_GB2312" w:cs="仿宋_GB2312"/>
          <w:sz w:val="32"/>
          <w:szCs w:val="32"/>
          <w:highlight w:val="none"/>
          <w:lang w:eastAsia="zh-CN"/>
        </w:rPr>
        <w:t>。</w:t>
      </w:r>
    </w:p>
    <w:p w14:paraId="00EA00D3">
      <w:pPr>
        <w:spacing w:line="560" w:lineRule="exact"/>
        <w:ind w:firstLine="640" w:firstLineChars="200"/>
        <w:jc w:val="left"/>
        <w:rPr>
          <w:rFonts w:hint="eastAsia" w:ascii="仿宋_GB2312" w:hAnsi="宋体" w:eastAsia="仿宋_GB2312"/>
          <w:color w:val="000000"/>
          <w:sz w:val="32"/>
          <w:szCs w:val="32"/>
          <w:highlight w:val="none"/>
        </w:rPr>
      </w:pPr>
      <w:r>
        <w:rPr>
          <w:rFonts w:hint="eastAsia" w:ascii="仿宋_GB2312" w:hAnsi="宋体" w:eastAsia="仿宋_GB2312" w:cs="宋体"/>
          <w:color w:val="000000"/>
          <w:kern w:val="0"/>
          <w:sz w:val="32"/>
          <w:szCs w:val="32"/>
          <w:highlight w:val="none"/>
        </w:rPr>
        <w:t>（四）</w:t>
      </w:r>
      <w:r>
        <w:rPr>
          <w:rFonts w:hint="eastAsia" w:ascii="仿宋_GB2312" w:hAnsi="宋体" w:eastAsia="仿宋_GB2312"/>
          <w:color w:val="000000"/>
          <w:sz w:val="32"/>
          <w:szCs w:val="32"/>
          <w:highlight w:val="none"/>
          <w:lang w:eastAsia="zh-CN"/>
        </w:rPr>
        <w:t>赛制</w:t>
      </w:r>
      <w:r>
        <w:rPr>
          <w:rFonts w:hint="eastAsia" w:ascii="仿宋_GB2312" w:hAnsi="宋体" w:eastAsia="仿宋_GB2312"/>
          <w:color w:val="000000"/>
          <w:sz w:val="32"/>
          <w:szCs w:val="32"/>
          <w:highlight w:val="none"/>
        </w:rPr>
        <w:t>分组与编排</w:t>
      </w:r>
      <w:r>
        <w:rPr>
          <w:rFonts w:hint="eastAsia" w:ascii="仿宋_GB2312" w:hAnsi="宋体" w:eastAsia="仿宋_GB2312"/>
          <w:color w:val="000000"/>
          <w:sz w:val="32"/>
          <w:szCs w:val="32"/>
          <w:highlight w:val="none"/>
          <w:lang w:eastAsia="zh-CN"/>
        </w:rPr>
        <w:t>方</w:t>
      </w:r>
      <w:r>
        <w:rPr>
          <w:rFonts w:hint="eastAsia" w:ascii="仿宋_GB2312" w:hAnsi="宋体" w:eastAsia="仿宋_GB2312"/>
          <w:color w:val="000000"/>
          <w:sz w:val="32"/>
          <w:szCs w:val="32"/>
          <w:highlight w:val="none"/>
        </w:rPr>
        <w:t>法</w:t>
      </w:r>
    </w:p>
    <w:p w14:paraId="7F2BCAA4">
      <w:pPr>
        <w:spacing w:line="560" w:lineRule="exact"/>
        <w:ind w:firstLine="640" w:firstLineChars="200"/>
        <w:jc w:val="left"/>
        <w:rPr>
          <w:rFonts w:hint="eastAsia" w:ascii="仿宋_GB2312" w:hAnsi="宋体" w:eastAsia="仿宋_GB2312"/>
          <w:color w:val="000000"/>
          <w:sz w:val="32"/>
          <w:szCs w:val="32"/>
          <w:highlight w:val="none"/>
          <w:lang w:val="en-US" w:eastAsia="zh-CN"/>
        </w:rPr>
      </w:pPr>
      <w:r>
        <w:rPr>
          <w:rFonts w:hint="eastAsia" w:ascii="仿宋_GB2312" w:hAnsi="宋体" w:eastAsia="仿宋_GB2312"/>
          <w:color w:val="000000"/>
          <w:sz w:val="32"/>
          <w:szCs w:val="32"/>
          <w:highlight w:val="none"/>
          <w:lang w:val="en-US" w:eastAsia="zh-CN"/>
        </w:rPr>
        <w:t>1.报名参赛6队（含）以下时，采用单循环办法进行比赛决出最终名次；</w:t>
      </w:r>
    </w:p>
    <w:p w14:paraId="0A9BA07D">
      <w:pPr>
        <w:spacing w:line="560" w:lineRule="exact"/>
        <w:ind w:firstLine="640" w:firstLineChars="200"/>
        <w:jc w:val="left"/>
        <w:rPr>
          <w:rFonts w:hint="default" w:ascii="仿宋_GB2312" w:hAnsi="宋体" w:eastAsia="仿宋_GB2312"/>
          <w:color w:val="000000"/>
          <w:sz w:val="32"/>
          <w:szCs w:val="32"/>
          <w:highlight w:val="none"/>
          <w:lang w:val="en-US" w:eastAsia="zh-CN"/>
        </w:rPr>
      </w:pPr>
      <w:r>
        <w:rPr>
          <w:rFonts w:hint="eastAsia" w:ascii="仿宋_GB2312" w:hAnsi="宋体" w:eastAsia="仿宋_GB2312"/>
          <w:color w:val="000000"/>
          <w:sz w:val="32"/>
          <w:szCs w:val="32"/>
          <w:highlight w:val="none"/>
          <w:lang w:val="en-US" w:eastAsia="zh-CN"/>
        </w:rPr>
        <w:t>2.报名参赛8队（含）以下时，</w:t>
      </w:r>
      <w:r>
        <w:rPr>
          <w:rFonts w:hint="eastAsia" w:ascii="仿宋_GB2312" w:hAnsi="宋体" w:eastAsia="仿宋_GB2312" w:cs="Times New Roman"/>
          <w:color w:val="000000"/>
          <w:kern w:val="2"/>
          <w:sz w:val="32"/>
          <w:szCs w:val="32"/>
          <w:highlight w:val="none"/>
          <w:lang w:val="en-US" w:eastAsia="zh-CN" w:bidi="ar"/>
        </w:rPr>
        <w:t>先采用蛇形排列方法分为A、B两个小组进行分组循环赛，名列小组1、2名队进行超级循环赛决出1-4名，名列小组3、4名队进行超级循环赛决出5-8名，小组循环赛的两队比赛成绩代入超级循环赛；</w:t>
      </w:r>
    </w:p>
    <w:p w14:paraId="36AD3A92">
      <w:pPr>
        <w:spacing w:line="560" w:lineRule="exact"/>
        <w:ind w:firstLine="640" w:firstLineChars="200"/>
        <w:jc w:val="left"/>
        <w:rPr>
          <w:rFonts w:hint="eastAsia" w:ascii="仿宋_GB2312" w:hAnsi="宋体" w:eastAsia="仿宋_GB2312" w:cs="仿宋_GB2312"/>
          <w:color w:val="000000"/>
          <w:kern w:val="2"/>
          <w:sz w:val="32"/>
          <w:szCs w:val="32"/>
          <w:highlight w:val="none"/>
          <w:lang w:val="en-US" w:eastAsia="zh-CN" w:bidi="ar"/>
        </w:rPr>
      </w:pPr>
      <w:r>
        <w:rPr>
          <w:rFonts w:hint="eastAsia" w:ascii="仿宋_GB2312" w:hAnsi="宋体" w:eastAsia="仿宋_GB2312"/>
          <w:color w:val="000000"/>
          <w:sz w:val="32"/>
          <w:szCs w:val="32"/>
          <w:highlight w:val="none"/>
          <w:lang w:val="en-US" w:eastAsia="zh-CN"/>
        </w:rPr>
        <w:t>3.按照2025年北京市青少年垒球冠军赛最终名次为序号，</w:t>
      </w:r>
      <w:r>
        <w:rPr>
          <w:rFonts w:hint="eastAsia" w:ascii="仿宋_GB2312" w:hAnsi="宋体" w:eastAsia="仿宋_GB2312" w:cs="仿宋_GB2312"/>
          <w:color w:val="000000"/>
          <w:kern w:val="2"/>
          <w:sz w:val="32"/>
          <w:szCs w:val="32"/>
          <w:highlight w:val="none"/>
          <w:lang w:val="en-US" w:eastAsia="zh-CN" w:bidi="ar"/>
        </w:rPr>
        <w:t>如有参赛队放弃报名资格，则获得前八名的参赛队依次递补；</w:t>
      </w:r>
    </w:p>
    <w:p w14:paraId="20A65AAE">
      <w:pPr>
        <w:spacing w:line="560" w:lineRule="exact"/>
        <w:ind w:firstLine="640" w:firstLineChars="200"/>
        <w:jc w:val="left"/>
        <w:rPr>
          <w:rFonts w:hint="default" w:ascii="仿宋_GB2312" w:hAnsi="宋体" w:eastAsia="仿宋_GB2312"/>
          <w:color w:val="000000"/>
          <w:sz w:val="32"/>
          <w:szCs w:val="32"/>
          <w:highlight w:val="none"/>
          <w:lang w:val="en-US" w:eastAsia="zh-CN"/>
        </w:rPr>
      </w:pPr>
      <w:r>
        <w:rPr>
          <w:rFonts w:hint="eastAsia" w:ascii="仿宋_GB2312" w:hAnsi="宋体" w:eastAsia="仿宋_GB2312" w:cs="仿宋_GB2312"/>
          <w:color w:val="000000"/>
          <w:kern w:val="2"/>
          <w:sz w:val="32"/>
          <w:szCs w:val="32"/>
          <w:highlight w:val="none"/>
          <w:lang w:val="en-US" w:eastAsia="zh-CN" w:bidi="ar"/>
        </w:rPr>
        <w:t>4.</w:t>
      </w:r>
      <w:r>
        <w:rPr>
          <w:rFonts w:hint="eastAsia" w:ascii="仿宋_GB2312" w:hAnsi="宋体" w:eastAsia="仿宋_GB2312"/>
          <w:color w:val="000000"/>
          <w:sz w:val="32"/>
          <w:szCs w:val="32"/>
          <w:highlight w:val="none"/>
          <w:lang w:val="en-US" w:eastAsia="zh-CN"/>
        </w:rPr>
        <w:t>编排方法：</w:t>
      </w:r>
      <w:r>
        <w:rPr>
          <w:rFonts w:hint="eastAsia" w:ascii="仿宋_GB2312" w:hAnsi="宋体" w:eastAsia="仿宋_GB2312"/>
          <w:color w:val="000000"/>
          <w:sz w:val="32"/>
          <w:szCs w:val="32"/>
          <w:highlight w:val="none"/>
          <w:lang w:eastAsia="zh-CN"/>
        </w:rPr>
        <w:t>奇数</w:t>
      </w:r>
      <w:r>
        <w:rPr>
          <w:rFonts w:hint="eastAsia" w:ascii="仿宋_GB2312" w:hAnsi="宋体" w:eastAsia="仿宋_GB2312"/>
          <w:color w:val="000000"/>
          <w:sz w:val="32"/>
          <w:szCs w:val="32"/>
          <w:highlight w:val="none"/>
        </w:rPr>
        <w:t>队</w:t>
      </w:r>
      <w:r>
        <w:rPr>
          <w:rFonts w:hint="eastAsia" w:ascii="仿宋_GB2312" w:hAnsi="宋体" w:eastAsia="仿宋_GB2312"/>
          <w:color w:val="000000"/>
          <w:sz w:val="32"/>
          <w:szCs w:val="32"/>
          <w:highlight w:val="none"/>
          <w:lang w:eastAsia="zh-CN"/>
        </w:rPr>
        <w:t>时</w:t>
      </w:r>
      <w:r>
        <w:rPr>
          <w:rFonts w:hint="eastAsia" w:ascii="仿宋_GB2312" w:hAnsi="宋体" w:eastAsia="仿宋_GB2312"/>
          <w:color w:val="000000"/>
          <w:sz w:val="32"/>
          <w:szCs w:val="32"/>
          <w:highlight w:val="none"/>
        </w:rPr>
        <w:t>采用“1”不动补“0”</w:t>
      </w:r>
      <w:r>
        <w:rPr>
          <w:rFonts w:hint="eastAsia" w:ascii="仿宋_GB2312" w:hAnsi="宋体" w:eastAsia="仿宋_GB2312"/>
          <w:color w:val="000000"/>
          <w:sz w:val="32"/>
          <w:szCs w:val="32"/>
          <w:highlight w:val="none"/>
          <w:lang w:eastAsia="zh-CN"/>
        </w:rPr>
        <w:t>的办法，按</w:t>
      </w:r>
      <w:r>
        <w:rPr>
          <w:rFonts w:hint="eastAsia" w:ascii="仿宋_GB2312" w:hAnsi="宋体" w:eastAsia="仿宋_GB2312"/>
          <w:color w:val="000000"/>
          <w:sz w:val="32"/>
          <w:szCs w:val="32"/>
          <w:highlight w:val="none"/>
        </w:rPr>
        <w:t>逆时针旋转</w:t>
      </w:r>
      <w:r>
        <w:rPr>
          <w:rFonts w:hint="eastAsia" w:ascii="仿宋_GB2312" w:hAnsi="宋体" w:eastAsia="仿宋_GB2312"/>
          <w:color w:val="000000"/>
          <w:sz w:val="32"/>
          <w:szCs w:val="32"/>
          <w:highlight w:val="none"/>
          <w:lang w:eastAsia="zh-CN"/>
        </w:rPr>
        <w:t>的原则编排；偶数</w:t>
      </w:r>
      <w:r>
        <w:rPr>
          <w:rFonts w:hint="eastAsia" w:ascii="仿宋_GB2312" w:hAnsi="宋体" w:eastAsia="仿宋_GB2312"/>
          <w:color w:val="000000"/>
          <w:sz w:val="32"/>
          <w:szCs w:val="32"/>
          <w:highlight w:val="none"/>
        </w:rPr>
        <w:t>队</w:t>
      </w:r>
      <w:r>
        <w:rPr>
          <w:rFonts w:hint="eastAsia" w:ascii="仿宋_GB2312" w:hAnsi="宋体" w:eastAsia="仿宋_GB2312"/>
          <w:color w:val="000000"/>
          <w:sz w:val="32"/>
          <w:szCs w:val="32"/>
          <w:highlight w:val="none"/>
          <w:lang w:eastAsia="zh-CN"/>
        </w:rPr>
        <w:t>时</w:t>
      </w:r>
      <w:r>
        <w:rPr>
          <w:rFonts w:hint="eastAsia" w:ascii="仿宋_GB2312" w:hAnsi="宋体" w:eastAsia="仿宋_GB2312"/>
          <w:color w:val="000000"/>
          <w:sz w:val="32"/>
          <w:szCs w:val="32"/>
          <w:highlight w:val="none"/>
        </w:rPr>
        <w:t>采用“1”不动逆时针旋转</w:t>
      </w:r>
      <w:r>
        <w:rPr>
          <w:rFonts w:hint="eastAsia" w:ascii="仿宋_GB2312" w:hAnsi="宋体" w:eastAsia="仿宋_GB2312"/>
          <w:color w:val="000000"/>
          <w:sz w:val="32"/>
          <w:szCs w:val="32"/>
          <w:highlight w:val="none"/>
          <w:lang w:eastAsia="zh-CN"/>
        </w:rPr>
        <w:t>的原则编排</w:t>
      </w:r>
      <w:r>
        <w:rPr>
          <w:rFonts w:hint="eastAsia" w:ascii="仿宋_GB2312" w:hAnsi="宋体" w:eastAsia="仿宋_GB2312"/>
          <w:color w:val="000000"/>
          <w:sz w:val="32"/>
          <w:szCs w:val="32"/>
          <w:highlight w:val="none"/>
          <w:lang w:val="en-US" w:eastAsia="zh-CN"/>
        </w:rPr>
        <w:t>。</w:t>
      </w:r>
    </w:p>
    <w:p w14:paraId="3FCE791E">
      <w:pPr>
        <w:spacing w:line="560" w:lineRule="exact"/>
        <w:ind w:firstLine="640" w:firstLineChars="200"/>
        <w:jc w:val="left"/>
        <w:rPr>
          <w:rFonts w:hint="eastAsia" w:ascii="仿宋_GB2312" w:hAnsi="宋体" w:eastAsia="仿宋_GB2312" w:cs="宋体"/>
          <w:color w:val="000000"/>
          <w:kern w:val="0"/>
          <w:sz w:val="32"/>
          <w:szCs w:val="32"/>
          <w:highlight w:val="none"/>
        </w:rPr>
      </w:pPr>
      <w:r>
        <w:rPr>
          <w:rFonts w:hint="eastAsia" w:ascii="仿宋_GB2312" w:hAnsi="仿宋" w:eastAsia="仿宋_GB2312" w:cs="仿宋_GB2312"/>
          <w:sz w:val="32"/>
          <w:szCs w:val="32"/>
          <w:highlight w:val="none"/>
        </w:rPr>
        <w:t>（五）</w:t>
      </w:r>
      <w:r>
        <w:rPr>
          <w:rFonts w:hint="eastAsia" w:ascii="仿宋_GB2312" w:hAnsi="宋体" w:eastAsia="仿宋_GB2312" w:cs="宋体"/>
          <w:color w:val="000000"/>
          <w:kern w:val="0"/>
          <w:sz w:val="32"/>
          <w:szCs w:val="32"/>
          <w:highlight w:val="none"/>
        </w:rPr>
        <w:t>决定名次办法</w:t>
      </w:r>
    </w:p>
    <w:p w14:paraId="7DAEE77B">
      <w:pPr>
        <w:spacing w:line="560" w:lineRule="exact"/>
        <w:ind w:firstLine="640"/>
        <w:rPr>
          <w:rFonts w:hint="eastAsia"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1.</w:t>
      </w:r>
      <w:r>
        <w:rPr>
          <w:rFonts w:hint="eastAsia" w:ascii="仿宋_GB2312" w:hAnsi="仿宋" w:eastAsia="仿宋_GB2312" w:cs="仿宋_GB2312"/>
          <w:kern w:val="2"/>
          <w:sz w:val="32"/>
          <w:szCs w:val="32"/>
          <w:highlight w:val="none"/>
          <w:lang w:val="en-US" w:eastAsia="zh-CN" w:bidi="ar"/>
        </w:rPr>
        <w:t>每场比赛必须分出胜负，胜队积3分，负队积0分；如两队通过延长局比赛分出胜负，胜队积2分，负队积1分，</w:t>
      </w:r>
      <w:r>
        <w:rPr>
          <w:rFonts w:hint="eastAsia" w:ascii="仿宋_GB2312" w:hAnsi="仿宋" w:eastAsia="仿宋_GB2312" w:cs="仿宋_GB2312"/>
          <w:sz w:val="32"/>
          <w:szCs w:val="32"/>
          <w:highlight w:val="none"/>
        </w:rPr>
        <w:t>以积分多者名次列前；</w:t>
      </w:r>
    </w:p>
    <w:p w14:paraId="4610CC34">
      <w:pPr>
        <w:spacing w:line="560" w:lineRule="exact"/>
        <w:ind w:firstLine="640" w:firstLineChars="200"/>
        <w:rPr>
          <w:rFonts w:hint="eastAsia" w:ascii="仿宋_GB2312" w:hAnsi="仿宋" w:eastAsia="仿宋_GB2312" w:cs="仿宋_GB2312"/>
          <w:sz w:val="32"/>
          <w:szCs w:val="32"/>
          <w:highlight w:val="none"/>
        </w:rPr>
      </w:pPr>
      <w:r>
        <w:rPr>
          <w:rFonts w:hint="eastAsia" w:ascii="仿宋_GB2312" w:hAnsi="仿宋_GB2312" w:eastAsia="仿宋_GB2312" w:cs="仿宋_GB2312"/>
          <w:sz w:val="32"/>
          <w:szCs w:val="32"/>
          <w:highlight w:val="none"/>
          <w:lang w:val="zh-TW"/>
        </w:rPr>
        <w:t>2.</w:t>
      </w:r>
      <w:r>
        <w:rPr>
          <w:rFonts w:hint="eastAsia" w:ascii="仿宋_GB2312" w:hAnsi="仿宋" w:eastAsia="仿宋_GB2312" w:cs="仿宋_GB2312"/>
          <w:sz w:val="32"/>
          <w:szCs w:val="32"/>
          <w:highlight w:val="none"/>
        </w:rPr>
        <w:t>如遇两队或两队以上积分相等，则按下列顺序确定名次：</w:t>
      </w:r>
    </w:p>
    <w:p w14:paraId="3C6B515E">
      <w:pPr>
        <w:spacing w:line="560" w:lineRule="exact"/>
        <w:ind w:firstLine="640" w:firstLineChars="200"/>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（1）同积分队相互间比赛，胜场多者名次列前；</w:t>
      </w:r>
    </w:p>
    <w:p w14:paraId="056C5730">
      <w:pPr>
        <w:spacing w:line="56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sz w:val="32"/>
          <w:szCs w:val="32"/>
          <w:highlight w:val="none"/>
        </w:rPr>
        <w:t>（2）同积分队相互间比赛</w:t>
      </w:r>
      <w:r>
        <w:rPr>
          <w:rFonts w:hint="eastAsia" w:ascii="仿宋_GB2312" w:hAnsi="仿宋" w:eastAsia="仿宋_GB2312" w:cs="仿宋_GB2312"/>
          <w:color w:val="000000"/>
          <w:sz w:val="32"/>
          <w:szCs w:val="32"/>
          <w:highlight w:val="none"/>
        </w:rPr>
        <w:t>，失分少者名次列前；</w:t>
      </w:r>
    </w:p>
    <w:p w14:paraId="62A46E59">
      <w:pPr>
        <w:spacing w:line="560" w:lineRule="exact"/>
        <w:ind w:firstLine="640" w:firstLineChars="200"/>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（3）全部比赛失分少者名次列前；</w:t>
      </w:r>
    </w:p>
    <w:p w14:paraId="54A5AE33">
      <w:pPr>
        <w:spacing w:line="560" w:lineRule="exact"/>
        <w:ind w:firstLine="640" w:firstLineChars="200"/>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（4）全部比赛按三垒、二垒、一垒顺序计算残垒数决定名次，多者名次列前；</w:t>
      </w:r>
    </w:p>
    <w:p w14:paraId="173D816D">
      <w:pPr>
        <w:spacing w:line="560" w:lineRule="exact"/>
        <w:ind w:firstLine="640" w:firstLineChars="200"/>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（5）抽签决定名次。</w:t>
      </w:r>
    </w:p>
    <w:p w14:paraId="72484B38">
      <w:pPr>
        <w:spacing w:line="560" w:lineRule="exact"/>
        <w:jc w:val="left"/>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zh-TW"/>
        </w:rPr>
        <w:t>六</w:t>
      </w:r>
      <w:r>
        <w:rPr>
          <w:rFonts w:hint="eastAsia" w:ascii="仿宋_GB2312" w:hAnsi="仿宋" w:eastAsia="仿宋_GB2312" w:cs="仿宋_GB2312"/>
          <w:sz w:val="32"/>
          <w:szCs w:val="32"/>
          <w:highlight w:val="none"/>
        </w:rPr>
        <w:t>）竞赛规则</w:t>
      </w:r>
    </w:p>
    <w:p w14:paraId="029B6846">
      <w:pPr>
        <w:spacing w:line="560" w:lineRule="exact"/>
        <w:jc w:val="left"/>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 xml:space="preserve">    1.</w:t>
      </w:r>
      <w:r>
        <w:rPr>
          <w:rFonts w:hint="eastAsia" w:ascii="仿宋_GB2312" w:hAnsi="仿宋" w:eastAsia="仿宋_GB2312" w:cs="仿宋_GB2312"/>
          <w:sz w:val="32"/>
          <w:szCs w:val="32"/>
          <w:highlight w:val="none"/>
          <w:lang w:eastAsia="zh-CN"/>
        </w:rPr>
        <w:t>执行</w:t>
      </w:r>
      <w:r>
        <w:rPr>
          <w:rFonts w:hint="eastAsia" w:ascii="仿宋_GB2312" w:hAnsi="仿宋" w:eastAsia="仿宋_GB2312" w:cs="仿宋_GB2312"/>
          <w:sz w:val="32"/>
          <w:szCs w:val="32"/>
          <w:highlight w:val="none"/>
        </w:rPr>
        <w:t>中国垒球协会审定的《垒球</w:t>
      </w:r>
      <w:r>
        <w:rPr>
          <w:rFonts w:hint="eastAsia" w:ascii="仿宋_GB2312" w:hAnsi="仿宋" w:eastAsia="仿宋_GB2312" w:cs="仿宋_GB2312"/>
          <w:sz w:val="32"/>
          <w:szCs w:val="32"/>
          <w:highlight w:val="none"/>
          <w:lang w:eastAsia="zh-CN"/>
        </w:rPr>
        <w:t>竞赛</w:t>
      </w:r>
      <w:r>
        <w:rPr>
          <w:rFonts w:hint="eastAsia" w:ascii="仿宋_GB2312" w:hAnsi="仿宋" w:eastAsia="仿宋_GB2312" w:cs="仿宋_GB2312"/>
          <w:sz w:val="32"/>
          <w:szCs w:val="32"/>
          <w:highlight w:val="none"/>
        </w:rPr>
        <w:t>规则</w:t>
      </w:r>
      <w:r>
        <w:rPr>
          <w:rFonts w:hint="eastAsia" w:ascii="仿宋_GB2312" w:hAnsi="仿宋" w:eastAsia="仿宋_GB2312" w:cs="仿宋_GB2312"/>
          <w:sz w:val="32"/>
          <w:szCs w:val="32"/>
          <w:highlight w:val="none"/>
          <w:lang w:val="en-US" w:eastAsia="zh-CN"/>
        </w:rPr>
        <w:t>2021-2025</w:t>
      </w:r>
      <w:r>
        <w:rPr>
          <w:rFonts w:hint="eastAsia" w:ascii="仿宋_GB2312" w:hAnsi="仿宋" w:eastAsia="仿宋_GB2312" w:cs="仿宋_GB2312"/>
          <w:sz w:val="32"/>
          <w:szCs w:val="32"/>
          <w:highlight w:val="none"/>
        </w:rPr>
        <w:t>》和有关规定；</w:t>
      </w:r>
    </w:p>
    <w:p w14:paraId="7DC69237">
      <w:pPr>
        <w:spacing w:line="560" w:lineRule="exact"/>
        <w:jc w:val="left"/>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 xml:space="preserve">    2.每场比赛</w:t>
      </w:r>
      <w:r>
        <w:rPr>
          <w:rFonts w:hint="eastAsia" w:ascii="仿宋_GB2312" w:hAnsi="仿宋" w:eastAsia="仿宋_GB2312" w:cs="仿宋_GB2312"/>
          <w:sz w:val="32"/>
          <w:szCs w:val="32"/>
          <w:highlight w:val="none"/>
          <w:lang w:eastAsia="zh-CN"/>
        </w:rPr>
        <w:t>限</w:t>
      </w:r>
      <w:r>
        <w:rPr>
          <w:rFonts w:hint="eastAsia" w:ascii="仿宋_GB2312" w:hAnsi="仿宋" w:eastAsia="仿宋_GB2312" w:cs="仿宋_GB2312"/>
          <w:sz w:val="32"/>
          <w:szCs w:val="32"/>
          <w:highlight w:val="none"/>
          <w:lang w:val="en-US" w:eastAsia="zh-CN"/>
        </w:rPr>
        <w:t>7</w:t>
      </w:r>
      <w:r>
        <w:rPr>
          <w:rFonts w:hint="eastAsia" w:ascii="仿宋_GB2312" w:hAnsi="仿宋" w:eastAsia="仿宋_GB2312" w:cs="仿宋_GB2312"/>
          <w:sz w:val="32"/>
          <w:szCs w:val="32"/>
          <w:highlight w:val="none"/>
        </w:rPr>
        <w:t>局，限时90分钟。</w:t>
      </w:r>
      <w:r>
        <w:rPr>
          <w:rFonts w:hint="eastAsia" w:ascii="仿宋_GB2312" w:hAnsi="仿宋" w:eastAsia="仿宋_GB2312" w:cs="仿宋_GB2312"/>
          <w:sz w:val="32"/>
          <w:szCs w:val="32"/>
          <w:highlight w:val="none"/>
          <w:lang w:eastAsia="zh-CN"/>
        </w:rPr>
        <w:t>两队</w:t>
      </w:r>
      <w:r>
        <w:rPr>
          <w:rFonts w:hint="eastAsia" w:ascii="仿宋_GB2312" w:hAnsi="仿宋" w:eastAsia="仿宋_GB2312" w:cs="仿宋_GB2312"/>
          <w:sz w:val="32"/>
          <w:szCs w:val="32"/>
          <w:highlight w:val="none"/>
        </w:rPr>
        <w:t>同等局数情况下，限时不足</w:t>
      </w:r>
      <w:r>
        <w:rPr>
          <w:rFonts w:ascii="仿宋_GB2312" w:hAnsi="仿宋" w:eastAsia="仿宋_GB2312" w:cs="仿宋_GB2312"/>
          <w:sz w:val="32"/>
          <w:szCs w:val="32"/>
          <w:highlight w:val="none"/>
        </w:rPr>
        <w:t>5</w:t>
      </w:r>
      <w:r>
        <w:rPr>
          <w:rFonts w:hint="eastAsia" w:ascii="仿宋_GB2312" w:hAnsi="仿宋" w:eastAsia="仿宋_GB2312" w:cs="仿宋_GB2312"/>
          <w:sz w:val="32"/>
          <w:szCs w:val="32"/>
          <w:highlight w:val="none"/>
        </w:rPr>
        <w:t>分钟（含）时，即可结束本场比赛</w:t>
      </w:r>
      <w:r>
        <w:rPr>
          <w:rFonts w:hint="eastAsia" w:ascii="仿宋_GB2312" w:hAnsi="仿宋" w:eastAsia="仿宋_GB2312" w:cs="仿宋_GB2312"/>
          <w:sz w:val="32"/>
          <w:szCs w:val="32"/>
          <w:highlight w:val="none"/>
          <w:lang w:eastAsia="zh-CN"/>
        </w:rPr>
        <w:t>；</w:t>
      </w:r>
    </w:p>
    <w:p w14:paraId="0438A3EA">
      <w:pPr>
        <w:spacing w:line="560" w:lineRule="exact"/>
        <w:jc w:val="left"/>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 xml:space="preserve">    3.</w:t>
      </w:r>
      <w:r>
        <w:rPr>
          <w:rFonts w:ascii="仿宋_GB2312" w:hAnsi="仿宋" w:eastAsia="仿宋_GB2312" w:cs="仿宋_GB2312"/>
          <w:sz w:val="32"/>
          <w:szCs w:val="32"/>
          <w:highlight w:val="none"/>
        </w:rPr>
        <w:t>每场比赛开始</w:t>
      </w:r>
      <w:r>
        <w:rPr>
          <w:rFonts w:hint="eastAsia" w:ascii="仿宋_GB2312" w:hAnsi="仿宋" w:eastAsia="仿宋_GB2312" w:cs="仿宋_GB2312"/>
          <w:sz w:val="32"/>
          <w:szCs w:val="32"/>
          <w:highlight w:val="none"/>
        </w:rPr>
        <w:t>和结束时间以</w:t>
      </w:r>
      <w:r>
        <w:rPr>
          <w:rFonts w:ascii="仿宋_GB2312" w:hAnsi="仿宋" w:eastAsia="仿宋_GB2312" w:cs="仿宋_GB2312"/>
          <w:sz w:val="32"/>
          <w:szCs w:val="32"/>
          <w:highlight w:val="none"/>
        </w:rPr>
        <w:t>记录</w:t>
      </w:r>
      <w:r>
        <w:rPr>
          <w:rFonts w:hint="eastAsia" w:ascii="仿宋_GB2312" w:hAnsi="仿宋" w:eastAsia="仿宋_GB2312" w:cs="仿宋_GB2312"/>
          <w:sz w:val="32"/>
          <w:szCs w:val="32"/>
          <w:highlight w:val="none"/>
        </w:rPr>
        <w:t>处为准</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rPr>
        <w:t>各队在比赛中不得采用任何手段拖延比赛时间，如有此行为一经发现将参照规则给予警告和处罚；</w:t>
      </w:r>
    </w:p>
    <w:p w14:paraId="4E3E42C9">
      <w:pPr>
        <w:spacing w:line="560" w:lineRule="exact"/>
        <w:jc w:val="left"/>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 xml:space="preserve">    4.裁判员宣布交换攻守时，各队应于1分钟内完成攻守交换</w:t>
      </w:r>
      <w:r>
        <w:rPr>
          <w:rFonts w:hint="eastAsia" w:ascii="仿宋_GB2312" w:hAnsi="仿宋" w:eastAsia="仿宋_GB2312" w:cs="仿宋_GB2312"/>
          <w:sz w:val="32"/>
          <w:szCs w:val="32"/>
          <w:highlight w:val="none"/>
          <w:lang w:eastAsia="zh-CN"/>
        </w:rPr>
        <w:t>；</w:t>
      </w:r>
    </w:p>
    <w:p w14:paraId="5C00098C">
      <w:pPr>
        <w:spacing w:line="560" w:lineRule="exact"/>
        <w:jc w:val="left"/>
        <w:rPr>
          <w:rFonts w:hint="eastAsia" w:ascii="仿宋_GB2312" w:hAnsi="宋体" w:eastAsia="仿宋_GB2312"/>
          <w:color w:val="000000"/>
          <w:sz w:val="32"/>
          <w:szCs w:val="32"/>
          <w:highlight w:val="none"/>
        </w:rPr>
      </w:pPr>
      <w:r>
        <w:rPr>
          <w:rFonts w:hint="eastAsia" w:ascii="仿宋_GB2312" w:hAnsi="仿宋" w:eastAsia="仿宋_GB2312" w:cs="仿宋_GB2312"/>
          <w:sz w:val="32"/>
          <w:szCs w:val="32"/>
          <w:highlight w:val="none"/>
        </w:rPr>
        <w:t xml:space="preserve">    5.规定局数或限时已到时双方比分仍相等，从9</w:t>
      </w:r>
      <w:r>
        <w:rPr>
          <w:rFonts w:ascii="仿宋_GB2312" w:hAnsi="仿宋" w:eastAsia="仿宋_GB2312" w:cs="仿宋_GB2312"/>
          <w:sz w:val="32"/>
          <w:szCs w:val="32"/>
          <w:highlight w:val="none"/>
        </w:rPr>
        <w:t>0</w:t>
      </w:r>
      <w:r>
        <w:rPr>
          <w:rFonts w:hint="eastAsia" w:ascii="仿宋_GB2312" w:hAnsi="仿宋" w:eastAsia="仿宋_GB2312" w:cs="仿宋_GB2312"/>
          <w:sz w:val="32"/>
          <w:szCs w:val="32"/>
          <w:highlight w:val="none"/>
        </w:rPr>
        <w:t>分钟后或第八局开始，攻方将应轮击击球员的前一</w:t>
      </w:r>
      <w:r>
        <w:rPr>
          <w:rFonts w:hint="eastAsia" w:ascii="仿宋_GB2312" w:hAnsi="仿宋" w:eastAsia="仿宋_GB2312" w:cs="仿宋_GB2312"/>
          <w:sz w:val="32"/>
          <w:szCs w:val="32"/>
          <w:highlight w:val="none"/>
          <w:lang w:eastAsia="zh-CN"/>
        </w:rPr>
        <w:t>名击球</w:t>
      </w:r>
      <w:r>
        <w:rPr>
          <w:rFonts w:hint="eastAsia" w:ascii="仿宋_GB2312" w:hAnsi="仿宋" w:eastAsia="仿宋_GB2312" w:cs="仿宋_GB2312"/>
          <w:sz w:val="32"/>
          <w:szCs w:val="32"/>
          <w:highlight w:val="none"/>
        </w:rPr>
        <w:t>员置于二垒做跑垒员，直至攻守相等时决出胜负为止；</w:t>
      </w:r>
    </w:p>
    <w:p w14:paraId="6C22D05A">
      <w:pPr>
        <w:spacing w:line="560" w:lineRule="exact"/>
        <w:ind w:firstLine="640" w:firstLineChars="200"/>
        <w:jc w:val="left"/>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6.</w:t>
      </w:r>
      <w:r>
        <w:rPr>
          <w:rFonts w:hint="eastAsia" w:ascii="仿宋_GB2312" w:hAnsi="仿宋" w:eastAsia="仿宋_GB2312" w:cs="仿宋_GB2312"/>
          <w:sz w:val="32"/>
          <w:szCs w:val="32"/>
          <w:highlight w:val="none"/>
          <w:lang w:eastAsia="zh-CN"/>
        </w:rPr>
        <w:t>两队</w:t>
      </w:r>
      <w:r>
        <w:rPr>
          <w:rFonts w:hint="eastAsia" w:ascii="仿宋_GB2312" w:hAnsi="仿宋" w:eastAsia="仿宋_GB2312" w:cs="仿宋_GB2312"/>
          <w:sz w:val="32"/>
          <w:szCs w:val="32"/>
          <w:highlight w:val="none"/>
        </w:rPr>
        <w:t>同等局数，三局净胜</w:t>
      </w:r>
      <w:r>
        <w:rPr>
          <w:rFonts w:ascii="仿宋_GB2312" w:hAnsi="仿宋" w:eastAsia="仿宋_GB2312" w:cs="仿宋_GB2312"/>
          <w:sz w:val="32"/>
          <w:szCs w:val="32"/>
          <w:highlight w:val="none"/>
        </w:rPr>
        <w:t>15</w:t>
      </w:r>
      <w:r>
        <w:rPr>
          <w:rFonts w:hint="eastAsia" w:ascii="仿宋_GB2312" w:hAnsi="仿宋" w:eastAsia="仿宋_GB2312" w:cs="仿宋_GB2312"/>
          <w:sz w:val="32"/>
          <w:szCs w:val="32"/>
          <w:highlight w:val="none"/>
        </w:rPr>
        <w:t>分及以上、四局净胜</w:t>
      </w:r>
      <w:r>
        <w:rPr>
          <w:rFonts w:ascii="仿宋_GB2312" w:hAnsi="仿宋" w:eastAsia="仿宋_GB2312" w:cs="仿宋_GB2312"/>
          <w:sz w:val="32"/>
          <w:szCs w:val="32"/>
          <w:highlight w:val="none"/>
        </w:rPr>
        <w:t>10</w:t>
      </w:r>
      <w:r>
        <w:rPr>
          <w:rFonts w:hint="eastAsia" w:ascii="仿宋_GB2312" w:hAnsi="仿宋" w:eastAsia="仿宋_GB2312" w:cs="仿宋_GB2312"/>
          <w:sz w:val="32"/>
          <w:szCs w:val="32"/>
          <w:highlight w:val="none"/>
        </w:rPr>
        <w:t>分及以上、五局净胜</w:t>
      </w:r>
      <w:r>
        <w:rPr>
          <w:rFonts w:ascii="仿宋_GB2312" w:hAnsi="仿宋" w:eastAsia="仿宋_GB2312" w:cs="仿宋_GB2312"/>
          <w:sz w:val="32"/>
          <w:szCs w:val="32"/>
          <w:highlight w:val="none"/>
        </w:rPr>
        <w:t>7</w:t>
      </w:r>
      <w:r>
        <w:rPr>
          <w:rFonts w:hint="eastAsia" w:ascii="仿宋_GB2312" w:hAnsi="仿宋" w:eastAsia="仿宋_GB2312" w:cs="仿宋_GB2312"/>
          <w:sz w:val="32"/>
          <w:szCs w:val="32"/>
          <w:highlight w:val="none"/>
        </w:rPr>
        <w:t>分及以上，则本场比赛结束；</w:t>
      </w:r>
    </w:p>
    <w:p w14:paraId="52C7E4C0">
      <w:pPr>
        <w:spacing w:line="560" w:lineRule="exact"/>
        <w:ind w:firstLine="640" w:firstLineChars="200"/>
        <w:jc w:val="left"/>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7.每名投手每场比赛限投</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局，每天比赛不超过</w:t>
      </w:r>
      <w:r>
        <w:rPr>
          <w:rFonts w:hint="eastAsia" w:ascii="仿宋_GB2312" w:hAnsi="仿宋" w:eastAsia="仿宋_GB2312" w:cs="仿宋_GB2312"/>
          <w:sz w:val="32"/>
          <w:szCs w:val="32"/>
          <w:highlight w:val="none"/>
          <w:lang w:val="en-US" w:eastAsia="zh-CN"/>
        </w:rPr>
        <w:t>5</w:t>
      </w:r>
      <w:r>
        <w:rPr>
          <w:rFonts w:hint="eastAsia" w:ascii="仿宋_GB2312" w:hAnsi="仿宋" w:eastAsia="仿宋_GB2312" w:cs="仿宋_GB2312"/>
          <w:sz w:val="32"/>
          <w:szCs w:val="32"/>
          <w:highlight w:val="none"/>
        </w:rPr>
        <w:t>局。投手一经踏板试投就视为一局的开始，若中途更换投手，换上、换下的投手都视为一局</w:t>
      </w:r>
      <w:r>
        <w:rPr>
          <w:rFonts w:hint="eastAsia" w:ascii="仿宋_GB2312" w:hAnsi="仿宋" w:eastAsia="仿宋_GB2312" w:cs="仿宋_GB2312"/>
          <w:sz w:val="32"/>
          <w:szCs w:val="32"/>
          <w:highlight w:val="none"/>
          <w:lang w:eastAsia="zh-CN"/>
        </w:rPr>
        <w:t>，同一局调离投手位置的投手再次回到投手位置投球则视为两局</w:t>
      </w:r>
      <w:r>
        <w:rPr>
          <w:rFonts w:hint="eastAsia" w:ascii="仿宋_GB2312" w:hAnsi="仿宋" w:eastAsia="仿宋_GB2312" w:cs="仿宋_GB2312"/>
          <w:sz w:val="32"/>
          <w:szCs w:val="32"/>
          <w:highlight w:val="none"/>
        </w:rPr>
        <w:t>。如发现投手超出局数，裁判员立即终止投手投球，本场比赛不得再担任投手，可换下场或改打其它位置，本场比赛成绩有效，该投手下一场比赛不得上场担任投手投球，可打其它防守位置</w:t>
      </w:r>
      <w:bookmarkStart w:id="2" w:name="_Hlk125034737"/>
      <w:r>
        <w:rPr>
          <w:rFonts w:hint="eastAsia" w:ascii="仿宋_GB2312" w:hAnsi="仿宋" w:eastAsia="仿宋_GB2312" w:cs="仿宋_GB2312"/>
          <w:sz w:val="32"/>
          <w:szCs w:val="32"/>
          <w:highlight w:val="none"/>
        </w:rPr>
        <w:t>，如教练员执意不更换投手，裁判员判其该场比赛0:20告负</w:t>
      </w:r>
      <w:bookmarkEnd w:id="2"/>
      <w:r>
        <w:rPr>
          <w:rFonts w:hint="eastAsia" w:ascii="仿宋_GB2312" w:hAnsi="仿宋" w:eastAsia="仿宋_GB2312" w:cs="仿宋_GB2312"/>
          <w:sz w:val="32"/>
          <w:szCs w:val="32"/>
          <w:highlight w:val="none"/>
        </w:rPr>
        <w:t>；</w:t>
      </w:r>
    </w:p>
    <w:p w14:paraId="4F01449D">
      <w:pPr>
        <w:spacing w:line="560" w:lineRule="exact"/>
        <w:ind w:firstLine="640" w:firstLineChars="200"/>
        <w:jc w:val="left"/>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8.如遇天气、场地或其他特殊情况比赛不能继续进行时，则按“封局”处理，由主办及承办单位另行安排时间进行比赛（满</w:t>
      </w:r>
      <w:r>
        <w:rPr>
          <w:rFonts w:hint="eastAsia" w:ascii="仿宋_GB2312" w:hAnsi="仿宋" w:eastAsia="仿宋_GB2312" w:cs="仿宋_GB2312"/>
          <w:sz w:val="32"/>
          <w:szCs w:val="32"/>
          <w:highlight w:val="none"/>
          <w:lang w:val="en-US" w:eastAsia="zh-CN"/>
        </w:rPr>
        <w:t>4</w:t>
      </w:r>
      <w:r>
        <w:rPr>
          <w:rFonts w:hint="eastAsia" w:ascii="仿宋_GB2312" w:hAnsi="仿宋" w:eastAsia="仿宋_GB2312" w:cs="仿宋_GB2312"/>
          <w:sz w:val="32"/>
          <w:szCs w:val="32"/>
          <w:highlight w:val="none"/>
        </w:rPr>
        <w:t>局为有效局，可结束本场比赛）</w:t>
      </w:r>
      <w:r>
        <w:rPr>
          <w:rFonts w:hint="eastAsia" w:ascii="仿宋_GB2312" w:hAnsi="仿宋" w:eastAsia="仿宋_GB2312" w:cs="仿宋_GB2312"/>
          <w:sz w:val="32"/>
          <w:szCs w:val="32"/>
          <w:highlight w:val="none"/>
          <w:lang w:eastAsia="zh-CN"/>
        </w:rPr>
        <w:t>；</w:t>
      </w:r>
    </w:p>
    <w:p w14:paraId="606F45BD">
      <w:pPr>
        <w:spacing w:line="560" w:lineRule="exact"/>
        <w:ind w:firstLine="640" w:firstLineChars="200"/>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lang w:eastAsia="zh-CN"/>
        </w:rPr>
        <w:t>（七）</w:t>
      </w:r>
      <w:r>
        <w:rPr>
          <w:rFonts w:hint="eastAsia" w:ascii="仿宋_GB2312" w:hAnsi="仿宋" w:eastAsia="仿宋_GB2312" w:cs="仿宋_GB2312"/>
          <w:sz w:val="32"/>
          <w:szCs w:val="32"/>
          <w:highlight w:val="none"/>
        </w:rPr>
        <w:t>比赛服装和器材</w:t>
      </w:r>
    </w:p>
    <w:p w14:paraId="666BA487">
      <w:pPr>
        <w:spacing w:line="560" w:lineRule="exact"/>
        <w:ind w:firstLine="640" w:firstLineChars="200"/>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1.各队应</w:t>
      </w:r>
      <w:r>
        <w:rPr>
          <w:rFonts w:hint="eastAsia" w:ascii="仿宋_GB2312" w:hAnsi="仿宋" w:eastAsia="仿宋_GB2312" w:cs="仿宋_GB2312"/>
          <w:sz w:val="32"/>
          <w:szCs w:val="32"/>
          <w:highlight w:val="none"/>
          <w:lang w:eastAsia="zh-CN"/>
        </w:rPr>
        <w:t>至少</w:t>
      </w:r>
      <w:r>
        <w:rPr>
          <w:rFonts w:hint="eastAsia" w:ascii="仿宋_GB2312" w:hAnsi="仿宋" w:eastAsia="仿宋_GB2312" w:cs="仿宋_GB2312"/>
          <w:sz w:val="32"/>
          <w:szCs w:val="32"/>
          <w:highlight w:val="none"/>
        </w:rPr>
        <w:t>准备两套深</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rPr>
        <w:t>浅</w:t>
      </w:r>
      <w:r>
        <w:rPr>
          <w:rFonts w:hint="eastAsia" w:ascii="仿宋_GB2312" w:hAnsi="仿宋" w:eastAsia="仿宋_GB2312" w:cs="仿宋_GB2312"/>
          <w:sz w:val="32"/>
          <w:szCs w:val="32"/>
          <w:highlight w:val="none"/>
          <w:lang w:eastAsia="zh-CN"/>
        </w:rPr>
        <w:t>及</w:t>
      </w:r>
      <w:r>
        <w:rPr>
          <w:rFonts w:hint="eastAsia" w:ascii="仿宋_GB2312" w:hAnsi="仿宋" w:eastAsia="仿宋_GB2312" w:cs="仿宋_GB2312"/>
          <w:sz w:val="32"/>
          <w:szCs w:val="32"/>
          <w:highlight w:val="none"/>
        </w:rPr>
        <w:t>不同颜色</w:t>
      </w:r>
      <w:r>
        <w:rPr>
          <w:rFonts w:hint="eastAsia" w:ascii="仿宋_GB2312" w:hAnsi="仿宋" w:eastAsia="仿宋_GB2312" w:cs="仿宋_GB2312"/>
          <w:sz w:val="32"/>
          <w:szCs w:val="32"/>
          <w:highlight w:val="none"/>
          <w:lang w:eastAsia="zh-CN"/>
        </w:rPr>
        <w:t>的比赛服装</w:t>
      </w: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eastAsia="zh-CN"/>
        </w:rPr>
        <w:t>两套服装</w:t>
      </w:r>
      <w:r>
        <w:rPr>
          <w:rFonts w:hint="eastAsia" w:ascii="仿宋_GB2312" w:hAnsi="仿宋" w:eastAsia="仿宋_GB2312" w:cs="仿宋_GB2312"/>
          <w:sz w:val="32"/>
          <w:szCs w:val="32"/>
          <w:highlight w:val="none"/>
        </w:rPr>
        <w:t>号码</w:t>
      </w:r>
      <w:r>
        <w:rPr>
          <w:rFonts w:hint="eastAsia" w:ascii="仿宋_GB2312" w:hAnsi="仿宋" w:eastAsia="仿宋_GB2312" w:cs="仿宋_GB2312"/>
          <w:sz w:val="32"/>
          <w:szCs w:val="32"/>
          <w:highlight w:val="none"/>
          <w:lang w:eastAsia="zh-CN"/>
        </w:rPr>
        <w:t>相同且字符</w:t>
      </w:r>
      <w:r>
        <w:rPr>
          <w:rFonts w:hint="eastAsia" w:ascii="仿宋_GB2312" w:hAnsi="仿宋" w:eastAsia="仿宋_GB2312" w:cs="仿宋_GB2312"/>
          <w:sz w:val="32"/>
          <w:szCs w:val="32"/>
          <w:highlight w:val="none"/>
        </w:rPr>
        <w:t>清晰（高</w:t>
      </w:r>
      <w:r>
        <w:rPr>
          <w:rFonts w:hint="eastAsia" w:ascii="仿宋_GB2312" w:hAnsi="仿宋" w:eastAsia="仿宋_GB2312" w:cs="仿宋_GB2312"/>
          <w:sz w:val="32"/>
          <w:szCs w:val="32"/>
          <w:highlight w:val="none"/>
          <w:lang w:eastAsia="zh-CN"/>
        </w:rPr>
        <w:t>度不少于</w:t>
      </w:r>
      <w:r>
        <w:rPr>
          <w:rFonts w:hint="eastAsia" w:ascii="仿宋_GB2312" w:hAnsi="仿宋" w:eastAsia="仿宋_GB2312" w:cs="仿宋_GB2312"/>
          <w:sz w:val="32"/>
          <w:szCs w:val="32"/>
          <w:highlight w:val="none"/>
        </w:rPr>
        <w:t>20厘米），服装上不得缝系</w:t>
      </w:r>
      <w:r>
        <w:rPr>
          <w:rFonts w:hint="eastAsia" w:ascii="仿宋_GB2312" w:hAnsi="仿宋" w:eastAsia="仿宋_GB2312" w:cs="仿宋_GB2312"/>
          <w:sz w:val="32"/>
          <w:szCs w:val="32"/>
          <w:highlight w:val="none"/>
          <w:lang w:eastAsia="zh-CN"/>
        </w:rPr>
        <w:t>金属</w:t>
      </w:r>
      <w:r>
        <w:rPr>
          <w:rFonts w:hint="eastAsia" w:ascii="仿宋_GB2312" w:hAnsi="仿宋" w:eastAsia="仿宋_GB2312" w:cs="仿宋_GB2312"/>
          <w:sz w:val="32"/>
          <w:szCs w:val="32"/>
          <w:highlight w:val="none"/>
        </w:rPr>
        <w:t>闪亮物和金属</w:t>
      </w:r>
      <w:r>
        <w:rPr>
          <w:rFonts w:hint="eastAsia" w:ascii="仿宋_GB2312" w:hAnsi="仿宋" w:eastAsia="仿宋_GB2312" w:cs="仿宋_GB2312"/>
          <w:sz w:val="32"/>
          <w:szCs w:val="32"/>
          <w:highlight w:val="none"/>
          <w:lang w:eastAsia="zh-CN"/>
        </w:rPr>
        <w:t>纽扣</w:t>
      </w:r>
      <w:r>
        <w:rPr>
          <w:rFonts w:hint="eastAsia" w:ascii="仿宋_GB2312" w:hAnsi="仿宋" w:eastAsia="仿宋_GB2312" w:cs="仿宋_GB2312"/>
          <w:sz w:val="32"/>
          <w:szCs w:val="32"/>
          <w:highlight w:val="none"/>
        </w:rPr>
        <w:t>，不得佩戴</w:t>
      </w:r>
      <w:r>
        <w:rPr>
          <w:rFonts w:hint="eastAsia" w:ascii="仿宋_GB2312" w:hAnsi="仿宋" w:eastAsia="仿宋_GB2312" w:cs="仿宋_GB2312"/>
          <w:sz w:val="32"/>
          <w:szCs w:val="32"/>
          <w:highlight w:val="none"/>
          <w:lang w:eastAsia="zh-CN"/>
        </w:rPr>
        <w:t>任何饰物</w:t>
      </w:r>
      <w:r>
        <w:rPr>
          <w:rFonts w:hint="eastAsia" w:ascii="仿宋_GB2312" w:hAnsi="仿宋" w:eastAsia="仿宋_GB2312" w:cs="仿宋_GB2312"/>
          <w:sz w:val="32"/>
          <w:szCs w:val="32"/>
          <w:highlight w:val="none"/>
        </w:rPr>
        <w:t>上场。比赛中在指导区的教练员或同队队员必须与本队服装一致，否则不能进入指导区</w:t>
      </w:r>
      <w:r>
        <w:rPr>
          <w:rFonts w:hint="eastAsia" w:ascii="仿宋_GB2312" w:hAnsi="仿宋" w:eastAsia="仿宋_GB2312" w:cs="仿宋_GB2312"/>
          <w:sz w:val="32"/>
          <w:szCs w:val="32"/>
          <w:highlight w:val="none"/>
          <w:lang w:eastAsia="zh-CN"/>
        </w:rPr>
        <w:t>，</w:t>
      </w:r>
      <w:r>
        <w:rPr>
          <w:rFonts w:hint="eastAsia" w:ascii="仿宋_GB2312" w:hAnsi="宋体" w:eastAsia="仿宋_GB2312" w:cs="仿宋_GB2312"/>
          <w:color w:val="000000"/>
          <w:kern w:val="2"/>
          <w:sz w:val="32"/>
          <w:szCs w:val="32"/>
          <w:highlight w:val="none"/>
          <w:lang w:val="en-US" w:eastAsia="zh-CN" w:bidi="ar"/>
        </w:rPr>
        <w:t>报名时须将服装号码填写在报名表上，否则视为报名无效</w:t>
      </w:r>
      <w:r>
        <w:rPr>
          <w:rFonts w:hint="eastAsia" w:ascii="仿宋_GB2312" w:hAnsi="仿宋" w:eastAsia="仿宋_GB2312" w:cs="仿宋_GB2312"/>
          <w:sz w:val="32"/>
          <w:szCs w:val="32"/>
          <w:highlight w:val="none"/>
        </w:rPr>
        <w:t>；</w:t>
      </w:r>
    </w:p>
    <w:p w14:paraId="22BF9ED3">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cs="仿宋_GB2312"/>
          <w:sz w:val="32"/>
          <w:szCs w:val="32"/>
          <w:highlight w:val="none"/>
        </w:rPr>
        <w:t>2.比赛时接手需穿戴护盔、护胸、护面、护喉、护腿，运动员不得穿金属钉鞋，可穿塑胶钉鞋，击球员、准备击球员、跑垒员和跑垒指导员必须戴安全头盔；</w:t>
      </w:r>
    </w:p>
    <w:p w14:paraId="160C6E04">
      <w:pPr>
        <w:spacing w:line="560" w:lineRule="exact"/>
        <w:ind w:firstLine="640" w:firstLineChars="200"/>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3.</w:t>
      </w:r>
      <w:r>
        <w:rPr>
          <w:rFonts w:hint="eastAsia" w:ascii="仿宋_GB2312" w:hAnsi="仿宋" w:eastAsia="仿宋_GB2312" w:cs="仿宋_GB2312"/>
          <w:sz w:val="32"/>
          <w:szCs w:val="32"/>
          <w:highlight w:val="none"/>
          <w:lang w:eastAsia="zh-CN"/>
        </w:rPr>
        <w:t>比赛使用的球棒必须清晰标明生产商和型号，以及国际棒垒球联合会认证的标识，球棒型号需在国际棒垒球联合会发布的合规目录中，且必须经技术委员会检查认可方能使用。球棒长度不得超过86.4厘米（34英寸），棒头直径不得超过5.7厘米（2英寸），重量不得超过1077克（38盎司）；</w:t>
      </w:r>
    </w:p>
    <w:p w14:paraId="1CC8F029">
      <w:pPr>
        <w:spacing w:line="560" w:lineRule="exact"/>
        <w:ind w:firstLine="640" w:firstLineChars="200"/>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lang w:val="en-US" w:eastAsia="zh-CN"/>
        </w:rPr>
        <w:t>4.</w:t>
      </w:r>
      <w:r>
        <w:rPr>
          <w:rFonts w:hint="eastAsia" w:ascii="仿宋_GB2312" w:hAnsi="仿宋" w:eastAsia="仿宋_GB2312" w:cs="仿宋_GB2312"/>
          <w:sz w:val="32"/>
          <w:szCs w:val="32"/>
          <w:highlight w:val="none"/>
        </w:rPr>
        <w:t>比赛用球为中国</w:t>
      </w:r>
      <w:r>
        <w:rPr>
          <w:rFonts w:hint="eastAsia" w:ascii="仿宋_GB2312" w:hAnsi="仿宋" w:eastAsia="仿宋_GB2312" w:cs="仿宋_GB2312"/>
          <w:sz w:val="32"/>
          <w:szCs w:val="32"/>
          <w:highlight w:val="none"/>
          <w:lang w:eastAsia="zh-CN"/>
        </w:rPr>
        <w:t>垒</w:t>
      </w:r>
      <w:r>
        <w:rPr>
          <w:rFonts w:hint="eastAsia" w:ascii="仿宋_GB2312" w:hAnsi="仿宋" w:eastAsia="仿宋_GB2312" w:cs="仿宋_GB2312"/>
          <w:sz w:val="32"/>
          <w:szCs w:val="32"/>
          <w:highlight w:val="none"/>
        </w:rPr>
        <w:t>球协会认可的硬式</w:t>
      </w:r>
      <w:r>
        <w:rPr>
          <w:rFonts w:hint="eastAsia" w:ascii="仿宋_GB2312" w:hAnsi="仿宋" w:eastAsia="仿宋_GB2312" w:cs="仿宋_GB2312"/>
          <w:sz w:val="32"/>
          <w:szCs w:val="32"/>
          <w:highlight w:val="none"/>
          <w:lang w:eastAsia="zh-CN"/>
        </w:rPr>
        <w:t>垒</w:t>
      </w:r>
      <w:r>
        <w:rPr>
          <w:rFonts w:hint="eastAsia" w:ascii="仿宋_GB2312" w:hAnsi="仿宋" w:eastAsia="仿宋_GB2312" w:cs="仿宋_GB2312"/>
          <w:sz w:val="32"/>
          <w:szCs w:val="32"/>
          <w:highlight w:val="none"/>
        </w:rPr>
        <w:t>球</w:t>
      </w:r>
      <w:r>
        <w:rPr>
          <w:rFonts w:hint="eastAsia" w:ascii="仿宋_GB2312" w:hAnsi="仿宋" w:eastAsia="仿宋_GB2312" w:cs="仿宋_GB2312"/>
          <w:sz w:val="32"/>
          <w:szCs w:val="32"/>
          <w:highlight w:val="none"/>
          <w:lang w:eastAsia="zh-CN"/>
        </w:rPr>
        <w:t>。</w:t>
      </w:r>
    </w:p>
    <w:p w14:paraId="3F3E998A">
      <w:pPr>
        <w:spacing w:line="560" w:lineRule="exact"/>
        <w:ind w:firstLine="640" w:firstLineChars="200"/>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lang w:eastAsia="zh-CN"/>
        </w:rPr>
        <w:t>（八）</w:t>
      </w:r>
      <w:r>
        <w:rPr>
          <w:rFonts w:hint="eastAsia" w:ascii="仿宋_GB2312" w:hAnsi="仿宋" w:eastAsia="仿宋_GB2312" w:cs="仿宋_GB2312"/>
          <w:sz w:val="32"/>
          <w:szCs w:val="32"/>
          <w:highlight w:val="none"/>
        </w:rPr>
        <w:t>如因天气、场地或其它特殊情况不能按原计划进行比赛时，主办及承办单位有权对比赛时间和竞赛办法做出调整。</w:t>
      </w:r>
    </w:p>
    <w:p w14:paraId="1641DC9A">
      <w:pPr>
        <w:spacing w:line="560" w:lineRule="exact"/>
        <w:ind w:firstLine="640" w:firstLineChars="200"/>
        <w:rPr>
          <w:rFonts w:hint="eastAsia" w:ascii="仿宋_GB2312" w:hAnsi="仿宋" w:eastAsia="仿宋_GB2312" w:cs="仿宋_GB2312"/>
          <w:sz w:val="32"/>
          <w:szCs w:val="32"/>
          <w:highlight w:val="none"/>
          <w:lang w:eastAsia="zh-CN"/>
        </w:rPr>
      </w:pPr>
      <w:r>
        <w:rPr>
          <w:rFonts w:hint="eastAsia" w:ascii="仿宋_GB2312" w:hAnsi="仿宋" w:eastAsia="仿宋_GB2312" w:cs="仿宋_GB2312"/>
          <w:color w:val="000000"/>
          <w:kern w:val="2"/>
          <w:sz w:val="32"/>
          <w:szCs w:val="32"/>
          <w:highlight w:val="none"/>
          <w:lang w:val="en-US" w:eastAsia="zh-CN" w:bidi="ar"/>
        </w:rPr>
        <w:t>（九）</w:t>
      </w:r>
      <w:r>
        <w:rPr>
          <w:rFonts w:hint="eastAsia" w:ascii="仿宋_GB2312" w:hAnsi="宋体" w:eastAsia="仿宋_GB2312" w:cs="宋体"/>
          <w:color w:val="000000"/>
          <w:kern w:val="0"/>
          <w:sz w:val="32"/>
          <w:szCs w:val="32"/>
          <w:highlight w:val="none"/>
        </w:rPr>
        <w:t>参赛队一经弃权</w:t>
      </w:r>
      <w:r>
        <w:rPr>
          <w:rFonts w:hint="eastAsia" w:ascii="仿宋_GB2312" w:hAnsi="仿宋" w:eastAsia="仿宋_GB2312" w:cs="仿宋_GB2312"/>
          <w:sz w:val="32"/>
          <w:szCs w:val="32"/>
          <w:highlight w:val="none"/>
        </w:rPr>
        <w:t>视为弃权后续所有比赛，</w:t>
      </w:r>
      <w:r>
        <w:rPr>
          <w:rFonts w:hint="eastAsia" w:ascii="仿宋_GB2312" w:hAnsi="宋体" w:eastAsia="仿宋_GB2312" w:cs="宋体"/>
          <w:color w:val="000000"/>
          <w:kern w:val="0"/>
          <w:sz w:val="32"/>
          <w:szCs w:val="32"/>
          <w:highlight w:val="none"/>
        </w:rPr>
        <w:t>弃权队不得因弃权获得任何利益，并由竞赛委员会决定是否需要执行</w:t>
      </w:r>
      <w:r>
        <w:rPr>
          <w:rFonts w:hint="eastAsia" w:ascii="仿宋_GB2312" w:hAnsi="仿宋" w:eastAsia="仿宋_GB2312" w:cs="仿宋_GB2312"/>
          <w:sz w:val="32"/>
          <w:szCs w:val="32"/>
          <w:highlight w:val="none"/>
        </w:rPr>
        <w:t>追加处罚。</w:t>
      </w:r>
      <w:r>
        <w:rPr>
          <w:rFonts w:hint="eastAsia" w:ascii="仿宋_GB2312" w:hAnsi="仿宋" w:eastAsia="仿宋_GB2312" w:cs="仿宋_GB2312"/>
          <w:kern w:val="2"/>
          <w:sz w:val="32"/>
          <w:szCs w:val="32"/>
          <w:highlight w:val="none"/>
          <w:lang w:val="en-US" w:eastAsia="zh-CN" w:bidi="ar"/>
        </w:rPr>
        <w:t>参赛队无故弃权的，取消该队本次比赛成绩和所有领队、教练员及运动员下一年度北京市级青少年垒球赛事参赛资格。</w:t>
      </w:r>
    </w:p>
    <w:p w14:paraId="16700A82">
      <w:pPr>
        <w:spacing w:line="560" w:lineRule="exact"/>
        <w:ind w:firstLine="640" w:firstLineChars="200"/>
        <w:rPr>
          <w:rFonts w:ascii="黑体" w:hAnsi="仿宋" w:eastAsia="黑体"/>
          <w:sz w:val="32"/>
          <w:szCs w:val="32"/>
          <w:highlight w:val="none"/>
        </w:rPr>
      </w:pPr>
      <w:r>
        <w:rPr>
          <w:rFonts w:hint="eastAsia" w:ascii="黑体" w:hAnsi="仿宋" w:eastAsia="黑体" w:cs="黑体"/>
          <w:sz w:val="32"/>
          <w:szCs w:val="32"/>
          <w:highlight w:val="none"/>
        </w:rPr>
        <w:t>八、报名办法</w:t>
      </w:r>
    </w:p>
    <w:p w14:paraId="1BA9CE91">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（一）网络报名：各参赛单位于</w:t>
      </w:r>
      <w:r>
        <w:rPr>
          <w:rFonts w:hint="eastAsia" w:ascii="仿宋_GB2312" w:hAnsi="仿宋" w:eastAsia="仿宋_GB2312" w:cs="仿宋_GB2312"/>
          <w:sz w:val="32"/>
          <w:szCs w:val="32"/>
          <w:highlight w:val="none"/>
          <w:lang w:eastAsia="zh-CN"/>
        </w:rPr>
        <w:t>2025</w:t>
      </w:r>
      <w:r>
        <w:rPr>
          <w:rFonts w:hint="eastAsia" w:ascii="仿宋_GB2312" w:hAnsi="仿宋" w:eastAsia="仿宋_GB2312" w:cs="仿宋_GB2312"/>
          <w:sz w:val="32"/>
          <w:szCs w:val="32"/>
          <w:highlight w:val="none"/>
        </w:rPr>
        <w:t>年</w:t>
      </w:r>
      <w:r>
        <w:rPr>
          <w:rFonts w:hint="eastAsia" w:ascii="仿宋_GB2312" w:hAnsi="仿宋" w:eastAsia="仿宋_GB2312" w:cs="仿宋_GB2312"/>
          <w:sz w:val="32"/>
          <w:szCs w:val="32"/>
          <w:highlight w:val="none"/>
          <w:lang w:val="en-US" w:eastAsia="zh-CN"/>
        </w:rPr>
        <w:t>8</w:t>
      </w:r>
      <w:r>
        <w:rPr>
          <w:rFonts w:hint="eastAsia" w:ascii="仿宋_GB2312" w:hAnsi="仿宋" w:eastAsia="仿宋_GB2312" w:cs="仿宋_GB2312"/>
          <w:sz w:val="32"/>
          <w:szCs w:val="32"/>
          <w:highlight w:val="none"/>
        </w:rPr>
        <w:t>月</w:t>
      </w:r>
      <w:r>
        <w:rPr>
          <w:rFonts w:hint="eastAsia" w:ascii="仿宋_GB2312" w:hAnsi="仿宋" w:eastAsia="仿宋_GB2312" w:cs="仿宋_GB2312"/>
          <w:sz w:val="32"/>
          <w:szCs w:val="32"/>
          <w:highlight w:val="none"/>
          <w:lang w:val="en-US" w:eastAsia="zh-CN"/>
        </w:rPr>
        <w:t>4</w:t>
      </w:r>
      <w:r>
        <w:rPr>
          <w:rFonts w:hint="eastAsia" w:ascii="仿宋_GB2312" w:hAnsi="仿宋" w:eastAsia="仿宋_GB2312" w:cs="仿宋_GB2312"/>
          <w:sz w:val="32"/>
          <w:szCs w:val="32"/>
          <w:highlight w:val="none"/>
        </w:rPr>
        <w:t>日至</w:t>
      </w:r>
      <w:r>
        <w:rPr>
          <w:rFonts w:hint="eastAsia" w:ascii="仿宋_GB2312" w:hAnsi="仿宋" w:eastAsia="仿宋_GB2312" w:cs="仿宋_GB2312"/>
          <w:sz w:val="32"/>
          <w:szCs w:val="32"/>
          <w:highlight w:val="none"/>
          <w:lang w:val="en-US" w:eastAsia="zh-CN"/>
        </w:rPr>
        <w:t>8</w:t>
      </w:r>
      <w:r>
        <w:rPr>
          <w:rFonts w:hint="eastAsia" w:ascii="仿宋_GB2312" w:hAnsi="仿宋" w:eastAsia="仿宋_GB2312" w:cs="仿宋_GB2312"/>
          <w:sz w:val="32"/>
          <w:szCs w:val="32"/>
          <w:highlight w:val="none"/>
        </w:rPr>
        <w:t>月</w:t>
      </w:r>
      <w:r>
        <w:rPr>
          <w:rFonts w:hint="eastAsia" w:ascii="仿宋_GB2312" w:hAnsi="仿宋" w:eastAsia="仿宋_GB2312" w:cs="仿宋_GB2312"/>
          <w:sz w:val="32"/>
          <w:szCs w:val="32"/>
          <w:highlight w:val="none"/>
          <w:lang w:val="en-US" w:eastAsia="zh-CN"/>
        </w:rPr>
        <w:t>5</w:t>
      </w:r>
      <w:r>
        <w:rPr>
          <w:rFonts w:hint="eastAsia" w:ascii="仿宋_GB2312" w:hAnsi="仿宋" w:eastAsia="仿宋_GB2312" w:cs="仿宋_GB2312"/>
          <w:sz w:val="32"/>
          <w:szCs w:val="32"/>
          <w:highlight w:val="none"/>
        </w:rPr>
        <w:t>日在北京市体育竞赛管理和国际交流中心官方网站(https://www.bjcac.org.cn)进行网络报名。</w:t>
      </w:r>
    </w:p>
    <w:p w14:paraId="790FF5D6">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（二）现场报名：各参赛单位于</w:t>
      </w:r>
      <w:r>
        <w:rPr>
          <w:rFonts w:hint="eastAsia" w:ascii="仿宋_GB2312" w:hAnsi="仿宋" w:eastAsia="仿宋_GB2312" w:cs="仿宋_GB2312"/>
          <w:sz w:val="32"/>
          <w:szCs w:val="32"/>
          <w:highlight w:val="none"/>
          <w:lang w:eastAsia="zh-CN"/>
        </w:rPr>
        <w:t>2025</w:t>
      </w:r>
      <w:r>
        <w:rPr>
          <w:rFonts w:hint="eastAsia" w:ascii="仿宋_GB2312" w:hAnsi="仿宋" w:eastAsia="仿宋_GB2312" w:cs="仿宋_GB2312"/>
          <w:sz w:val="32"/>
          <w:szCs w:val="32"/>
          <w:highlight w:val="none"/>
        </w:rPr>
        <w:t>年</w:t>
      </w:r>
      <w:r>
        <w:rPr>
          <w:rFonts w:hint="eastAsia" w:ascii="仿宋_GB2312" w:hAnsi="仿宋" w:eastAsia="仿宋_GB2312" w:cs="仿宋_GB2312"/>
          <w:sz w:val="32"/>
          <w:szCs w:val="32"/>
          <w:highlight w:val="none"/>
          <w:lang w:val="en-US" w:eastAsia="zh-CN"/>
        </w:rPr>
        <w:t>8</w:t>
      </w:r>
      <w:r>
        <w:rPr>
          <w:rFonts w:hint="eastAsia" w:ascii="仿宋_GB2312" w:hAnsi="仿宋" w:eastAsia="仿宋_GB2312" w:cs="仿宋_GB2312"/>
          <w:sz w:val="32"/>
          <w:szCs w:val="32"/>
          <w:highlight w:val="none"/>
        </w:rPr>
        <w:t>月</w:t>
      </w:r>
      <w:r>
        <w:rPr>
          <w:rFonts w:hint="eastAsia" w:ascii="仿宋_GB2312" w:hAnsi="仿宋" w:eastAsia="仿宋_GB2312" w:cs="仿宋_GB2312"/>
          <w:sz w:val="32"/>
          <w:szCs w:val="32"/>
          <w:highlight w:val="none"/>
          <w:lang w:val="en-US" w:eastAsia="zh-CN"/>
        </w:rPr>
        <w:t>6</w:t>
      </w:r>
      <w:r>
        <w:rPr>
          <w:rFonts w:hint="eastAsia" w:ascii="仿宋_GB2312" w:hAnsi="仿宋" w:eastAsia="仿宋_GB2312" w:cs="仿宋_GB2312"/>
          <w:sz w:val="32"/>
          <w:szCs w:val="32"/>
          <w:highlight w:val="none"/>
        </w:rPr>
        <w:t>日至</w:t>
      </w:r>
      <w:r>
        <w:rPr>
          <w:rFonts w:hint="eastAsia" w:ascii="仿宋_GB2312" w:hAnsi="仿宋" w:eastAsia="仿宋_GB2312" w:cs="仿宋_GB2312"/>
          <w:sz w:val="32"/>
          <w:szCs w:val="32"/>
          <w:highlight w:val="none"/>
          <w:lang w:val="en-US" w:eastAsia="zh-CN"/>
        </w:rPr>
        <w:t>8</w:t>
      </w:r>
      <w:r>
        <w:rPr>
          <w:rFonts w:hint="eastAsia" w:ascii="仿宋_GB2312" w:hAnsi="仿宋" w:eastAsia="仿宋_GB2312" w:cs="仿宋_GB2312"/>
          <w:sz w:val="32"/>
          <w:szCs w:val="32"/>
          <w:highlight w:val="none"/>
        </w:rPr>
        <w:t>月</w:t>
      </w:r>
      <w:r>
        <w:rPr>
          <w:rFonts w:hint="eastAsia" w:ascii="仿宋_GB2312" w:hAnsi="仿宋" w:eastAsia="仿宋_GB2312" w:cs="仿宋_GB2312"/>
          <w:sz w:val="32"/>
          <w:szCs w:val="32"/>
          <w:highlight w:val="none"/>
          <w:lang w:val="en-US" w:eastAsia="zh-CN"/>
        </w:rPr>
        <w:t>7</w:t>
      </w:r>
      <w:r>
        <w:rPr>
          <w:rFonts w:hint="eastAsia" w:ascii="仿宋_GB2312" w:hAnsi="仿宋" w:eastAsia="仿宋_GB2312" w:cs="仿宋_GB2312"/>
          <w:sz w:val="32"/>
          <w:szCs w:val="32"/>
          <w:highlight w:val="none"/>
        </w:rPr>
        <w:t>日将以下材料送交至北京市体育竞赛管理和国际交流中心404室：</w:t>
      </w:r>
    </w:p>
    <w:p w14:paraId="5FD79A3A">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1.加盖参赛单位公章的报名表</w:t>
      </w:r>
      <w:r>
        <w:rPr>
          <w:rFonts w:hint="eastAsia" w:ascii="仿宋_GB2312" w:hAnsi="仿宋" w:eastAsia="仿宋_GB2312" w:cs="仿宋_GB2312"/>
          <w:kern w:val="2"/>
          <w:sz w:val="32"/>
          <w:szCs w:val="32"/>
          <w:highlight w:val="none"/>
          <w:lang w:val="en-US" w:eastAsia="zh-CN" w:bidi="ar"/>
        </w:rPr>
        <w:t>（报名系统下载打印）</w:t>
      </w:r>
      <w:r>
        <w:rPr>
          <w:rFonts w:hint="eastAsia" w:ascii="仿宋_GB2312" w:hAnsi="仿宋" w:eastAsia="仿宋_GB2312" w:cs="仿宋_GB2312"/>
          <w:sz w:val="32"/>
          <w:szCs w:val="32"/>
          <w:highlight w:val="none"/>
        </w:rPr>
        <w:t>一份；</w:t>
      </w:r>
    </w:p>
    <w:p w14:paraId="68FA2575">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2.领队签字并加盖参赛单位公章的参赛承诺书一份；</w:t>
      </w:r>
    </w:p>
    <w:p w14:paraId="307993F0">
      <w:pPr>
        <w:spacing w:line="560" w:lineRule="exact"/>
        <w:ind w:firstLine="640" w:firstLineChars="200"/>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3.参赛运动员及监护人签字的运动员自愿参赛声明</w:t>
      </w:r>
      <w:r>
        <w:rPr>
          <w:rFonts w:hint="eastAsia" w:ascii="仿宋_GB2312" w:hAnsi="仿宋" w:eastAsia="仿宋_GB2312" w:cs="仿宋_GB2312"/>
          <w:sz w:val="32"/>
          <w:szCs w:val="32"/>
          <w:highlight w:val="none"/>
          <w:lang w:eastAsia="zh-CN"/>
        </w:rPr>
        <w:t>原件。</w:t>
      </w:r>
    </w:p>
    <w:p w14:paraId="2DCFA8E4">
      <w:pPr>
        <w:spacing w:line="56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（三）逾期未报名或未提交材料按不参赛处理，报名后不得更改，报名表无单位公章不予接收，不在报名参赛名单内的人员不得入场。</w:t>
      </w:r>
    </w:p>
    <w:p w14:paraId="1866B98D">
      <w:pPr>
        <w:spacing w:line="56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（四）本次比赛不收取报名费。</w:t>
      </w:r>
    </w:p>
    <w:p w14:paraId="4A1F8BD4">
      <w:pPr>
        <w:spacing w:line="560" w:lineRule="exact"/>
        <w:ind w:firstLine="640"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color w:val="000000"/>
          <w:sz w:val="32"/>
          <w:szCs w:val="32"/>
          <w:highlight w:val="none"/>
        </w:rPr>
        <w:t>联系人：任利民，联系电话：63018197</w:t>
      </w:r>
    </w:p>
    <w:p w14:paraId="47D946A6">
      <w:pPr>
        <w:spacing w:line="560" w:lineRule="exact"/>
        <w:ind w:firstLine="640" w:firstLineChars="200"/>
        <w:rPr>
          <w:highlight w:val="none"/>
        </w:rPr>
      </w:pPr>
      <w:r>
        <w:rPr>
          <w:rFonts w:hint="eastAsia" w:ascii="仿宋_GB2312" w:hAnsi="仿宋" w:eastAsia="仿宋_GB2312" w:cs="仿宋_GB2312"/>
          <w:color w:val="000000"/>
          <w:sz w:val="32"/>
          <w:szCs w:val="32"/>
          <w:highlight w:val="none"/>
        </w:rPr>
        <w:t>电子邮箱：</w:t>
      </w:r>
      <w:r>
        <w:rPr>
          <w:rFonts w:ascii="仿宋_GB2312" w:hAnsi="仿宋" w:eastAsia="仿宋_GB2312" w:cs="仿宋_GB2312"/>
          <w:color w:val="000000"/>
          <w:sz w:val="32"/>
          <w:szCs w:val="32"/>
          <w:highlight w:val="none"/>
        </w:rPr>
        <w:t>renlimin@tyj.beijing.gov.cn</w:t>
      </w:r>
    </w:p>
    <w:p w14:paraId="5A3B80B7">
      <w:pPr>
        <w:spacing w:line="560" w:lineRule="exact"/>
        <w:ind w:firstLine="640" w:firstLineChars="200"/>
        <w:rPr>
          <w:rFonts w:ascii="黑体" w:hAnsi="黑体" w:eastAsia="黑体"/>
          <w:sz w:val="32"/>
          <w:szCs w:val="32"/>
          <w:highlight w:val="none"/>
        </w:rPr>
      </w:pPr>
      <w:r>
        <w:rPr>
          <w:rFonts w:hint="eastAsia" w:ascii="黑体" w:hAnsi="黑体" w:eastAsia="黑体" w:cs="黑体"/>
          <w:sz w:val="32"/>
          <w:szCs w:val="32"/>
          <w:highlight w:val="none"/>
        </w:rPr>
        <w:t>九、录取名次和奖励办法</w:t>
      </w:r>
    </w:p>
    <w:p w14:paraId="799FAB9A">
      <w:pPr>
        <w:spacing w:line="560" w:lineRule="exact"/>
        <w:ind w:firstLine="640" w:firstLineChars="200"/>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w:t>
      </w:r>
      <w:r>
        <w:rPr>
          <w:rFonts w:hint="eastAsia" w:ascii="仿宋_GB2312" w:eastAsia="仿宋_GB2312"/>
          <w:sz w:val="32"/>
          <w:szCs w:val="32"/>
          <w:highlight w:val="none"/>
        </w:rPr>
        <w:t>录取名次按照实际到场参赛队数为准，</w:t>
      </w:r>
      <w:r>
        <w:rPr>
          <w:rFonts w:hint="eastAsia" w:ascii="仿宋_GB2312" w:hAnsi="仿宋" w:eastAsia="仿宋_GB2312" w:cs="仿宋_GB2312"/>
          <w:sz w:val="32"/>
          <w:szCs w:val="32"/>
          <w:highlight w:val="none"/>
        </w:rPr>
        <w:t>各组别录取前八名。</w:t>
      </w:r>
    </w:p>
    <w:p w14:paraId="1836D5C4">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（二）获得各组别前三名的运动队颁发奖杯，上场比赛运动员颁发奖牌和证书</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rPr>
        <w:t>其他录取名次上场比赛运动员颁发证书。</w:t>
      </w:r>
    </w:p>
    <w:p w14:paraId="168A5470">
      <w:pPr>
        <w:keepNext w:val="0"/>
        <w:keepLines w:val="0"/>
        <w:pageBreakBefore w:val="0"/>
        <w:kinsoku/>
        <w:wordWrap/>
        <w:topLinePunct w:val="0"/>
        <w:bidi w:val="0"/>
        <w:snapToGrid/>
        <w:spacing w:line="560" w:lineRule="exact"/>
        <w:ind w:firstLine="640" w:firstLineChars="200"/>
        <w:textAlignment w:val="auto"/>
        <w:rPr>
          <w:rFonts w:hint="eastAsia" w:ascii="黑体" w:hAnsi="宋体" w:eastAsia="黑体" w:cs="黑体"/>
          <w:color w:val="000000"/>
          <w:kern w:val="2"/>
          <w:sz w:val="32"/>
          <w:szCs w:val="32"/>
          <w:highlight w:val="none"/>
          <w:lang w:val="zh-TW" w:eastAsia="zh-CN" w:bidi="ar"/>
        </w:rPr>
      </w:pPr>
      <w:r>
        <w:rPr>
          <w:rFonts w:hint="eastAsia" w:ascii="黑体" w:hAnsi="仿宋" w:eastAsia="黑体" w:cs="黑体"/>
          <w:sz w:val="32"/>
          <w:szCs w:val="32"/>
          <w:highlight w:val="none"/>
        </w:rPr>
        <w:t>十、</w:t>
      </w:r>
      <w:r>
        <w:rPr>
          <w:rFonts w:hint="eastAsia" w:ascii="黑体" w:hAnsi="宋体" w:eastAsia="黑体" w:cs="黑体"/>
          <w:color w:val="000000"/>
          <w:kern w:val="2"/>
          <w:sz w:val="32"/>
          <w:szCs w:val="32"/>
          <w:highlight w:val="none"/>
          <w:lang w:val="zh-TW" w:eastAsia="zh-CN" w:bidi="ar"/>
        </w:rPr>
        <w:t>运动员技术等级</w:t>
      </w:r>
    </w:p>
    <w:p w14:paraId="1A8BB6C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2"/>
          <w:sz w:val="32"/>
          <w:szCs w:val="32"/>
          <w:highlight w:val="none"/>
          <w:lang w:val="en-US" w:eastAsia="zh-CN" w:bidi="ar"/>
        </w:rPr>
      </w:pPr>
      <w:r>
        <w:rPr>
          <w:rFonts w:hint="eastAsia" w:ascii="仿宋_GB2312" w:hAnsi="宋体" w:eastAsia="仿宋_GB2312" w:cs="宋体"/>
          <w:color w:val="000000"/>
          <w:kern w:val="2"/>
          <w:sz w:val="32"/>
          <w:szCs w:val="32"/>
          <w:highlight w:val="none"/>
          <w:lang w:val="en-US" w:eastAsia="zh-CN" w:bidi="ar"/>
        </w:rPr>
        <w:t>（一）根据</w:t>
      </w:r>
      <w:r>
        <w:rPr>
          <w:rFonts w:hint="default" w:ascii="仿宋_GB2312" w:hAnsi="宋体" w:eastAsia="仿宋_GB2312" w:cs="宋体"/>
          <w:color w:val="000000"/>
          <w:kern w:val="2"/>
          <w:sz w:val="32"/>
          <w:szCs w:val="32"/>
          <w:highlight w:val="none"/>
          <w:lang w:val="en-US" w:eastAsia="zh-CN" w:bidi="ar"/>
        </w:rPr>
        <w:t>《运动员技术等级管理办法》（国家体育总局令第32号）和《运动员技术等级标准》（体竞字〔2024〕121号）</w:t>
      </w:r>
      <w:r>
        <w:rPr>
          <w:rFonts w:hint="eastAsia" w:ascii="仿宋_GB2312" w:hAnsi="宋体" w:eastAsia="仿宋_GB2312" w:cs="宋体"/>
          <w:color w:val="000000"/>
          <w:kern w:val="2"/>
          <w:sz w:val="32"/>
          <w:szCs w:val="32"/>
          <w:highlight w:val="none"/>
          <w:lang w:val="en-US" w:eastAsia="zh-CN" w:bidi="ar"/>
        </w:rPr>
        <w:t>有关规定，本次比赛仅甲组可授予运动员技术等级称号（以下简称等级称号），外国运动员除外。</w:t>
      </w:r>
    </w:p>
    <w:p w14:paraId="4D4CCC9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2"/>
          <w:sz w:val="32"/>
          <w:szCs w:val="32"/>
          <w:highlight w:val="none"/>
          <w:lang w:val="en-US" w:eastAsia="zh-CN" w:bidi="ar"/>
        </w:rPr>
      </w:pPr>
      <w:r>
        <w:rPr>
          <w:rFonts w:hint="eastAsia" w:ascii="仿宋_GB2312" w:hAnsi="宋体" w:eastAsia="仿宋_GB2312" w:cs="宋体"/>
          <w:color w:val="000000"/>
          <w:kern w:val="2"/>
          <w:sz w:val="32"/>
          <w:szCs w:val="32"/>
          <w:highlight w:val="none"/>
          <w:lang w:val="en-US" w:eastAsia="zh-CN" w:bidi="ar"/>
        </w:rPr>
        <w:t>（二）等级称号授予方式与内容：比赛结束后30日内，市体育局公布比赛秩序册、成绩册，并对拟授予等级称号人员进行公示，公示期为5个工作日。公示期满无异议的，市体育局以文件形式授予等级称号，具体为：一级运动员、二级运动员、三级运动员。</w:t>
      </w:r>
    </w:p>
    <w:p w14:paraId="5547D0C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2"/>
          <w:sz w:val="32"/>
          <w:szCs w:val="32"/>
          <w:highlight w:val="none"/>
          <w:lang w:val="en-US" w:eastAsia="zh-CN" w:bidi="ar"/>
        </w:rPr>
      </w:pPr>
      <w:r>
        <w:rPr>
          <w:rFonts w:hint="eastAsia" w:ascii="仿宋_GB2312" w:hAnsi="宋体" w:eastAsia="仿宋_GB2312" w:cs="宋体"/>
          <w:color w:val="000000"/>
          <w:kern w:val="2"/>
          <w:sz w:val="32"/>
          <w:szCs w:val="32"/>
          <w:highlight w:val="none"/>
          <w:lang w:val="en-US" w:eastAsia="zh-CN" w:bidi="ar"/>
        </w:rPr>
        <w:t>（三）等级称号公示、授予通知以及等级证书可通过下载体教联盟(CSEA)APP查询，等级证书为电子证书。</w:t>
      </w:r>
    </w:p>
    <w:p w14:paraId="78682CF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2"/>
          <w:sz w:val="32"/>
          <w:szCs w:val="32"/>
          <w:highlight w:val="none"/>
          <w:lang w:val="en-US" w:eastAsia="zh-CN" w:bidi="ar"/>
        </w:rPr>
      </w:pPr>
      <w:r>
        <w:rPr>
          <w:rFonts w:hint="eastAsia" w:ascii="仿宋_GB2312" w:hAnsi="宋体" w:eastAsia="仿宋_GB2312" w:cs="宋体"/>
          <w:color w:val="000000"/>
          <w:kern w:val="2"/>
          <w:sz w:val="32"/>
          <w:szCs w:val="32"/>
          <w:highlight w:val="none"/>
          <w:lang w:val="en-US" w:eastAsia="zh-CN" w:bidi="ar"/>
        </w:rPr>
        <w:t>（四）按照中国垒球协会《垒球运动员技术等级管理办法实施细则》相关规定，参赛运动员数据达标才能授予等级称号。数据达标是须满足以下技术统计条件之一：</w:t>
      </w:r>
    </w:p>
    <w:p w14:paraId="45372D5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2"/>
          <w:sz w:val="32"/>
          <w:szCs w:val="32"/>
          <w:highlight w:val="none"/>
          <w:lang w:val="en-US" w:eastAsia="zh-CN" w:bidi="ar"/>
        </w:rPr>
      </w:pPr>
      <w:r>
        <w:rPr>
          <w:rFonts w:hint="eastAsia" w:ascii="仿宋_GB2312" w:hAnsi="宋体" w:eastAsia="仿宋_GB2312" w:cs="宋体"/>
          <w:color w:val="000000"/>
          <w:kern w:val="2"/>
          <w:sz w:val="32"/>
          <w:szCs w:val="32"/>
          <w:highlight w:val="none"/>
          <w:lang w:val="en-US" w:eastAsia="zh-CN" w:bidi="ar"/>
        </w:rPr>
        <w:t>1.轮击次数不少于0.7</w:t>
      </w:r>
      <w:r>
        <w:rPr>
          <w:rFonts w:hint="default" w:ascii="仿宋_GB2312" w:hAnsi="宋体" w:eastAsia="仿宋_GB2312" w:cs="宋体"/>
          <w:color w:val="000000"/>
          <w:kern w:val="2"/>
          <w:sz w:val="32"/>
          <w:szCs w:val="32"/>
          <w:highlight w:val="none"/>
          <w:lang w:val="en-US" w:eastAsia="zh-CN" w:bidi="ar"/>
        </w:rPr>
        <w:t>×</w:t>
      </w:r>
      <w:r>
        <w:rPr>
          <w:rFonts w:hint="eastAsia" w:ascii="仿宋_GB2312" w:hAnsi="宋体" w:eastAsia="仿宋_GB2312" w:cs="宋体"/>
          <w:color w:val="000000"/>
          <w:kern w:val="2"/>
          <w:sz w:val="32"/>
          <w:szCs w:val="32"/>
          <w:highlight w:val="none"/>
          <w:lang w:val="en-US" w:eastAsia="zh-CN" w:bidi="ar"/>
        </w:rPr>
        <w:t>队伍比赛场次；</w:t>
      </w:r>
    </w:p>
    <w:p w14:paraId="35894D3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2"/>
          <w:sz w:val="32"/>
          <w:szCs w:val="32"/>
          <w:highlight w:val="none"/>
          <w:lang w:val="en-US" w:eastAsia="zh-CN" w:bidi="ar"/>
        </w:rPr>
      </w:pPr>
      <w:r>
        <w:rPr>
          <w:rFonts w:hint="eastAsia" w:ascii="仿宋_GB2312" w:hAnsi="宋体" w:eastAsia="仿宋_GB2312" w:cs="宋体"/>
          <w:color w:val="000000"/>
          <w:kern w:val="2"/>
          <w:sz w:val="32"/>
          <w:szCs w:val="32"/>
          <w:highlight w:val="none"/>
          <w:lang w:val="en-US" w:eastAsia="zh-CN" w:bidi="ar"/>
        </w:rPr>
        <w:t>2.投球出局数不少于0.7</w:t>
      </w:r>
      <w:r>
        <w:rPr>
          <w:rFonts w:hint="default" w:ascii="仿宋_GB2312" w:hAnsi="宋体" w:eastAsia="仿宋_GB2312" w:cs="宋体"/>
          <w:color w:val="000000"/>
          <w:kern w:val="2"/>
          <w:sz w:val="32"/>
          <w:szCs w:val="32"/>
          <w:highlight w:val="none"/>
          <w:lang w:val="en-US" w:eastAsia="zh-CN" w:bidi="ar"/>
        </w:rPr>
        <w:t>×</w:t>
      </w:r>
      <w:r>
        <w:rPr>
          <w:rFonts w:hint="eastAsia" w:ascii="仿宋_GB2312" w:hAnsi="宋体" w:eastAsia="仿宋_GB2312" w:cs="宋体"/>
          <w:color w:val="000000"/>
          <w:kern w:val="2"/>
          <w:sz w:val="32"/>
          <w:szCs w:val="32"/>
          <w:highlight w:val="none"/>
          <w:lang w:val="en-US" w:eastAsia="zh-CN" w:bidi="ar"/>
        </w:rPr>
        <w:t>队伍比赛场次。</w:t>
      </w:r>
    </w:p>
    <w:p w14:paraId="0C272BA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2"/>
          <w:sz w:val="32"/>
          <w:szCs w:val="32"/>
          <w:highlight w:val="none"/>
          <w:lang w:val="en-US" w:eastAsia="zh-CN" w:bidi="ar"/>
        </w:rPr>
      </w:pPr>
      <w:r>
        <w:rPr>
          <w:rFonts w:hint="eastAsia" w:ascii="仿宋_GB2312" w:hAnsi="宋体" w:eastAsia="仿宋_GB2312" w:cs="宋体"/>
          <w:color w:val="000000"/>
          <w:kern w:val="2"/>
          <w:sz w:val="32"/>
          <w:szCs w:val="32"/>
          <w:highlight w:val="none"/>
          <w:lang w:val="en-US" w:eastAsia="zh-CN" w:bidi="ar"/>
        </w:rPr>
        <w:t>运动员数据以组委会公布的赛事成绩册和技术统计表为准。</w:t>
      </w:r>
    </w:p>
    <w:p w14:paraId="7233EF41">
      <w:pPr>
        <w:spacing w:line="560" w:lineRule="exact"/>
        <w:ind w:firstLine="640" w:firstLineChars="200"/>
        <w:rPr>
          <w:rFonts w:ascii="黑体" w:hAnsi="仿宋" w:eastAsia="黑体" w:cs="黑体"/>
          <w:sz w:val="32"/>
          <w:szCs w:val="32"/>
          <w:highlight w:val="none"/>
        </w:rPr>
      </w:pPr>
      <w:r>
        <w:rPr>
          <w:rFonts w:hint="eastAsia" w:ascii="黑体" w:hAnsi="黑体" w:eastAsia="黑体" w:cs="黑体"/>
          <w:sz w:val="32"/>
          <w:szCs w:val="32"/>
          <w:highlight w:val="none"/>
        </w:rPr>
        <w:t>十一、</w:t>
      </w:r>
      <w:r>
        <w:rPr>
          <w:rFonts w:hint="eastAsia" w:ascii="黑体" w:hAnsi="仿宋" w:eastAsia="黑体" w:cs="黑体"/>
          <w:sz w:val="32"/>
          <w:szCs w:val="32"/>
          <w:highlight w:val="none"/>
        </w:rPr>
        <w:t>人身安全</w:t>
      </w:r>
      <w:r>
        <w:rPr>
          <w:rFonts w:hint="eastAsia" w:ascii="黑体" w:hAnsi="黑体" w:eastAsia="黑体" w:cs="黑体"/>
          <w:sz w:val="32"/>
          <w:szCs w:val="32"/>
          <w:highlight w:val="none"/>
        </w:rPr>
        <w:t>和医疗保险</w:t>
      </w:r>
    </w:p>
    <w:p w14:paraId="078255B6">
      <w:pPr>
        <w:spacing w:line="560" w:lineRule="exact"/>
        <w:ind w:firstLine="640" w:firstLineChars="200"/>
        <w:rPr>
          <w:rFonts w:ascii="仿宋_GB2312" w:eastAsia="仿宋_GB2312"/>
          <w:sz w:val="32"/>
          <w:szCs w:val="32"/>
          <w:highlight w:val="none"/>
        </w:rPr>
      </w:pPr>
      <w:r>
        <w:rPr>
          <w:rFonts w:hint="eastAsia" w:ascii="仿宋_GB2312" w:hAnsi="仿宋" w:eastAsia="仿宋_GB2312" w:cs="仿宋_GB2312"/>
          <w:sz w:val="32"/>
          <w:szCs w:val="32"/>
          <w:highlight w:val="none"/>
        </w:rPr>
        <w:t>（一）</w:t>
      </w:r>
      <w:r>
        <w:rPr>
          <w:rFonts w:hint="eastAsia" w:ascii="仿宋_GB2312" w:eastAsia="仿宋_GB2312"/>
          <w:sz w:val="32"/>
          <w:szCs w:val="32"/>
          <w:highlight w:val="none"/>
        </w:rPr>
        <w:t>所有参赛人员要按照赛事主办及承办单位有关要求做好参赛各项安全保障工作。</w:t>
      </w:r>
    </w:p>
    <w:p w14:paraId="03B34CCA">
      <w:pPr>
        <w:spacing w:line="520" w:lineRule="exact"/>
        <w:ind w:firstLine="640" w:firstLineChars="200"/>
        <w:rPr>
          <w:rFonts w:ascii="仿宋_GB2312" w:eastAsia="仿宋_GB2312" w:cs="仿宋_GB2312"/>
          <w:sz w:val="32"/>
          <w:szCs w:val="32"/>
          <w:highlight w:val="none"/>
        </w:rPr>
      </w:pPr>
      <w:r>
        <w:rPr>
          <w:rFonts w:hint="eastAsia" w:ascii="仿宋_GB2312" w:eastAsia="仿宋_GB2312" w:cs="仿宋_GB2312"/>
          <w:sz w:val="32"/>
          <w:szCs w:val="32"/>
          <w:highlight w:val="none"/>
        </w:rPr>
        <w:t>（二）各参赛单位须为本单位所有参赛运动员、教练员购买意外伤害保险，参赛运动员、教练员应确保身体健康，其在比赛中发生的任何意外伤害、伤病等事故，主办及承办单位不承担任何责任。</w:t>
      </w:r>
    </w:p>
    <w:p w14:paraId="651F9AEC">
      <w:pPr>
        <w:spacing w:line="540" w:lineRule="exact"/>
        <w:ind w:firstLine="707" w:firstLineChars="221"/>
        <w:rPr>
          <w:rFonts w:ascii="黑体" w:hAnsi="黑体" w:eastAsia="黑体" w:cs="黑体"/>
          <w:sz w:val="32"/>
          <w:szCs w:val="32"/>
          <w:highlight w:val="none"/>
        </w:rPr>
      </w:pPr>
      <w:r>
        <w:rPr>
          <w:rFonts w:hint="eastAsia" w:ascii="黑体" w:hAnsi="黑体" w:eastAsia="黑体" w:cs="黑体"/>
          <w:sz w:val="32"/>
          <w:szCs w:val="32"/>
          <w:highlight w:val="none"/>
        </w:rPr>
        <w:t>十二、反兴奋剂和赛风赛纪</w:t>
      </w:r>
    </w:p>
    <w:p w14:paraId="01795211">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宋体" w:cs="仿宋_GB2312"/>
          <w:highlight w:val="none"/>
          <w:lang w:val="en-US"/>
        </w:rPr>
      </w:pPr>
      <w:r>
        <w:rPr>
          <w:rFonts w:hint="eastAsia" w:ascii="仿宋_GB2312" w:hAnsi="Times New Roman" w:eastAsia="仿宋_GB2312" w:cs="仿宋_GB2312"/>
          <w:kern w:val="2"/>
          <w:sz w:val="32"/>
          <w:szCs w:val="32"/>
          <w:highlight w:val="none"/>
          <w:lang w:val="en-US" w:eastAsia="zh-CN" w:bidi="ar"/>
        </w:rPr>
        <w:t>（一）比赛中</w:t>
      </w:r>
      <w:r>
        <w:rPr>
          <w:rFonts w:hint="eastAsia" w:ascii="仿宋_GB2312" w:hAnsi="Times New Roman" w:eastAsia="仿宋_GB2312" w:cs="Times New Roman"/>
          <w:kern w:val="2"/>
          <w:sz w:val="32"/>
          <w:szCs w:val="32"/>
          <w:highlight w:val="none"/>
          <w:lang w:val="en-US" w:eastAsia="zh-CN" w:bidi="ar"/>
        </w:rPr>
        <w:t>运动员</w:t>
      </w:r>
      <w:r>
        <w:rPr>
          <w:rFonts w:hint="eastAsia" w:ascii="仿宋_GB2312" w:hAnsi="Times New Roman" w:eastAsia="仿宋_GB2312" w:cs="仿宋_GB2312"/>
          <w:kern w:val="2"/>
          <w:sz w:val="32"/>
          <w:szCs w:val="32"/>
          <w:highlight w:val="none"/>
          <w:lang w:val="en-US" w:eastAsia="zh-CN" w:bidi="ar"/>
        </w:rPr>
        <w:t>出现兴奋剂违规行为，</w:t>
      </w:r>
      <w:r>
        <w:rPr>
          <w:rFonts w:hint="eastAsia" w:ascii="仿宋_GB2312" w:hAnsi="Times New Roman" w:eastAsia="仿宋_GB2312" w:cs="Times New Roman"/>
          <w:kern w:val="2"/>
          <w:sz w:val="32"/>
          <w:szCs w:val="32"/>
          <w:highlight w:val="none"/>
          <w:lang w:val="en-US" w:eastAsia="zh-CN" w:bidi="ar"/>
        </w:rPr>
        <w:t>将取消</w:t>
      </w:r>
      <w:r>
        <w:rPr>
          <w:rFonts w:hint="eastAsia" w:ascii="仿宋_GB2312" w:eastAsia="仿宋_GB2312" w:cs="Times New Roman"/>
          <w:kern w:val="2"/>
          <w:sz w:val="32"/>
          <w:szCs w:val="32"/>
          <w:highlight w:val="none"/>
          <w:lang w:val="en-US" w:eastAsia="zh-CN" w:bidi="ar"/>
        </w:rPr>
        <w:t>其</w:t>
      </w:r>
      <w:r>
        <w:rPr>
          <w:rFonts w:hint="eastAsia" w:ascii="仿宋_GB2312" w:hAnsi="Times New Roman" w:eastAsia="仿宋_GB2312" w:cs="仿宋_GB2312"/>
          <w:kern w:val="2"/>
          <w:sz w:val="32"/>
          <w:szCs w:val="32"/>
          <w:highlight w:val="none"/>
          <w:lang w:val="en-US" w:eastAsia="zh-CN" w:bidi="ar"/>
        </w:rPr>
        <w:t>参赛资格和</w:t>
      </w:r>
      <w:r>
        <w:rPr>
          <w:rFonts w:hint="eastAsia" w:ascii="仿宋_GB2312" w:hAnsi="Times New Roman" w:eastAsia="仿宋_GB2312" w:cs="Times New Roman"/>
          <w:kern w:val="2"/>
          <w:sz w:val="32"/>
          <w:szCs w:val="32"/>
          <w:highlight w:val="none"/>
          <w:lang w:val="en-US" w:eastAsia="zh-CN" w:bidi="ar"/>
        </w:rPr>
        <w:t>所获成绩名次及奖励，并</w:t>
      </w:r>
      <w:r>
        <w:rPr>
          <w:rFonts w:hint="eastAsia" w:ascii="仿宋_GB2312" w:eastAsia="仿宋_GB2312" w:cs="仿宋_GB2312"/>
          <w:kern w:val="2"/>
          <w:sz w:val="32"/>
          <w:szCs w:val="32"/>
          <w:highlight w:val="none"/>
          <w:lang w:val="en-US" w:eastAsia="zh-CN" w:bidi="ar"/>
        </w:rPr>
        <w:t>按</w:t>
      </w:r>
      <w:r>
        <w:rPr>
          <w:rFonts w:hint="eastAsia" w:ascii="仿宋_GB2312" w:hAnsi="Times New Roman" w:eastAsia="仿宋_GB2312" w:cs="仿宋_GB2312"/>
          <w:kern w:val="2"/>
          <w:sz w:val="32"/>
          <w:szCs w:val="32"/>
          <w:highlight w:val="none"/>
          <w:lang w:val="en-US" w:eastAsia="zh-CN" w:bidi="ar"/>
        </w:rPr>
        <w:t>照国家体育总局《反兴奋剂规则》</w:t>
      </w:r>
      <w:r>
        <w:rPr>
          <w:rFonts w:hint="eastAsia" w:ascii="仿宋_GB2312" w:eastAsia="仿宋_GB2312" w:cs="仿宋_GB2312"/>
          <w:kern w:val="2"/>
          <w:sz w:val="32"/>
          <w:szCs w:val="32"/>
          <w:highlight w:val="none"/>
          <w:lang w:val="en-US" w:eastAsia="zh-CN" w:bidi="ar"/>
        </w:rPr>
        <w:t>及相关</w:t>
      </w:r>
      <w:r>
        <w:rPr>
          <w:rFonts w:hint="eastAsia" w:ascii="仿宋_GB2312" w:hAnsi="Times New Roman" w:eastAsia="仿宋_GB2312" w:cs="仿宋_GB2312"/>
          <w:kern w:val="2"/>
          <w:sz w:val="32"/>
          <w:szCs w:val="32"/>
          <w:highlight w:val="none"/>
          <w:lang w:val="en-US" w:eastAsia="zh-CN" w:bidi="ar"/>
        </w:rPr>
        <w:t>规定对违规运动员及运动队进行</w:t>
      </w:r>
      <w:r>
        <w:rPr>
          <w:rFonts w:hint="eastAsia" w:ascii="仿宋_GB2312" w:hAnsi="Times New Roman" w:eastAsia="仿宋_GB2312" w:cs="Times New Roman"/>
          <w:kern w:val="2"/>
          <w:sz w:val="32"/>
          <w:szCs w:val="32"/>
          <w:highlight w:val="none"/>
          <w:lang w:val="en-US" w:eastAsia="zh-CN" w:bidi="ar"/>
        </w:rPr>
        <w:t>追加</w:t>
      </w:r>
      <w:r>
        <w:rPr>
          <w:rFonts w:hint="eastAsia" w:ascii="仿宋_GB2312" w:hAnsi="Times New Roman" w:eastAsia="仿宋_GB2312" w:cs="仿宋_GB2312"/>
          <w:kern w:val="2"/>
          <w:sz w:val="32"/>
          <w:szCs w:val="32"/>
          <w:highlight w:val="none"/>
          <w:lang w:val="en-US" w:eastAsia="zh-CN" w:bidi="ar"/>
        </w:rPr>
        <w:t>处罚。</w:t>
      </w:r>
    </w:p>
    <w:p w14:paraId="2977A6BE">
      <w:pPr>
        <w:overflowPunct w:val="0"/>
        <w:autoSpaceDE w:val="0"/>
        <w:autoSpaceDN w:val="0"/>
        <w:adjustRightInd w:val="0"/>
        <w:spacing w:line="560" w:lineRule="exact"/>
        <w:ind w:firstLine="640" w:firstLineChars="200"/>
        <w:rPr>
          <w:rFonts w:ascii="仿宋_GB2312" w:eastAsia="仿宋_GB2312" w:cs="仿宋_GB2312"/>
          <w:sz w:val="32"/>
          <w:szCs w:val="32"/>
          <w:highlight w:val="none"/>
        </w:rPr>
      </w:pPr>
      <w:r>
        <w:rPr>
          <w:rFonts w:hint="eastAsia" w:ascii="仿宋_GB2312" w:hAnsi="Times New Roman" w:eastAsia="仿宋_GB2312" w:cs="仿宋_GB2312"/>
          <w:kern w:val="2"/>
          <w:sz w:val="32"/>
          <w:szCs w:val="32"/>
          <w:highlight w:val="none"/>
          <w:lang w:val="en-US" w:eastAsia="zh-CN" w:bidi="ar"/>
        </w:rPr>
        <w:t>（二）参赛人员违反赛风赛纪规定，弄虚作假、冒名顶替、干扰赛场秩序、拒绝领奖、采用不正当手段获取名次者，一经查实，取消其参赛资格和成绩名次及奖励，并按照</w:t>
      </w:r>
      <w:r>
        <w:rPr>
          <w:rFonts w:hint="eastAsia" w:ascii="仿宋_GB2312" w:hAnsi="Times New Roman" w:eastAsia="仿宋_GB2312" w:cs="Times New Roman"/>
          <w:kern w:val="2"/>
          <w:sz w:val="32"/>
          <w:szCs w:val="32"/>
          <w:highlight w:val="none"/>
          <w:lang w:val="en-US" w:eastAsia="zh-CN" w:bidi="ar"/>
        </w:rPr>
        <w:t>国家体育总局《体育赛事活动赛风赛纪管理办法》及</w:t>
      </w:r>
      <w:r>
        <w:rPr>
          <w:rFonts w:hint="eastAsia" w:ascii="仿宋_GB2312" w:hAnsi="Times New Roman" w:eastAsia="仿宋_GB2312" w:cs="仿宋_GB2312"/>
          <w:kern w:val="2"/>
          <w:sz w:val="32"/>
          <w:szCs w:val="32"/>
          <w:highlight w:val="none"/>
          <w:lang w:val="en-US" w:eastAsia="zh-CN" w:bidi="ar"/>
        </w:rPr>
        <w:t>相关规定追加处罚。</w:t>
      </w:r>
    </w:p>
    <w:p w14:paraId="3D9E1700">
      <w:pPr>
        <w:spacing w:line="54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十三、</w:t>
      </w:r>
      <w:r>
        <w:rPr>
          <w:rFonts w:hint="eastAsia" w:ascii="黑体" w:hAnsi="黑体" w:eastAsia="黑体" w:cs="黑体"/>
          <w:sz w:val="32"/>
          <w:szCs w:val="32"/>
          <w:highlight w:val="none"/>
          <w:lang w:eastAsia="zh-CN"/>
        </w:rPr>
        <w:t>纠纷解决</w:t>
      </w:r>
      <w:r>
        <w:rPr>
          <w:rFonts w:hint="eastAsia" w:ascii="黑体" w:hAnsi="黑体" w:eastAsia="黑体" w:cs="黑体"/>
          <w:sz w:val="32"/>
          <w:szCs w:val="32"/>
          <w:highlight w:val="none"/>
        </w:rPr>
        <w:t>和裁判员</w:t>
      </w:r>
    </w:p>
    <w:p w14:paraId="48A453FB">
      <w:pPr>
        <w:spacing w:line="560" w:lineRule="exact"/>
        <w:ind w:firstLine="640" w:firstLineChars="200"/>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（一）</w:t>
      </w:r>
      <w:r>
        <w:rPr>
          <w:rFonts w:hint="eastAsia" w:ascii="仿宋_GB2312" w:hAnsi="仿宋" w:eastAsia="仿宋_GB2312" w:cs="仿宋_GB2312"/>
          <w:sz w:val="32"/>
          <w:szCs w:val="32"/>
          <w:highlight w:val="none"/>
          <w:lang w:eastAsia="zh-CN"/>
        </w:rPr>
        <w:t>在本次比赛中发生的纠纷，可以依法向中国体育仲裁委员会申请仲裁。</w:t>
      </w:r>
    </w:p>
    <w:p w14:paraId="590CADD9">
      <w:pPr>
        <w:spacing w:line="560" w:lineRule="exact"/>
        <w:ind w:firstLine="640" w:firstLineChars="200"/>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（二）所有裁判员由</w:t>
      </w:r>
      <w:r>
        <w:rPr>
          <w:rFonts w:hint="eastAsia" w:ascii="仿宋_GB2312" w:hAnsi="仿宋" w:eastAsia="仿宋_GB2312" w:cs="仿宋_GB2312"/>
          <w:sz w:val="32"/>
          <w:szCs w:val="32"/>
          <w:highlight w:val="none"/>
          <w:lang w:eastAsia="zh-CN"/>
        </w:rPr>
        <w:t>北京</w:t>
      </w:r>
      <w:r>
        <w:rPr>
          <w:rFonts w:hint="eastAsia" w:ascii="仿宋_GB2312" w:hAnsi="仿宋" w:eastAsia="仿宋_GB2312" w:cs="仿宋_GB2312"/>
          <w:sz w:val="32"/>
          <w:szCs w:val="32"/>
          <w:highlight w:val="none"/>
        </w:rPr>
        <w:t>市体育竞赛管理和国际交流中心商</w:t>
      </w:r>
      <w:r>
        <w:rPr>
          <w:rFonts w:hint="eastAsia" w:ascii="仿宋_GB2312" w:hAnsi="仿宋" w:eastAsia="仿宋_GB2312" w:cs="仿宋_GB2312"/>
          <w:sz w:val="32"/>
          <w:szCs w:val="32"/>
          <w:highlight w:val="none"/>
          <w:lang w:eastAsia="zh-CN"/>
        </w:rPr>
        <w:t>北京</w:t>
      </w:r>
      <w:r>
        <w:rPr>
          <w:rFonts w:hint="eastAsia" w:ascii="仿宋_GB2312" w:hAnsi="仿宋" w:eastAsia="仿宋_GB2312" w:cs="仿宋_GB2312"/>
          <w:sz w:val="32"/>
          <w:szCs w:val="32"/>
          <w:highlight w:val="none"/>
        </w:rPr>
        <w:t>市</w:t>
      </w:r>
      <w:r>
        <w:rPr>
          <w:rFonts w:hint="eastAsia" w:ascii="仿宋_GB2312" w:hAnsi="仿宋" w:eastAsia="仿宋_GB2312" w:cs="仿宋_GB2312"/>
          <w:sz w:val="32"/>
          <w:szCs w:val="32"/>
          <w:highlight w:val="none"/>
          <w:lang w:eastAsia="zh-CN"/>
        </w:rPr>
        <w:t>垒</w:t>
      </w:r>
      <w:r>
        <w:rPr>
          <w:rFonts w:hint="eastAsia" w:ascii="仿宋_GB2312" w:hAnsi="仿宋" w:eastAsia="仿宋_GB2312" w:cs="仿宋_GB2312"/>
          <w:sz w:val="32"/>
          <w:szCs w:val="32"/>
          <w:highlight w:val="none"/>
        </w:rPr>
        <w:t>球运动协会统一选派。</w:t>
      </w:r>
    </w:p>
    <w:p w14:paraId="501F9687">
      <w:pPr>
        <w:spacing w:line="560" w:lineRule="exact"/>
        <w:ind w:firstLine="640" w:firstLineChars="200"/>
        <w:jc w:val="left"/>
        <w:outlineLvl w:val="0"/>
        <w:rPr>
          <w:rFonts w:hint="eastAsia"/>
        </w:rPr>
      </w:pPr>
      <w:r>
        <w:rPr>
          <w:rFonts w:hint="eastAsia" w:ascii="黑体" w:hAnsi="黑体" w:eastAsia="黑体" w:cs="黑体"/>
          <w:sz w:val="32"/>
          <w:szCs w:val="32"/>
          <w:lang w:eastAsia="zh-CN"/>
        </w:rPr>
        <w:t>十四、</w:t>
      </w:r>
      <w:r>
        <w:rPr>
          <w:rFonts w:hint="eastAsia" w:ascii="黑体" w:hAnsi="黑体" w:eastAsia="黑体" w:cs="黑体"/>
          <w:sz w:val="32"/>
          <w:szCs w:val="32"/>
        </w:rPr>
        <w:t>本规程解释、修改权属北京市体育竞赛管理和国际交流中心，未尽事宜由承办单位另行通知。</w:t>
      </w:r>
    </w:p>
    <w:p w14:paraId="1EA9C522">
      <w:pPr>
        <w:pStyle w:val="7"/>
        <w:ind w:left="0" w:firstLine="0" w:firstLineChars="0"/>
        <w:rPr>
          <w:rFonts w:hint="eastAsia" w:ascii="黑体" w:hAnsi="黑体" w:eastAsia="黑体" w:cs="方正小标宋简体"/>
        </w:rPr>
        <w:sectPr>
          <w:footerReference r:id="rId3" w:type="default"/>
          <w:pgSz w:w="11906" w:h="16838"/>
          <w:pgMar w:top="2098" w:right="1474" w:bottom="1985" w:left="1588" w:header="851" w:footer="992" w:gutter="0"/>
          <w:pgNumType w:fmt="numberInDash"/>
          <w:cols w:space="720" w:num="1"/>
          <w:docGrid w:type="lines" w:linePitch="435" w:charSpace="0"/>
        </w:sectPr>
      </w:pPr>
    </w:p>
    <w:p w14:paraId="51139B0C">
      <w:pPr>
        <w:tabs>
          <w:tab w:val="left" w:pos="1268"/>
        </w:tabs>
        <w:spacing w:line="440" w:lineRule="exact"/>
        <w:rPr>
          <w:rFonts w:hint="eastAsia" w:ascii="黑体" w:hAnsi="黑体" w:eastAsia="黑体"/>
        </w:rPr>
      </w:pPr>
      <w:r>
        <w:rPr>
          <w:rFonts w:hint="eastAsia" w:ascii="黑体" w:hAnsi="黑体" w:eastAsia="黑体"/>
        </w:rPr>
        <w:t>附件2</w:t>
      </w:r>
    </w:p>
    <w:tbl>
      <w:tblPr>
        <w:tblStyle w:val="8"/>
        <w:tblW w:w="14911" w:type="dxa"/>
        <w:tblInd w:w="-318" w:type="dxa"/>
        <w:tblLayout w:type="fixed"/>
        <w:tblCellMar>
          <w:top w:w="0" w:type="dxa"/>
          <w:left w:w="108" w:type="dxa"/>
          <w:bottom w:w="0" w:type="dxa"/>
          <w:right w:w="108" w:type="dxa"/>
        </w:tblCellMar>
      </w:tblPr>
      <w:tblGrid>
        <w:gridCol w:w="852"/>
        <w:gridCol w:w="1275"/>
        <w:gridCol w:w="993"/>
        <w:gridCol w:w="1701"/>
        <w:gridCol w:w="2409"/>
        <w:gridCol w:w="2268"/>
        <w:gridCol w:w="1418"/>
        <w:gridCol w:w="1276"/>
        <w:gridCol w:w="1275"/>
        <w:gridCol w:w="1444"/>
      </w:tblGrid>
      <w:tr w14:paraId="362C9923">
        <w:trPr>
          <w:trHeight w:val="402" w:hRule="atLeast"/>
        </w:trPr>
        <w:tc>
          <w:tcPr>
            <w:tcW w:w="14911" w:type="dxa"/>
            <w:gridSpan w:val="10"/>
            <w:tcBorders>
              <w:top w:val="nil"/>
              <w:left w:val="nil"/>
              <w:bottom w:val="nil"/>
              <w:right w:val="nil"/>
            </w:tcBorders>
            <w:noWrap/>
          </w:tcPr>
          <w:p w14:paraId="22A33AD3">
            <w:pPr>
              <w:spacing w:line="64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2025年北京市青少年</w:t>
            </w:r>
            <w:r>
              <w:rPr>
                <w:rFonts w:hint="eastAsia" w:ascii="方正小标宋简体" w:hAnsi="Songti SC" w:eastAsia="方正小标宋简体"/>
                <w:sz w:val="36"/>
                <w:szCs w:val="36"/>
                <w:lang w:eastAsia="zh-CN"/>
              </w:rPr>
              <w:t>垒球锦标赛</w:t>
            </w:r>
            <w:r>
              <w:rPr>
                <w:rFonts w:hint="eastAsia" w:ascii="方正小标宋简体" w:hAnsi="Songti SC" w:eastAsia="方正小标宋简体"/>
                <w:sz w:val="36"/>
                <w:szCs w:val="36"/>
              </w:rPr>
              <w:t>报名表</w:t>
            </w:r>
          </w:p>
        </w:tc>
      </w:tr>
      <w:tr w14:paraId="3E14694E">
        <w:trPr>
          <w:trHeight w:val="300" w:hRule="atLeast"/>
        </w:trPr>
        <w:tc>
          <w:tcPr>
            <w:tcW w:w="2127" w:type="dxa"/>
            <w:gridSpan w:val="2"/>
            <w:tcBorders>
              <w:top w:val="nil"/>
              <w:left w:val="nil"/>
              <w:bottom w:val="nil"/>
              <w:right w:val="nil"/>
            </w:tcBorders>
            <w:noWrap/>
            <w:vAlign w:val="center"/>
          </w:tcPr>
          <w:p w14:paraId="36154241">
            <w:pPr>
              <w:widowControl/>
              <w:jc w:val="left"/>
              <w:rPr>
                <w:rFonts w:ascii="宋体" w:hAnsi="宋体" w:eastAsia="宋体" w:cs="Arial"/>
                <w:kern w:val="0"/>
                <w:sz w:val="24"/>
                <w:szCs w:val="24"/>
              </w:rPr>
            </w:pPr>
            <w:r>
              <w:rPr>
                <w:rFonts w:hint="eastAsia" w:ascii="宋体" w:hAnsi="宋体" w:eastAsia="宋体" w:cs="Arial"/>
                <w:kern w:val="0"/>
                <w:sz w:val="24"/>
                <w:szCs w:val="24"/>
              </w:rPr>
              <w:t>单位（盖章）：</w:t>
            </w:r>
          </w:p>
        </w:tc>
        <w:tc>
          <w:tcPr>
            <w:tcW w:w="2694" w:type="dxa"/>
            <w:gridSpan w:val="2"/>
            <w:tcBorders>
              <w:top w:val="nil"/>
              <w:left w:val="nil"/>
              <w:bottom w:val="nil"/>
              <w:right w:val="nil"/>
            </w:tcBorders>
            <w:noWrap/>
            <w:vAlign w:val="center"/>
          </w:tcPr>
          <w:p w14:paraId="75B0F013">
            <w:pPr>
              <w:widowControl/>
              <w:jc w:val="center"/>
              <w:rPr>
                <w:rFonts w:ascii="宋体" w:hAnsi="宋体" w:eastAsia="宋体" w:cs="Arial"/>
                <w:kern w:val="0"/>
                <w:sz w:val="24"/>
                <w:szCs w:val="24"/>
              </w:rPr>
            </w:pPr>
          </w:p>
        </w:tc>
        <w:tc>
          <w:tcPr>
            <w:tcW w:w="2409" w:type="dxa"/>
            <w:tcBorders>
              <w:top w:val="nil"/>
              <w:left w:val="nil"/>
              <w:bottom w:val="nil"/>
              <w:right w:val="nil"/>
            </w:tcBorders>
            <w:noWrap/>
            <w:vAlign w:val="center"/>
          </w:tcPr>
          <w:p w14:paraId="0DF75DB3">
            <w:pPr>
              <w:widowControl/>
              <w:jc w:val="left"/>
              <w:rPr>
                <w:rFonts w:ascii="宋体" w:hAnsi="宋体" w:eastAsia="宋体" w:cs="Arial"/>
                <w:kern w:val="0"/>
                <w:sz w:val="24"/>
                <w:szCs w:val="24"/>
              </w:rPr>
            </w:pPr>
          </w:p>
        </w:tc>
        <w:tc>
          <w:tcPr>
            <w:tcW w:w="2268" w:type="dxa"/>
            <w:tcBorders>
              <w:top w:val="nil"/>
              <w:left w:val="nil"/>
              <w:bottom w:val="nil"/>
              <w:right w:val="nil"/>
            </w:tcBorders>
            <w:noWrap/>
            <w:vAlign w:val="center"/>
          </w:tcPr>
          <w:p w14:paraId="68486944">
            <w:pPr>
              <w:widowControl/>
              <w:jc w:val="left"/>
              <w:rPr>
                <w:rFonts w:ascii="宋体" w:hAnsi="宋体" w:eastAsia="宋体" w:cs="Arial"/>
                <w:kern w:val="0"/>
                <w:sz w:val="24"/>
                <w:szCs w:val="24"/>
              </w:rPr>
            </w:pPr>
            <w:r>
              <w:rPr>
                <w:rFonts w:hint="eastAsia" w:ascii="宋体" w:hAnsi="宋体" w:eastAsia="宋体" w:cs="Arial"/>
                <w:kern w:val="0"/>
                <w:sz w:val="24"/>
                <w:szCs w:val="24"/>
              </w:rPr>
              <w:t>队医或队务：</w:t>
            </w:r>
          </w:p>
        </w:tc>
        <w:tc>
          <w:tcPr>
            <w:tcW w:w="5413" w:type="dxa"/>
            <w:gridSpan w:val="4"/>
            <w:tcBorders>
              <w:top w:val="nil"/>
              <w:left w:val="nil"/>
              <w:bottom w:val="nil"/>
              <w:right w:val="nil"/>
            </w:tcBorders>
            <w:noWrap/>
            <w:vAlign w:val="center"/>
          </w:tcPr>
          <w:p w14:paraId="72C2D0FC">
            <w:pPr>
              <w:widowControl/>
              <w:jc w:val="left"/>
              <w:rPr>
                <w:rFonts w:ascii="宋体" w:hAnsi="宋体" w:eastAsia="宋体" w:cs="Arial"/>
                <w:kern w:val="0"/>
                <w:sz w:val="20"/>
                <w:szCs w:val="20"/>
              </w:rPr>
            </w:pPr>
            <w:r>
              <w:rPr>
                <w:rFonts w:hint="eastAsia" w:ascii="宋体" w:hAnsi="宋体" w:eastAsia="宋体" w:cs="Arial"/>
                <w:kern w:val="0"/>
                <w:sz w:val="24"/>
                <w:szCs w:val="24"/>
              </w:rPr>
              <w:t>联系电话：</w:t>
            </w:r>
          </w:p>
        </w:tc>
      </w:tr>
      <w:tr w14:paraId="605DB929">
        <w:trPr>
          <w:trHeight w:val="300" w:hRule="atLeast"/>
        </w:trPr>
        <w:tc>
          <w:tcPr>
            <w:tcW w:w="2127" w:type="dxa"/>
            <w:gridSpan w:val="2"/>
            <w:tcBorders>
              <w:top w:val="nil"/>
              <w:left w:val="nil"/>
              <w:bottom w:val="single" w:color="auto" w:sz="4" w:space="0"/>
              <w:right w:val="nil"/>
            </w:tcBorders>
            <w:noWrap/>
            <w:vAlign w:val="center"/>
          </w:tcPr>
          <w:p w14:paraId="4E3A3429">
            <w:pPr>
              <w:widowControl/>
              <w:jc w:val="left"/>
              <w:rPr>
                <w:rFonts w:ascii="宋体" w:hAnsi="宋体" w:eastAsia="宋体" w:cs="Arial"/>
                <w:kern w:val="0"/>
                <w:sz w:val="24"/>
                <w:szCs w:val="24"/>
              </w:rPr>
            </w:pPr>
            <w:r>
              <w:rPr>
                <w:rFonts w:hint="eastAsia" w:ascii="宋体" w:hAnsi="宋体" w:eastAsia="宋体" w:cs="Arial"/>
                <w:kern w:val="0"/>
                <w:sz w:val="24"/>
                <w:szCs w:val="24"/>
              </w:rPr>
              <w:t>领队：</w:t>
            </w:r>
          </w:p>
        </w:tc>
        <w:tc>
          <w:tcPr>
            <w:tcW w:w="2694" w:type="dxa"/>
            <w:gridSpan w:val="2"/>
            <w:tcBorders>
              <w:top w:val="nil"/>
              <w:left w:val="nil"/>
              <w:bottom w:val="single" w:color="auto" w:sz="4" w:space="0"/>
              <w:right w:val="nil"/>
            </w:tcBorders>
            <w:noWrap/>
            <w:vAlign w:val="center"/>
          </w:tcPr>
          <w:p w14:paraId="2559EE23">
            <w:pPr>
              <w:widowControl/>
              <w:jc w:val="left"/>
              <w:rPr>
                <w:rFonts w:ascii="宋体" w:hAnsi="宋体" w:eastAsia="宋体" w:cs="Arial"/>
                <w:kern w:val="0"/>
                <w:sz w:val="24"/>
                <w:szCs w:val="24"/>
              </w:rPr>
            </w:pPr>
            <w:r>
              <w:rPr>
                <w:rFonts w:hint="eastAsia" w:ascii="宋体" w:hAnsi="宋体" w:eastAsia="宋体" w:cs="Arial"/>
                <w:kern w:val="0"/>
                <w:sz w:val="24"/>
                <w:szCs w:val="24"/>
              </w:rPr>
              <w:t>联系电话：</w:t>
            </w:r>
          </w:p>
        </w:tc>
        <w:tc>
          <w:tcPr>
            <w:tcW w:w="2409" w:type="dxa"/>
            <w:tcBorders>
              <w:top w:val="nil"/>
              <w:left w:val="nil"/>
              <w:bottom w:val="single" w:color="auto" w:sz="4" w:space="0"/>
              <w:right w:val="nil"/>
            </w:tcBorders>
            <w:noWrap/>
            <w:vAlign w:val="center"/>
          </w:tcPr>
          <w:p w14:paraId="1E69D1F4">
            <w:pPr>
              <w:widowControl/>
              <w:jc w:val="left"/>
              <w:rPr>
                <w:rFonts w:ascii="宋体" w:hAnsi="宋体" w:eastAsia="宋体" w:cs="Arial"/>
                <w:kern w:val="0"/>
                <w:sz w:val="24"/>
                <w:szCs w:val="24"/>
              </w:rPr>
            </w:pPr>
            <w:r>
              <w:rPr>
                <w:rFonts w:hint="eastAsia" w:ascii="宋体" w:hAnsi="宋体" w:eastAsia="宋体" w:cs="Arial"/>
                <w:kern w:val="0"/>
                <w:sz w:val="24"/>
                <w:szCs w:val="24"/>
              </w:rPr>
              <w:t>主教练：</w:t>
            </w:r>
          </w:p>
        </w:tc>
        <w:tc>
          <w:tcPr>
            <w:tcW w:w="2268" w:type="dxa"/>
            <w:tcBorders>
              <w:top w:val="nil"/>
              <w:left w:val="nil"/>
              <w:bottom w:val="single" w:color="auto" w:sz="4" w:space="0"/>
              <w:right w:val="nil"/>
            </w:tcBorders>
            <w:noWrap/>
            <w:vAlign w:val="center"/>
          </w:tcPr>
          <w:p w14:paraId="626D9031">
            <w:pPr>
              <w:widowControl/>
              <w:jc w:val="left"/>
              <w:rPr>
                <w:rFonts w:ascii="宋体" w:hAnsi="宋体" w:eastAsia="宋体" w:cs="Arial"/>
                <w:kern w:val="0"/>
                <w:sz w:val="24"/>
                <w:szCs w:val="24"/>
              </w:rPr>
            </w:pPr>
            <w:r>
              <w:rPr>
                <w:rFonts w:hint="eastAsia" w:ascii="宋体" w:hAnsi="宋体" w:eastAsia="宋体" w:cs="Arial"/>
                <w:kern w:val="0"/>
                <w:sz w:val="24"/>
                <w:szCs w:val="24"/>
              </w:rPr>
              <w:t>教练：　</w:t>
            </w:r>
          </w:p>
        </w:tc>
        <w:tc>
          <w:tcPr>
            <w:tcW w:w="5413" w:type="dxa"/>
            <w:gridSpan w:val="4"/>
            <w:tcBorders>
              <w:top w:val="nil"/>
              <w:left w:val="nil"/>
              <w:bottom w:val="single" w:color="auto" w:sz="4" w:space="0"/>
              <w:right w:val="nil"/>
            </w:tcBorders>
            <w:noWrap/>
            <w:vAlign w:val="center"/>
          </w:tcPr>
          <w:p w14:paraId="3C4D786E">
            <w:pPr>
              <w:widowControl/>
              <w:jc w:val="left"/>
              <w:rPr>
                <w:rFonts w:ascii="宋体" w:hAnsi="宋体" w:eastAsia="宋体" w:cs="Arial"/>
                <w:kern w:val="0"/>
                <w:sz w:val="20"/>
                <w:szCs w:val="20"/>
              </w:rPr>
            </w:pPr>
            <w:r>
              <w:rPr>
                <w:rFonts w:hint="eastAsia" w:ascii="宋体" w:hAnsi="宋体" w:eastAsia="宋体" w:cs="Arial"/>
                <w:kern w:val="0"/>
                <w:sz w:val="24"/>
                <w:szCs w:val="24"/>
              </w:rPr>
              <w:t>教练：</w:t>
            </w:r>
          </w:p>
        </w:tc>
      </w:tr>
      <w:tr w14:paraId="05AED72A">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3C4D9D6D">
            <w:pPr>
              <w:widowControl/>
              <w:jc w:val="center"/>
              <w:rPr>
                <w:rFonts w:ascii="宋体" w:hAnsi="宋体" w:eastAsia="宋体" w:cs="Arial"/>
                <w:kern w:val="0"/>
                <w:sz w:val="24"/>
                <w:szCs w:val="24"/>
              </w:rPr>
            </w:pPr>
            <w:r>
              <w:rPr>
                <w:rFonts w:hint="eastAsia" w:ascii="宋体" w:hAnsi="宋体" w:eastAsia="宋体" w:cs="Arial"/>
                <w:kern w:val="0"/>
                <w:sz w:val="24"/>
                <w:szCs w:val="24"/>
              </w:rPr>
              <w:t>序号</w:t>
            </w:r>
          </w:p>
        </w:tc>
        <w:tc>
          <w:tcPr>
            <w:tcW w:w="1275" w:type="dxa"/>
            <w:tcBorders>
              <w:top w:val="nil"/>
              <w:left w:val="nil"/>
              <w:bottom w:val="single" w:color="auto" w:sz="4" w:space="0"/>
              <w:right w:val="single" w:color="auto" w:sz="4" w:space="0"/>
            </w:tcBorders>
            <w:noWrap/>
            <w:vAlign w:val="center"/>
          </w:tcPr>
          <w:p w14:paraId="1D3D4769">
            <w:pPr>
              <w:widowControl/>
              <w:jc w:val="center"/>
              <w:rPr>
                <w:rFonts w:ascii="宋体" w:hAnsi="宋体" w:eastAsia="宋体" w:cs="Arial"/>
                <w:kern w:val="0"/>
                <w:sz w:val="24"/>
                <w:szCs w:val="24"/>
              </w:rPr>
            </w:pPr>
            <w:r>
              <w:rPr>
                <w:rFonts w:hint="eastAsia" w:ascii="宋体" w:hAnsi="宋体" w:eastAsia="宋体" w:cs="Arial"/>
                <w:kern w:val="0"/>
                <w:sz w:val="24"/>
                <w:szCs w:val="24"/>
              </w:rPr>
              <w:t>姓名</w:t>
            </w:r>
          </w:p>
        </w:tc>
        <w:tc>
          <w:tcPr>
            <w:tcW w:w="993" w:type="dxa"/>
            <w:tcBorders>
              <w:top w:val="nil"/>
              <w:left w:val="nil"/>
              <w:bottom w:val="single" w:color="auto" w:sz="4" w:space="0"/>
              <w:right w:val="single" w:color="auto" w:sz="4" w:space="0"/>
            </w:tcBorders>
            <w:noWrap/>
            <w:vAlign w:val="center"/>
          </w:tcPr>
          <w:p w14:paraId="31CA8754">
            <w:pPr>
              <w:widowControl/>
              <w:jc w:val="center"/>
              <w:rPr>
                <w:rFonts w:ascii="宋体" w:hAnsi="宋体" w:eastAsia="宋体" w:cs="Arial"/>
                <w:kern w:val="0"/>
                <w:sz w:val="24"/>
                <w:szCs w:val="24"/>
              </w:rPr>
            </w:pPr>
            <w:r>
              <w:rPr>
                <w:rFonts w:hint="eastAsia" w:ascii="宋体" w:hAnsi="宋体" w:eastAsia="宋体" w:cs="Arial"/>
                <w:kern w:val="0"/>
                <w:sz w:val="24"/>
                <w:szCs w:val="24"/>
              </w:rPr>
              <w:t>性别</w:t>
            </w:r>
          </w:p>
        </w:tc>
        <w:tc>
          <w:tcPr>
            <w:tcW w:w="1701" w:type="dxa"/>
            <w:tcBorders>
              <w:top w:val="nil"/>
              <w:left w:val="nil"/>
              <w:bottom w:val="single" w:color="auto" w:sz="4" w:space="0"/>
              <w:right w:val="single" w:color="auto" w:sz="4" w:space="0"/>
            </w:tcBorders>
            <w:noWrap/>
            <w:vAlign w:val="center"/>
          </w:tcPr>
          <w:p w14:paraId="07D40107">
            <w:pPr>
              <w:widowControl/>
              <w:jc w:val="center"/>
              <w:rPr>
                <w:rFonts w:ascii="宋体" w:hAnsi="宋体" w:eastAsia="宋体" w:cs="Arial"/>
                <w:kern w:val="0"/>
                <w:sz w:val="24"/>
                <w:szCs w:val="24"/>
              </w:rPr>
            </w:pPr>
            <w:r>
              <w:rPr>
                <w:rFonts w:hint="eastAsia" w:ascii="宋体" w:hAnsi="宋体" w:eastAsia="宋体" w:cs="Arial"/>
                <w:kern w:val="0"/>
                <w:sz w:val="24"/>
                <w:szCs w:val="24"/>
              </w:rPr>
              <w:t>出生日期</w:t>
            </w:r>
          </w:p>
        </w:tc>
        <w:tc>
          <w:tcPr>
            <w:tcW w:w="2409" w:type="dxa"/>
            <w:tcBorders>
              <w:top w:val="nil"/>
              <w:left w:val="nil"/>
              <w:bottom w:val="single" w:color="auto" w:sz="4" w:space="0"/>
              <w:right w:val="single" w:color="auto" w:sz="4" w:space="0"/>
            </w:tcBorders>
            <w:noWrap/>
            <w:vAlign w:val="center"/>
          </w:tcPr>
          <w:p w14:paraId="3A9230D4">
            <w:pPr>
              <w:widowControl/>
              <w:jc w:val="center"/>
              <w:rPr>
                <w:rFonts w:ascii="宋体" w:hAnsi="宋体" w:eastAsia="宋体" w:cs="Arial"/>
                <w:kern w:val="0"/>
                <w:sz w:val="24"/>
                <w:szCs w:val="24"/>
              </w:rPr>
            </w:pPr>
            <w:r>
              <w:rPr>
                <w:rFonts w:hint="eastAsia" w:ascii="宋体" w:hAnsi="宋体" w:eastAsia="宋体" w:cs="Arial"/>
                <w:kern w:val="0"/>
                <w:sz w:val="24"/>
                <w:szCs w:val="24"/>
              </w:rPr>
              <w:t>身份证号</w:t>
            </w:r>
          </w:p>
        </w:tc>
        <w:tc>
          <w:tcPr>
            <w:tcW w:w="2268" w:type="dxa"/>
            <w:tcBorders>
              <w:top w:val="nil"/>
              <w:left w:val="nil"/>
              <w:bottom w:val="single" w:color="auto" w:sz="4" w:space="0"/>
              <w:right w:val="single" w:color="auto" w:sz="4" w:space="0"/>
            </w:tcBorders>
            <w:noWrap/>
            <w:vAlign w:val="center"/>
          </w:tcPr>
          <w:p w14:paraId="166CFE79">
            <w:pPr>
              <w:widowControl/>
              <w:jc w:val="center"/>
              <w:rPr>
                <w:rFonts w:ascii="宋体" w:hAnsi="宋体" w:eastAsia="宋体" w:cs="Arial"/>
                <w:kern w:val="0"/>
                <w:sz w:val="24"/>
                <w:szCs w:val="24"/>
              </w:rPr>
            </w:pPr>
            <w:r>
              <w:rPr>
                <w:rFonts w:hint="eastAsia" w:ascii="宋体" w:hAnsi="宋体" w:eastAsia="宋体" w:cs="Arial"/>
                <w:kern w:val="0"/>
                <w:sz w:val="24"/>
                <w:szCs w:val="24"/>
              </w:rPr>
              <w:t>学籍号</w:t>
            </w:r>
          </w:p>
        </w:tc>
        <w:tc>
          <w:tcPr>
            <w:tcW w:w="1418" w:type="dxa"/>
            <w:tcBorders>
              <w:top w:val="nil"/>
              <w:left w:val="nil"/>
              <w:bottom w:val="single" w:color="auto" w:sz="4" w:space="0"/>
              <w:right w:val="nil"/>
            </w:tcBorders>
            <w:noWrap/>
            <w:vAlign w:val="center"/>
          </w:tcPr>
          <w:p w14:paraId="122CD61C">
            <w:pPr>
              <w:widowControl/>
              <w:jc w:val="center"/>
              <w:rPr>
                <w:rFonts w:ascii="宋体" w:hAnsi="宋体" w:eastAsia="宋体" w:cs="Arial"/>
                <w:kern w:val="0"/>
                <w:sz w:val="24"/>
                <w:szCs w:val="24"/>
              </w:rPr>
            </w:pPr>
            <w:r>
              <w:rPr>
                <w:rFonts w:hint="eastAsia" w:ascii="宋体" w:hAnsi="宋体" w:eastAsia="宋体" w:cs="Arial"/>
                <w:kern w:val="0"/>
                <w:sz w:val="24"/>
                <w:szCs w:val="24"/>
              </w:rPr>
              <w:t>组别</w:t>
            </w:r>
          </w:p>
        </w:tc>
        <w:tc>
          <w:tcPr>
            <w:tcW w:w="1276" w:type="dxa"/>
            <w:tcBorders>
              <w:top w:val="single" w:color="auto" w:sz="4" w:space="0"/>
              <w:left w:val="single" w:color="auto" w:sz="4" w:space="0"/>
              <w:bottom w:val="single" w:color="auto" w:sz="4" w:space="0"/>
              <w:right w:val="single" w:color="auto" w:sz="4" w:space="0"/>
            </w:tcBorders>
            <w:noWrap/>
            <w:vAlign w:val="center"/>
          </w:tcPr>
          <w:p w14:paraId="2EB43003">
            <w:pPr>
              <w:widowControl/>
              <w:jc w:val="center"/>
              <w:rPr>
                <w:rFonts w:ascii="宋体" w:hAnsi="宋体" w:eastAsia="宋体" w:cs="Arial"/>
                <w:kern w:val="0"/>
                <w:sz w:val="24"/>
                <w:szCs w:val="24"/>
              </w:rPr>
            </w:pPr>
            <w:r>
              <w:rPr>
                <w:rFonts w:hint="eastAsia" w:ascii="宋体" w:hAnsi="宋体" w:eastAsia="宋体" w:cs="Arial"/>
                <w:kern w:val="0"/>
                <w:sz w:val="24"/>
                <w:szCs w:val="24"/>
              </w:rPr>
              <w:t>项目</w:t>
            </w:r>
          </w:p>
        </w:tc>
        <w:tc>
          <w:tcPr>
            <w:tcW w:w="1275" w:type="dxa"/>
            <w:tcBorders>
              <w:top w:val="single" w:color="auto" w:sz="4" w:space="0"/>
              <w:left w:val="nil"/>
              <w:bottom w:val="single" w:color="auto" w:sz="4" w:space="0"/>
              <w:right w:val="single" w:color="auto" w:sz="4" w:space="0"/>
            </w:tcBorders>
            <w:noWrap/>
            <w:vAlign w:val="center"/>
          </w:tcPr>
          <w:p w14:paraId="1A9A50AD">
            <w:pPr>
              <w:widowControl/>
              <w:jc w:val="center"/>
              <w:rPr>
                <w:rFonts w:ascii="宋体" w:hAnsi="宋体" w:eastAsia="宋体" w:cs="Arial"/>
                <w:kern w:val="0"/>
                <w:sz w:val="24"/>
                <w:szCs w:val="24"/>
              </w:rPr>
            </w:pPr>
            <w:r>
              <w:rPr>
                <w:rFonts w:hint="eastAsia" w:ascii="宋体" w:hAnsi="宋体" w:eastAsia="宋体" w:cs="Arial"/>
                <w:kern w:val="0"/>
                <w:sz w:val="24"/>
                <w:szCs w:val="24"/>
              </w:rPr>
              <w:t>队服号码</w:t>
            </w:r>
          </w:p>
        </w:tc>
        <w:tc>
          <w:tcPr>
            <w:tcW w:w="1444" w:type="dxa"/>
            <w:tcBorders>
              <w:top w:val="single" w:color="auto" w:sz="4" w:space="0"/>
              <w:left w:val="nil"/>
              <w:bottom w:val="single" w:color="auto" w:sz="4" w:space="0"/>
              <w:right w:val="single" w:color="auto" w:sz="4" w:space="0"/>
            </w:tcBorders>
            <w:noWrap/>
            <w:vAlign w:val="center"/>
          </w:tcPr>
          <w:p w14:paraId="005BA438">
            <w:pPr>
              <w:widowControl/>
              <w:jc w:val="center"/>
              <w:rPr>
                <w:rFonts w:ascii="宋体" w:hAnsi="宋体" w:eastAsia="宋体" w:cs="Arial"/>
                <w:kern w:val="0"/>
                <w:sz w:val="24"/>
                <w:szCs w:val="24"/>
              </w:rPr>
            </w:pPr>
            <w:r>
              <w:rPr>
                <w:rFonts w:hint="eastAsia" w:ascii="宋体" w:hAnsi="宋体" w:eastAsia="宋体" w:cs="Arial"/>
                <w:kern w:val="0"/>
                <w:sz w:val="24"/>
                <w:szCs w:val="24"/>
              </w:rPr>
              <w:t>队服颜色</w:t>
            </w:r>
          </w:p>
        </w:tc>
      </w:tr>
      <w:tr w14:paraId="26ED9F5C">
        <w:trPr>
          <w:trHeight w:val="340" w:hRule="atLeast"/>
        </w:trPr>
        <w:tc>
          <w:tcPr>
            <w:tcW w:w="852" w:type="dxa"/>
            <w:tcBorders>
              <w:top w:val="nil"/>
              <w:left w:val="single" w:color="auto" w:sz="4" w:space="0"/>
              <w:bottom w:val="single" w:color="auto" w:sz="4" w:space="0"/>
              <w:right w:val="single" w:color="auto" w:sz="4" w:space="0"/>
            </w:tcBorders>
            <w:noWrap/>
            <w:vAlign w:val="center"/>
          </w:tcPr>
          <w:p w14:paraId="34D80CA5">
            <w:pPr>
              <w:widowControl/>
              <w:jc w:val="center"/>
              <w:rPr>
                <w:rFonts w:ascii="宋体" w:hAnsi="宋体" w:eastAsia="宋体" w:cs="Arial"/>
                <w:kern w:val="0"/>
                <w:sz w:val="22"/>
                <w:szCs w:val="22"/>
              </w:rPr>
            </w:pPr>
            <w:r>
              <w:rPr>
                <w:rFonts w:hint="eastAsia" w:ascii="宋体" w:hAnsi="宋体" w:eastAsia="宋体" w:cs="Arial"/>
                <w:kern w:val="0"/>
                <w:sz w:val="22"/>
                <w:szCs w:val="22"/>
              </w:rPr>
              <w:t>1</w:t>
            </w:r>
          </w:p>
        </w:tc>
        <w:tc>
          <w:tcPr>
            <w:tcW w:w="1275" w:type="dxa"/>
            <w:tcBorders>
              <w:top w:val="nil"/>
              <w:left w:val="nil"/>
              <w:bottom w:val="single" w:color="auto" w:sz="4" w:space="0"/>
              <w:right w:val="single" w:color="auto" w:sz="4" w:space="0"/>
            </w:tcBorders>
            <w:noWrap/>
            <w:vAlign w:val="center"/>
          </w:tcPr>
          <w:p w14:paraId="0693805F">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45BDEE07">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7535B048">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5639E4B8">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3F0CD471">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7BEC1B65">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4DDF1B69">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1EAF65FB">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763278FE">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5F219C0A">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82B1D61">
            <w:pPr>
              <w:widowControl/>
              <w:jc w:val="center"/>
              <w:rPr>
                <w:rFonts w:ascii="宋体" w:hAnsi="宋体" w:eastAsia="宋体" w:cs="Arial"/>
                <w:kern w:val="0"/>
                <w:sz w:val="22"/>
                <w:szCs w:val="22"/>
              </w:rPr>
            </w:pPr>
            <w:r>
              <w:rPr>
                <w:rFonts w:hint="eastAsia" w:ascii="宋体" w:hAnsi="宋体" w:eastAsia="宋体" w:cs="Arial"/>
                <w:kern w:val="0"/>
                <w:sz w:val="22"/>
                <w:szCs w:val="22"/>
              </w:rPr>
              <w:t>2</w:t>
            </w:r>
          </w:p>
        </w:tc>
        <w:tc>
          <w:tcPr>
            <w:tcW w:w="1275" w:type="dxa"/>
            <w:tcBorders>
              <w:top w:val="nil"/>
              <w:left w:val="nil"/>
              <w:bottom w:val="single" w:color="auto" w:sz="4" w:space="0"/>
              <w:right w:val="single" w:color="auto" w:sz="4" w:space="0"/>
            </w:tcBorders>
            <w:noWrap/>
            <w:vAlign w:val="center"/>
          </w:tcPr>
          <w:p w14:paraId="595653E6">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6F4667D9">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39117F87">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3686A8B7">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0FEDC661">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6D4CE4CF">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7156A808">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7C45D9FD">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1F7E6D28">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0A6EE883">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3AC6982A">
            <w:pPr>
              <w:widowControl/>
              <w:jc w:val="center"/>
              <w:rPr>
                <w:rFonts w:ascii="宋体" w:hAnsi="宋体" w:eastAsia="宋体" w:cs="Arial"/>
                <w:kern w:val="0"/>
                <w:sz w:val="22"/>
                <w:szCs w:val="22"/>
              </w:rPr>
            </w:pPr>
            <w:r>
              <w:rPr>
                <w:rFonts w:hint="eastAsia" w:ascii="宋体" w:hAnsi="宋体" w:eastAsia="宋体" w:cs="Arial"/>
                <w:kern w:val="0"/>
                <w:sz w:val="22"/>
                <w:szCs w:val="22"/>
              </w:rPr>
              <w:t>3</w:t>
            </w:r>
          </w:p>
        </w:tc>
        <w:tc>
          <w:tcPr>
            <w:tcW w:w="1275" w:type="dxa"/>
            <w:tcBorders>
              <w:top w:val="nil"/>
              <w:left w:val="nil"/>
              <w:bottom w:val="single" w:color="auto" w:sz="4" w:space="0"/>
              <w:right w:val="single" w:color="auto" w:sz="4" w:space="0"/>
            </w:tcBorders>
            <w:noWrap/>
            <w:vAlign w:val="center"/>
          </w:tcPr>
          <w:p w14:paraId="68A0F252">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30DC7C5E">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72532CE4">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73907A3E">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5CD6EC8F">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2EE35C89">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5239DD00">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2CC3C3A0">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07EBDA99">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2A84AE9F">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5803B0C7">
            <w:pPr>
              <w:widowControl/>
              <w:jc w:val="center"/>
              <w:rPr>
                <w:rFonts w:ascii="宋体" w:hAnsi="宋体" w:eastAsia="宋体" w:cs="Arial"/>
                <w:kern w:val="0"/>
                <w:sz w:val="22"/>
                <w:szCs w:val="22"/>
              </w:rPr>
            </w:pPr>
            <w:r>
              <w:rPr>
                <w:rFonts w:hint="eastAsia" w:ascii="宋体" w:hAnsi="宋体" w:eastAsia="宋体" w:cs="Arial"/>
                <w:kern w:val="0"/>
                <w:sz w:val="22"/>
                <w:szCs w:val="22"/>
              </w:rPr>
              <w:t>4</w:t>
            </w:r>
          </w:p>
        </w:tc>
        <w:tc>
          <w:tcPr>
            <w:tcW w:w="1275" w:type="dxa"/>
            <w:tcBorders>
              <w:top w:val="nil"/>
              <w:left w:val="nil"/>
              <w:bottom w:val="single" w:color="auto" w:sz="4" w:space="0"/>
              <w:right w:val="single" w:color="auto" w:sz="4" w:space="0"/>
            </w:tcBorders>
            <w:noWrap/>
            <w:vAlign w:val="center"/>
          </w:tcPr>
          <w:p w14:paraId="44FBE485">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5422DC00">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26BDAF2E">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61D428AB">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0266E1DB">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1F094113">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23CA5257">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5B2A92D5">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07D7C63B">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41E90218">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5DABB419">
            <w:pPr>
              <w:widowControl/>
              <w:jc w:val="center"/>
              <w:rPr>
                <w:rFonts w:ascii="宋体" w:hAnsi="宋体" w:eastAsia="宋体" w:cs="Arial"/>
                <w:kern w:val="0"/>
                <w:sz w:val="22"/>
                <w:szCs w:val="22"/>
              </w:rPr>
            </w:pPr>
            <w:r>
              <w:rPr>
                <w:rFonts w:hint="eastAsia" w:ascii="宋体" w:hAnsi="宋体" w:eastAsia="宋体" w:cs="Arial"/>
                <w:kern w:val="0"/>
                <w:sz w:val="22"/>
                <w:szCs w:val="22"/>
              </w:rPr>
              <w:t>5</w:t>
            </w:r>
          </w:p>
        </w:tc>
        <w:tc>
          <w:tcPr>
            <w:tcW w:w="1275" w:type="dxa"/>
            <w:tcBorders>
              <w:top w:val="nil"/>
              <w:left w:val="nil"/>
              <w:bottom w:val="single" w:color="auto" w:sz="4" w:space="0"/>
              <w:right w:val="single" w:color="auto" w:sz="4" w:space="0"/>
            </w:tcBorders>
            <w:noWrap/>
            <w:vAlign w:val="center"/>
          </w:tcPr>
          <w:p w14:paraId="79888B10">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7AE1BDFB">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096C46DA">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79DED31E">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7511FFBB">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39E85070">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5DA92A7F">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3D99344E">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4A7EFAFC">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5ACBAB02">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B034D8F">
            <w:pPr>
              <w:widowControl/>
              <w:jc w:val="center"/>
              <w:rPr>
                <w:rFonts w:ascii="宋体" w:hAnsi="宋体" w:eastAsia="宋体" w:cs="Arial"/>
                <w:kern w:val="0"/>
                <w:sz w:val="22"/>
                <w:szCs w:val="22"/>
              </w:rPr>
            </w:pPr>
            <w:r>
              <w:rPr>
                <w:rFonts w:hint="eastAsia" w:ascii="宋体" w:hAnsi="宋体" w:eastAsia="宋体" w:cs="Arial"/>
                <w:kern w:val="0"/>
                <w:sz w:val="22"/>
                <w:szCs w:val="22"/>
              </w:rPr>
              <w:t>6</w:t>
            </w:r>
          </w:p>
        </w:tc>
        <w:tc>
          <w:tcPr>
            <w:tcW w:w="1275" w:type="dxa"/>
            <w:tcBorders>
              <w:top w:val="nil"/>
              <w:left w:val="nil"/>
              <w:bottom w:val="single" w:color="auto" w:sz="4" w:space="0"/>
              <w:right w:val="single" w:color="auto" w:sz="4" w:space="0"/>
            </w:tcBorders>
            <w:noWrap/>
            <w:vAlign w:val="center"/>
          </w:tcPr>
          <w:p w14:paraId="4F999E00">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7E84E175">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3AC8A22C">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61CC526D">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3D5F8A41">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4FB39310">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4F21BE3F">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01E961C8">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03EC7BEF">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2097306A">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8748579">
            <w:pPr>
              <w:widowControl/>
              <w:jc w:val="center"/>
              <w:rPr>
                <w:rFonts w:ascii="宋体" w:hAnsi="宋体" w:eastAsia="宋体" w:cs="Arial"/>
                <w:kern w:val="0"/>
                <w:sz w:val="22"/>
                <w:szCs w:val="22"/>
              </w:rPr>
            </w:pPr>
            <w:r>
              <w:rPr>
                <w:rFonts w:hint="eastAsia" w:ascii="宋体" w:hAnsi="宋体" w:eastAsia="宋体" w:cs="Arial"/>
                <w:kern w:val="0"/>
                <w:sz w:val="22"/>
                <w:szCs w:val="22"/>
              </w:rPr>
              <w:t>7</w:t>
            </w:r>
          </w:p>
        </w:tc>
        <w:tc>
          <w:tcPr>
            <w:tcW w:w="1275" w:type="dxa"/>
            <w:tcBorders>
              <w:top w:val="nil"/>
              <w:left w:val="nil"/>
              <w:bottom w:val="single" w:color="auto" w:sz="4" w:space="0"/>
              <w:right w:val="single" w:color="auto" w:sz="4" w:space="0"/>
            </w:tcBorders>
            <w:noWrap/>
            <w:vAlign w:val="center"/>
          </w:tcPr>
          <w:p w14:paraId="6C823E1B">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56F4C047">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2661775F">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2CAAFA36">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62FE7117">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38B7DFCB">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446925B2">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5FF2F047">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7ED51595">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431E247D">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C52BDEF">
            <w:pPr>
              <w:widowControl/>
              <w:jc w:val="center"/>
              <w:rPr>
                <w:rFonts w:ascii="宋体" w:hAnsi="宋体" w:eastAsia="宋体" w:cs="Arial"/>
                <w:kern w:val="0"/>
                <w:sz w:val="22"/>
                <w:szCs w:val="22"/>
              </w:rPr>
            </w:pPr>
            <w:r>
              <w:rPr>
                <w:rFonts w:hint="eastAsia" w:ascii="宋体" w:hAnsi="宋体" w:eastAsia="宋体" w:cs="Arial"/>
                <w:kern w:val="0"/>
                <w:sz w:val="22"/>
                <w:szCs w:val="22"/>
              </w:rPr>
              <w:t>8</w:t>
            </w:r>
          </w:p>
        </w:tc>
        <w:tc>
          <w:tcPr>
            <w:tcW w:w="1275" w:type="dxa"/>
            <w:tcBorders>
              <w:top w:val="nil"/>
              <w:left w:val="nil"/>
              <w:bottom w:val="single" w:color="auto" w:sz="4" w:space="0"/>
              <w:right w:val="single" w:color="auto" w:sz="4" w:space="0"/>
            </w:tcBorders>
            <w:noWrap/>
            <w:vAlign w:val="center"/>
          </w:tcPr>
          <w:p w14:paraId="33C3ED46">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1A1D8DC4">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5116F134">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47EC5C70">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5F852E15">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741EDB50">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6453BB87">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1777210D">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47FA90CA">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0374E8A3">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6387C1C2">
            <w:pPr>
              <w:widowControl/>
              <w:jc w:val="center"/>
              <w:rPr>
                <w:rFonts w:ascii="宋体" w:hAnsi="宋体" w:eastAsia="宋体" w:cs="Arial"/>
                <w:kern w:val="0"/>
                <w:sz w:val="22"/>
                <w:szCs w:val="22"/>
              </w:rPr>
            </w:pPr>
            <w:r>
              <w:rPr>
                <w:rFonts w:hint="eastAsia" w:ascii="宋体" w:hAnsi="宋体" w:eastAsia="宋体" w:cs="Arial"/>
                <w:kern w:val="0"/>
                <w:sz w:val="22"/>
                <w:szCs w:val="22"/>
              </w:rPr>
              <w:t>9</w:t>
            </w:r>
          </w:p>
        </w:tc>
        <w:tc>
          <w:tcPr>
            <w:tcW w:w="1275" w:type="dxa"/>
            <w:tcBorders>
              <w:top w:val="nil"/>
              <w:left w:val="nil"/>
              <w:bottom w:val="single" w:color="auto" w:sz="4" w:space="0"/>
              <w:right w:val="single" w:color="auto" w:sz="4" w:space="0"/>
            </w:tcBorders>
            <w:noWrap/>
            <w:vAlign w:val="center"/>
          </w:tcPr>
          <w:p w14:paraId="6589A8DC">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5B68D7B7">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7B72E5EA">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55FA531B">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7195555C">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2BE59CA2">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6C7473FA">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354235F3">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3A999625">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60313D06">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7245D7AC">
            <w:pPr>
              <w:widowControl/>
              <w:jc w:val="center"/>
              <w:rPr>
                <w:rFonts w:ascii="宋体" w:hAnsi="宋体" w:eastAsia="宋体" w:cs="Arial"/>
                <w:kern w:val="0"/>
                <w:sz w:val="22"/>
                <w:szCs w:val="22"/>
              </w:rPr>
            </w:pPr>
            <w:r>
              <w:rPr>
                <w:rFonts w:hint="eastAsia" w:ascii="宋体" w:hAnsi="宋体" w:eastAsia="宋体" w:cs="Arial"/>
                <w:kern w:val="0"/>
                <w:sz w:val="22"/>
                <w:szCs w:val="22"/>
              </w:rPr>
              <w:t>10</w:t>
            </w:r>
          </w:p>
        </w:tc>
        <w:tc>
          <w:tcPr>
            <w:tcW w:w="1275" w:type="dxa"/>
            <w:tcBorders>
              <w:top w:val="nil"/>
              <w:left w:val="nil"/>
              <w:bottom w:val="single" w:color="auto" w:sz="4" w:space="0"/>
              <w:right w:val="single" w:color="auto" w:sz="4" w:space="0"/>
            </w:tcBorders>
            <w:noWrap/>
            <w:vAlign w:val="center"/>
          </w:tcPr>
          <w:p w14:paraId="0FE7DDCD">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7333AFBC">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59B4092C">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4C156E1F">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0A6641C5">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3E90F0CE">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28F9B80F">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5FCD0C3B">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6D01D4B9">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298864B9">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1D19710C">
            <w:pPr>
              <w:widowControl/>
              <w:jc w:val="center"/>
              <w:rPr>
                <w:rFonts w:ascii="宋体" w:hAnsi="宋体" w:eastAsia="宋体" w:cs="Arial"/>
                <w:kern w:val="0"/>
                <w:sz w:val="22"/>
                <w:szCs w:val="22"/>
              </w:rPr>
            </w:pPr>
            <w:r>
              <w:rPr>
                <w:rFonts w:hint="eastAsia" w:ascii="宋体" w:hAnsi="宋体" w:eastAsia="宋体" w:cs="Arial"/>
                <w:kern w:val="0"/>
                <w:sz w:val="22"/>
                <w:szCs w:val="22"/>
              </w:rPr>
              <w:t>11</w:t>
            </w:r>
          </w:p>
        </w:tc>
        <w:tc>
          <w:tcPr>
            <w:tcW w:w="1275" w:type="dxa"/>
            <w:tcBorders>
              <w:top w:val="nil"/>
              <w:left w:val="nil"/>
              <w:bottom w:val="single" w:color="auto" w:sz="4" w:space="0"/>
              <w:right w:val="single" w:color="auto" w:sz="4" w:space="0"/>
            </w:tcBorders>
            <w:noWrap/>
            <w:vAlign w:val="center"/>
          </w:tcPr>
          <w:p w14:paraId="54C28D87">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53374B97">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5DEFD366">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1D218CC9">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57B7A64E">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11BA35EE">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42740001">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6D79D940">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5A8049B8">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5AF64CA3">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787D585D">
            <w:pPr>
              <w:widowControl/>
              <w:jc w:val="center"/>
              <w:rPr>
                <w:rFonts w:ascii="宋体" w:hAnsi="宋体" w:eastAsia="宋体" w:cs="Arial"/>
                <w:kern w:val="0"/>
                <w:sz w:val="22"/>
                <w:szCs w:val="22"/>
              </w:rPr>
            </w:pPr>
            <w:r>
              <w:rPr>
                <w:rFonts w:hint="eastAsia" w:ascii="宋体" w:hAnsi="宋体" w:eastAsia="宋体" w:cs="Arial"/>
                <w:kern w:val="0"/>
                <w:sz w:val="22"/>
                <w:szCs w:val="22"/>
              </w:rPr>
              <w:t>12</w:t>
            </w:r>
          </w:p>
        </w:tc>
        <w:tc>
          <w:tcPr>
            <w:tcW w:w="1275" w:type="dxa"/>
            <w:tcBorders>
              <w:top w:val="nil"/>
              <w:left w:val="nil"/>
              <w:bottom w:val="single" w:color="auto" w:sz="4" w:space="0"/>
              <w:right w:val="single" w:color="auto" w:sz="4" w:space="0"/>
            </w:tcBorders>
            <w:noWrap/>
            <w:vAlign w:val="center"/>
          </w:tcPr>
          <w:p w14:paraId="5673A4ED">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5BED325D">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0F8F9DA1">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20CBD393">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4A15992D">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24BF9D27">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3677069C">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2DDA5CC5">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0997E7F6">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2956D786">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4F29CAE0">
            <w:pPr>
              <w:widowControl/>
              <w:jc w:val="center"/>
              <w:rPr>
                <w:rFonts w:ascii="宋体" w:hAnsi="宋体" w:eastAsia="宋体" w:cs="Arial"/>
                <w:kern w:val="0"/>
                <w:sz w:val="22"/>
                <w:szCs w:val="22"/>
              </w:rPr>
            </w:pPr>
            <w:r>
              <w:rPr>
                <w:rFonts w:hint="eastAsia" w:ascii="宋体" w:hAnsi="宋体" w:eastAsia="宋体" w:cs="Arial"/>
                <w:kern w:val="0"/>
                <w:sz w:val="22"/>
                <w:szCs w:val="22"/>
              </w:rPr>
              <w:t>13</w:t>
            </w:r>
          </w:p>
        </w:tc>
        <w:tc>
          <w:tcPr>
            <w:tcW w:w="1275" w:type="dxa"/>
            <w:tcBorders>
              <w:top w:val="nil"/>
              <w:left w:val="nil"/>
              <w:bottom w:val="single" w:color="auto" w:sz="4" w:space="0"/>
              <w:right w:val="single" w:color="auto" w:sz="4" w:space="0"/>
            </w:tcBorders>
            <w:noWrap/>
            <w:vAlign w:val="center"/>
          </w:tcPr>
          <w:p w14:paraId="36A28449">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080A3D48">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45BD5866">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7304E3D0">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1FB8E820">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4BE48F31">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1452471C">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19D729A6">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6B760E44">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761B409A">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6CFA9B93">
            <w:pPr>
              <w:widowControl/>
              <w:jc w:val="center"/>
              <w:rPr>
                <w:rFonts w:ascii="宋体" w:hAnsi="宋体" w:eastAsia="宋体" w:cs="Arial"/>
                <w:kern w:val="0"/>
                <w:sz w:val="22"/>
                <w:szCs w:val="22"/>
              </w:rPr>
            </w:pPr>
            <w:r>
              <w:rPr>
                <w:rFonts w:hint="eastAsia" w:ascii="宋体" w:hAnsi="宋体" w:eastAsia="宋体" w:cs="Arial"/>
                <w:kern w:val="0"/>
                <w:sz w:val="22"/>
                <w:szCs w:val="22"/>
              </w:rPr>
              <w:t>14</w:t>
            </w:r>
          </w:p>
        </w:tc>
        <w:tc>
          <w:tcPr>
            <w:tcW w:w="1275" w:type="dxa"/>
            <w:tcBorders>
              <w:top w:val="nil"/>
              <w:left w:val="nil"/>
              <w:bottom w:val="single" w:color="auto" w:sz="4" w:space="0"/>
              <w:right w:val="single" w:color="auto" w:sz="4" w:space="0"/>
            </w:tcBorders>
            <w:noWrap/>
            <w:vAlign w:val="center"/>
          </w:tcPr>
          <w:p w14:paraId="0BDA4C26">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2528052E">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072EB886">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266E231A">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25944D21">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6E96A55E">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544D3B94">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3020E42D">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09EC64BA">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4B5ACA6B">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756359B2">
            <w:pPr>
              <w:widowControl/>
              <w:jc w:val="center"/>
              <w:rPr>
                <w:rFonts w:ascii="宋体" w:hAnsi="宋体" w:eastAsia="宋体" w:cs="Arial"/>
                <w:kern w:val="0"/>
                <w:sz w:val="22"/>
                <w:szCs w:val="22"/>
              </w:rPr>
            </w:pPr>
            <w:r>
              <w:rPr>
                <w:rFonts w:hint="eastAsia" w:ascii="宋体" w:hAnsi="宋体" w:eastAsia="宋体" w:cs="Arial"/>
                <w:kern w:val="0"/>
                <w:sz w:val="22"/>
                <w:szCs w:val="22"/>
              </w:rPr>
              <w:t>15</w:t>
            </w:r>
          </w:p>
        </w:tc>
        <w:tc>
          <w:tcPr>
            <w:tcW w:w="1275" w:type="dxa"/>
            <w:tcBorders>
              <w:top w:val="nil"/>
              <w:left w:val="nil"/>
              <w:bottom w:val="single" w:color="auto" w:sz="4" w:space="0"/>
              <w:right w:val="single" w:color="auto" w:sz="4" w:space="0"/>
            </w:tcBorders>
            <w:noWrap/>
            <w:vAlign w:val="center"/>
          </w:tcPr>
          <w:p w14:paraId="756B42AE">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65ED61AC">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3DE83DDF">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60270FA8">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15DAD052">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3352248F">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53EEECAD">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265AD591">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3FD7840F">
            <w:pPr>
              <w:widowControl/>
              <w:jc w:val="left"/>
              <w:rPr>
                <w:rFonts w:ascii="Arial" w:hAnsi="Arial" w:eastAsia="宋体" w:cs="Arial"/>
                <w:kern w:val="0"/>
                <w:sz w:val="24"/>
                <w:szCs w:val="24"/>
              </w:rPr>
            </w:pPr>
          </w:p>
        </w:tc>
      </w:tr>
      <w:tr w14:paraId="6F0B9385">
        <w:trPr>
          <w:trHeight w:val="300" w:hRule="atLeast"/>
        </w:trPr>
        <w:tc>
          <w:tcPr>
            <w:tcW w:w="4821" w:type="dxa"/>
            <w:gridSpan w:val="4"/>
            <w:tcBorders>
              <w:top w:val="nil"/>
              <w:left w:val="nil"/>
              <w:bottom w:val="nil"/>
              <w:right w:val="nil"/>
            </w:tcBorders>
            <w:noWrap/>
            <w:vAlign w:val="center"/>
          </w:tcPr>
          <w:p w14:paraId="1590F9F1">
            <w:pPr>
              <w:widowControl/>
              <w:jc w:val="left"/>
              <w:rPr>
                <w:rFonts w:ascii="宋体" w:hAnsi="宋体" w:eastAsia="宋体" w:cs="Arial"/>
                <w:kern w:val="0"/>
                <w:sz w:val="24"/>
                <w:szCs w:val="24"/>
              </w:rPr>
            </w:pPr>
            <w:r>
              <w:rPr>
                <w:rFonts w:hint="eastAsia" w:ascii="宋体" w:hAnsi="宋体" w:eastAsia="宋体" w:cs="Arial"/>
                <w:kern w:val="0"/>
                <w:sz w:val="24"/>
                <w:szCs w:val="24"/>
              </w:rPr>
              <w:t>填表人：</w:t>
            </w:r>
          </w:p>
        </w:tc>
        <w:tc>
          <w:tcPr>
            <w:tcW w:w="2409" w:type="dxa"/>
            <w:tcBorders>
              <w:top w:val="nil"/>
              <w:left w:val="nil"/>
              <w:bottom w:val="nil"/>
              <w:right w:val="nil"/>
            </w:tcBorders>
            <w:noWrap/>
            <w:vAlign w:val="bottom"/>
          </w:tcPr>
          <w:p w14:paraId="14E761A2">
            <w:pPr>
              <w:widowControl/>
              <w:jc w:val="left"/>
              <w:rPr>
                <w:rFonts w:ascii="Arial" w:hAnsi="Arial" w:eastAsia="宋体" w:cs="Arial"/>
                <w:kern w:val="0"/>
                <w:sz w:val="24"/>
                <w:szCs w:val="24"/>
              </w:rPr>
            </w:pPr>
            <w:r>
              <w:rPr>
                <w:rFonts w:hint="eastAsia" w:ascii="宋体" w:hAnsi="宋体" w:eastAsia="宋体" w:cs="Arial"/>
                <w:kern w:val="0"/>
                <w:sz w:val="24"/>
                <w:szCs w:val="24"/>
              </w:rPr>
              <w:t>审核人：</w:t>
            </w:r>
          </w:p>
        </w:tc>
        <w:tc>
          <w:tcPr>
            <w:tcW w:w="2268" w:type="dxa"/>
            <w:tcBorders>
              <w:top w:val="nil"/>
              <w:left w:val="nil"/>
              <w:bottom w:val="nil"/>
              <w:right w:val="nil"/>
            </w:tcBorders>
            <w:noWrap/>
            <w:vAlign w:val="bottom"/>
          </w:tcPr>
          <w:p w14:paraId="54229558">
            <w:pPr>
              <w:widowControl/>
              <w:jc w:val="left"/>
              <w:rPr>
                <w:rFonts w:ascii="宋体" w:hAnsi="宋体" w:eastAsia="宋体" w:cs="Arial"/>
                <w:kern w:val="0"/>
                <w:sz w:val="24"/>
                <w:szCs w:val="24"/>
              </w:rPr>
            </w:pPr>
          </w:p>
        </w:tc>
        <w:tc>
          <w:tcPr>
            <w:tcW w:w="3969" w:type="dxa"/>
            <w:gridSpan w:val="3"/>
            <w:tcBorders>
              <w:top w:val="nil"/>
              <w:left w:val="nil"/>
              <w:bottom w:val="nil"/>
              <w:right w:val="nil"/>
            </w:tcBorders>
            <w:noWrap/>
            <w:vAlign w:val="bottom"/>
          </w:tcPr>
          <w:p w14:paraId="3C939B5E">
            <w:pPr>
              <w:widowControl/>
              <w:jc w:val="left"/>
              <w:rPr>
                <w:rFonts w:ascii="宋体" w:hAnsi="宋体" w:eastAsia="宋体" w:cs="Arial"/>
                <w:kern w:val="0"/>
                <w:sz w:val="24"/>
                <w:szCs w:val="24"/>
              </w:rPr>
            </w:pPr>
            <w:r>
              <w:rPr>
                <w:rFonts w:hint="eastAsia" w:ascii="宋体" w:hAnsi="宋体" w:eastAsia="宋体" w:cs="Arial"/>
                <w:kern w:val="0"/>
                <w:sz w:val="24"/>
                <w:szCs w:val="24"/>
              </w:rPr>
              <w:t>单位负责人：</w:t>
            </w:r>
          </w:p>
        </w:tc>
        <w:tc>
          <w:tcPr>
            <w:tcW w:w="1444" w:type="dxa"/>
            <w:tcBorders>
              <w:top w:val="nil"/>
              <w:left w:val="nil"/>
              <w:bottom w:val="nil"/>
              <w:right w:val="nil"/>
            </w:tcBorders>
            <w:noWrap/>
            <w:vAlign w:val="bottom"/>
          </w:tcPr>
          <w:p w14:paraId="28934C09">
            <w:pPr>
              <w:widowControl/>
              <w:jc w:val="left"/>
              <w:rPr>
                <w:rFonts w:ascii="Arial" w:hAnsi="Arial" w:eastAsia="宋体" w:cs="Arial"/>
                <w:kern w:val="0"/>
                <w:sz w:val="24"/>
                <w:szCs w:val="24"/>
              </w:rPr>
            </w:pPr>
          </w:p>
        </w:tc>
      </w:tr>
    </w:tbl>
    <w:p w14:paraId="22416B00">
      <w:pPr>
        <w:pStyle w:val="7"/>
        <w:ind w:left="0" w:firstLine="0" w:firstLineChars="0"/>
        <w:jc w:val="left"/>
        <w:rPr>
          <w:rFonts w:hint="eastAsia"/>
        </w:rPr>
        <w:sectPr>
          <w:pgSz w:w="16838" w:h="11906" w:orient="landscape"/>
          <w:pgMar w:top="1080" w:right="1440" w:bottom="1080" w:left="1440" w:header="851" w:footer="992" w:gutter="0"/>
          <w:pgNumType w:fmt="numberInDash"/>
          <w:cols w:space="720" w:num="1"/>
          <w:docGrid w:type="lines" w:linePitch="435" w:charSpace="0"/>
        </w:sectPr>
      </w:pPr>
    </w:p>
    <w:p w14:paraId="6A2720F4">
      <w:pPr>
        <w:tabs>
          <w:tab w:val="left" w:pos="1268"/>
        </w:tabs>
        <w:spacing w:line="440" w:lineRule="exact"/>
        <w:rPr>
          <w:rFonts w:hint="eastAsia" w:ascii="方正小标宋简体" w:hAnsi="Songti SC" w:eastAsia="黑体"/>
          <w:sz w:val="36"/>
          <w:szCs w:val="36"/>
        </w:rPr>
      </w:pPr>
      <w:r>
        <w:rPr>
          <w:rFonts w:hint="eastAsia" w:ascii="黑体" w:hAnsi="黑体" w:eastAsia="黑体"/>
        </w:rPr>
        <w:t>附件3</w:t>
      </w:r>
    </w:p>
    <w:p w14:paraId="58DFED5F">
      <w:pPr>
        <w:spacing w:line="440" w:lineRule="exact"/>
        <w:jc w:val="center"/>
        <w:rPr>
          <w:rFonts w:hint="eastAsia" w:ascii="方正小标宋简体" w:hAnsi="Songti SC" w:eastAsia="方正小标宋简体"/>
          <w:sz w:val="36"/>
          <w:szCs w:val="36"/>
          <w:lang w:eastAsia="zh-CN"/>
        </w:rPr>
      </w:pPr>
      <w:r>
        <w:rPr>
          <w:rFonts w:hint="eastAsia" w:ascii="方正小标宋简体" w:hAnsi="Songti SC" w:eastAsia="方正小标宋简体"/>
          <w:sz w:val="36"/>
          <w:szCs w:val="36"/>
        </w:rPr>
        <w:t>2025年北京市青少年</w:t>
      </w:r>
      <w:r>
        <w:rPr>
          <w:rFonts w:hint="eastAsia" w:ascii="方正小标宋简体" w:hAnsi="Songti SC" w:eastAsia="方正小标宋简体"/>
          <w:sz w:val="36"/>
          <w:szCs w:val="36"/>
          <w:lang w:eastAsia="zh-CN"/>
        </w:rPr>
        <w:t>垒球锦标赛</w:t>
      </w:r>
    </w:p>
    <w:p w14:paraId="62B81313">
      <w:pPr>
        <w:spacing w:line="440" w:lineRule="exact"/>
        <w:jc w:val="center"/>
        <w:rPr>
          <w:rFonts w:hint="eastAsia" w:ascii="方正小标宋简体" w:hAnsi="Songti SC" w:eastAsia="方正小标宋简体"/>
          <w:sz w:val="36"/>
          <w:szCs w:val="36"/>
        </w:rPr>
      </w:pPr>
      <w:r>
        <w:rPr>
          <w:rFonts w:hint="eastAsia" w:ascii="方正小标宋简体" w:hAnsi="Songti SC" w:eastAsia="方正小标宋简体"/>
          <w:sz w:val="36"/>
          <w:szCs w:val="36"/>
        </w:rPr>
        <w:t>参赛承诺书</w:t>
      </w:r>
    </w:p>
    <w:p w14:paraId="29A3087B">
      <w:pPr>
        <w:autoSpaceDE w:val="0"/>
        <w:spacing w:line="310" w:lineRule="exact"/>
        <w:jc w:val="left"/>
        <w:rPr>
          <w:rFonts w:hint="eastAsia" w:hAnsi="仿宋" w:cs="宋体"/>
          <w:kern w:val="0"/>
          <w:sz w:val="24"/>
          <w:szCs w:val="24"/>
          <w:u w:val="single"/>
        </w:rPr>
      </w:pPr>
    </w:p>
    <w:p w14:paraId="1BEA41E4">
      <w:pPr>
        <w:autoSpaceDE w:val="0"/>
        <w:spacing w:line="310" w:lineRule="exact"/>
        <w:ind w:firstLine="566" w:firstLineChars="236"/>
        <w:jc w:val="left"/>
        <w:rPr>
          <w:rFonts w:hint="eastAsia" w:hAnsi="仿宋"/>
          <w:kern w:val="0"/>
          <w:sz w:val="24"/>
          <w:szCs w:val="24"/>
          <w:u w:val="single"/>
        </w:rPr>
      </w:pPr>
      <w:r>
        <w:rPr>
          <w:rFonts w:hint="eastAsia" w:hAnsi="仿宋"/>
          <w:kern w:val="0"/>
          <w:sz w:val="24"/>
          <w:szCs w:val="24"/>
          <w:u w:val="single"/>
        </w:rPr>
        <w:t xml:space="preserve">                           </w:t>
      </w:r>
      <w:r>
        <w:rPr>
          <w:rFonts w:hint="eastAsia" w:hAnsi="仿宋"/>
          <w:kern w:val="0"/>
          <w:sz w:val="24"/>
          <w:szCs w:val="24"/>
        </w:rPr>
        <w:t>（以下简称“本单位”）自愿组队参加北京市青少年</w:t>
      </w:r>
      <w:r>
        <w:rPr>
          <w:rFonts w:hint="eastAsia" w:hAnsi="仿宋"/>
          <w:kern w:val="0"/>
          <w:sz w:val="24"/>
          <w:szCs w:val="24"/>
          <w:lang w:eastAsia="zh-CN"/>
        </w:rPr>
        <w:t>垒球锦标赛</w:t>
      </w:r>
      <w:r>
        <w:rPr>
          <w:rFonts w:hint="eastAsia" w:hAnsi="仿宋"/>
          <w:kern w:val="0"/>
          <w:sz w:val="24"/>
          <w:szCs w:val="24"/>
        </w:rPr>
        <w:t>比赛（以下简称“赛事”或“比赛”）。</w:t>
      </w:r>
    </w:p>
    <w:p w14:paraId="1A1A46DD">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14:paraId="69671228">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14:paraId="56726B61">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0F71B812">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14:paraId="1586C65F">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四、</w:t>
      </w:r>
      <w:r>
        <w:rPr>
          <w:rFonts w:hint="eastAsia" w:hAnsi="仿宋" w:cs="宋体"/>
          <w:color w:val="auto"/>
          <w:kern w:val="0"/>
          <w:sz w:val="24"/>
          <w:highlight w:val="none"/>
        </w:rPr>
        <w:t>保证本单位</w:t>
      </w:r>
      <w:r>
        <w:rPr>
          <w:rFonts w:hint="eastAsia" w:hAnsi="仿宋" w:cs="宋体"/>
          <w:color w:val="auto"/>
          <w:kern w:val="0"/>
          <w:sz w:val="24"/>
          <w:highlight w:val="none"/>
          <w:lang w:eastAsia="zh-CN"/>
        </w:rPr>
        <w:t>参赛人员</w:t>
      </w:r>
      <w:r>
        <w:rPr>
          <w:rFonts w:hint="eastAsia" w:hAnsi="仿宋" w:cs="宋体"/>
          <w:color w:val="auto"/>
          <w:kern w:val="0"/>
          <w:sz w:val="24"/>
          <w:highlight w:val="none"/>
        </w:rPr>
        <w:t>在比赛过程中遵守</w:t>
      </w:r>
      <w:r>
        <w:rPr>
          <w:rFonts w:hint="eastAsia" w:hAnsi="仿宋" w:cs="宋体"/>
          <w:color w:val="auto"/>
          <w:kern w:val="0"/>
          <w:sz w:val="24"/>
          <w:highlight w:val="none"/>
          <w:lang w:eastAsia="zh-CN"/>
        </w:rPr>
        <w:t>国家体育总局颁布的《体育赛事活动赛风赛纪管理办法》</w:t>
      </w:r>
      <w:r>
        <w:rPr>
          <w:rFonts w:hint="eastAsia" w:hAnsi="仿宋" w:cs="宋体"/>
          <w:kern w:val="0"/>
          <w:sz w:val="24"/>
          <w:highlight w:val="none"/>
          <w:lang w:eastAsia="zh-CN"/>
        </w:rPr>
        <w:t>和《反兴奋剂规则》</w:t>
      </w:r>
      <w:r>
        <w:rPr>
          <w:rFonts w:hint="eastAsia" w:hAnsi="仿宋" w:cs="宋体"/>
          <w:color w:val="auto"/>
          <w:kern w:val="0"/>
          <w:sz w:val="24"/>
          <w:highlight w:val="none"/>
          <w:lang w:eastAsia="zh-CN"/>
        </w:rPr>
        <w:t>中有关</w:t>
      </w:r>
      <w:r>
        <w:rPr>
          <w:rFonts w:hint="eastAsia" w:hAnsi="仿宋" w:cs="宋体"/>
          <w:color w:val="auto"/>
          <w:kern w:val="0"/>
          <w:sz w:val="24"/>
          <w:highlight w:val="none"/>
        </w:rPr>
        <w:t>规定，</w:t>
      </w:r>
      <w:r>
        <w:rPr>
          <w:rFonts w:hint="eastAsia" w:hAnsi="仿宋" w:cs="宋体"/>
          <w:kern w:val="0"/>
          <w:sz w:val="24"/>
        </w:rPr>
        <w:t>遵守裁判、医疗人员和安保人员的要求，不辱骂裁判、对手及工作人员，不打架斗殴</w:t>
      </w:r>
      <w:r>
        <w:rPr>
          <w:rFonts w:hint="eastAsia" w:hAnsi="仿宋" w:cs="宋体"/>
          <w:kern w:val="0"/>
          <w:sz w:val="24"/>
          <w:lang w:eastAsia="zh-CN"/>
        </w:rPr>
        <w:t>，</w:t>
      </w:r>
      <w:r>
        <w:rPr>
          <w:rFonts w:hint="eastAsia" w:hAnsi="仿宋" w:cs="宋体"/>
          <w:sz w:val="24"/>
        </w:rPr>
        <w:t>不出现任何兴奋剂违规事件</w:t>
      </w:r>
      <w:r>
        <w:rPr>
          <w:rFonts w:hint="eastAsia" w:hAnsi="仿宋" w:cs="宋体"/>
          <w:kern w:val="0"/>
          <w:sz w:val="24"/>
        </w:rPr>
        <w:t>，如有违反，将接受赛事组委会处罚及承担因此产生的所有法律责任和后果，若赛事组委会、主办单位及承办单位等因此遭受任何损失，本单位将承担赔偿责任。</w:t>
      </w:r>
    </w:p>
    <w:p w14:paraId="3FCAA90B">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14:paraId="78CF7713">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六、保证本单位运动员在比赛期间</w:t>
      </w:r>
      <w:r>
        <w:rPr>
          <w:rFonts w:hint="eastAsia" w:hAnsi="仿宋" w:cs="仿宋"/>
          <w:kern w:val="0"/>
          <w:sz w:val="24"/>
          <w:lang w:bidi="ar"/>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14:paraId="462E59BA">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2123ACD5">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62365483">
      <w:pPr>
        <w:autoSpaceDE w:val="0"/>
        <w:spacing w:line="310" w:lineRule="exact"/>
        <w:ind w:firstLine="480" w:firstLineChars="200"/>
        <w:jc w:val="left"/>
        <w:rPr>
          <w:rFonts w:hint="eastAsia" w:hAnsi="Songti SC"/>
          <w:sz w:val="24"/>
          <w:szCs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14:paraId="24C39733">
      <w:pPr>
        <w:autoSpaceDE w:val="0"/>
        <w:spacing w:line="310" w:lineRule="exact"/>
        <w:ind w:right="-58" w:firstLine="480" w:firstLineChars="200"/>
        <w:rPr>
          <w:rFonts w:hint="eastAsia" w:hAnsi="仿宋"/>
          <w:kern w:val="0"/>
          <w:sz w:val="24"/>
          <w:szCs w:val="24"/>
        </w:rPr>
      </w:pPr>
      <w:r>
        <w:rPr>
          <w:rFonts w:hint="eastAsia" w:hAnsi="仿宋"/>
          <w:kern w:val="0"/>
          <w:sz w:val="24"/>
          <w:szCs w:val="24"/>
        </w:rPr>
        <w:t xml:space="preserve"> </w:t>
      </w:r>
    </w:p>
    <w:p w14:paraId="79D96749">
      <w:pPr>
        <w:autoSpaceDE w:val="0"/>
        <w:spacing w:line="310" w:lineRule="exact"/>
        <w:ind w:right="-58" w:firstLine="480" w:firstLineChars="200"/>
        <w:rPr>
          <w:rFonts w:hint="eastAsia" w:hAnsi="仿宋"/>
          <w:kern w:val="0"/>
          <w:sz w:val="24"/>
          <w:szCs w:val="24"/>
        </w:rPr>
      </w:pPr>
      <w:r>
        <w:rPr>
          <w:rFonts w:hint="eastAsia" w:hAnsi="仿宋"/>
          <w:kern w:val="0"/>
          <w:sz w:val="24"/>
          <w:szCs w:val="24"/>
        </w:rPr>
        <w:t xml:space="preserve">领队签字：                                    </w:t>
      </w:r>
    </w:p>
    <w:p w14:paraId="47BF5060">
      <w:pPr>
        <w:autoSpaceDE w:val="0"/>
        <w:spacing w:line="310" w:lineRule="exact"/>
        <w:ind w:right="-58" w:firstLine="6000" w:firstLineChars="2500"/>
        <w:rPr>
          <w:rFonts w:hint="eastAsia" w:hAnsi="仿宋"/>
          <w:kern w:val="0"/>
          <w:sz w:val="24"/>
          <w:szCs w:val="24"/>
        </w:rPr>
      </w:pPr>
      <w:r>
        <w:rPr>
          <w:rFonts w:hint="eastAsia" w:hAnsi="仿宋"/>
          <w:kern w:val="0"/>
          <w:sz w:val="24"/>
          <w:szCs w:val="24"/>
        </w:rPr>
        <w:t xml:space="preserve"> </w:t>
      </w:r>
      <w:r>
        <w:rPr>
          <w:rFonts w:hint="eastAsia" w:hAnsi="仿宋"/>
          <w:kern w:val="0"/>
          <w:sz w:val="24"/>
          <w:szCs w:val="24"/>
          <w:u w:val="single"/>
        </w:rPr>
        <w:t xml:space="preserve">            </w:t>
      </w:r>
      <w:r>
        <w:rPr>
          <w:rFonts w:hint="eastAsia" w:hAnsi="仿宋"/>
          <w:kern w:val="0"/>
          <w:sz w:val="24"/>
          <w:szCs w:val="24"/>
        </w:rPr>
        <w:t>区体育局（盖章）</w:t>
      </w:r>
    </w:p>
    <w:p w14:paraId="16D89402">
      <w:pPr>
        <w:autoSpaceDE w:val="0"/>
        <w:spacing w:line="310" w:lineRule="exact"/>
        <w:rPr>
          <w:rFonts w:hint="eastAsia" w:ascii="黑体" w:hAnsi="黑体" w:eastAsia="黑体"/>
        </w:rPr>
      </w:pPr>
      <w:r>
        <w:rPr>
          <w:rFonts w:hint="eastAsia" w:hAnsi="仿宋"/>
          <w:kern w:val="0"/>
          <w:sz w:val="24"/>
          <w:szCs w:val="24"/>
        </w:rPr>
        <w:t xml:space="preserve">      </w:t>
      </w:r>
    </w:p>
    <w:p w14:paraId="0C152CD6">
      <w:pPr>
        <w:autoSpaceDE w:val="0"/>
        <w:spacing w:line="310" w:lineRule="exact"/>
        <w:ind w:right="420"/>
        <w:jc w:val="center"/>
        <w:rPr>
          <w:rFonts w:hint="eastAsia" w:cs="宋体"/>
        </w:rPr>
      </w:pPr>
      <w:r>
        <w:rPr>
          <w:rFonts w:hint="eastAsia" w:hAnsi="仿宋"/>
          <w:kern w:val="0"/>
          <w:sz w:val="24"/>
          <w:szCs w:val="24"/>
        </w:rPr>
        <w:t xml:space="preserve">                                           年    月    日</w:t>
      </w:r>
    </w:p>
    <w:p w14:paraId="4D1B94C8">
      <w:pPr>
        <w:spacing w:line="440" w:lineRule="exact"/>
        <w:rPr>
          <w:rFonts w:hint="eastAsia" w:ascii="黑体" w:hAnsi="黑体" w:eastAsia="黑体"/>
        </w:rPr>
      </w:pPr>
      <w:r>
        <w:rPr>
          <w:rFonts w:hint="eastAsia" w:ascii="黑体" w:hAnsi="黑体" w:eastAsia="黑体"/>
        </w:rPr>
        <w:t>附件4</w:t>
      </w:r>
    </w:p>
    <w:p w14:paraId="039CE32F">
      <w:pPr>
        <w:autoSpaceDE w:val="0"/>
        <w:snapToGrid w:val="0"/>
        <w:spacing w:line="440" w:lineRule="exact"/>
        <w:jc w:val="center"/>
        <w:rPr>
          <w:rFonts w:hint="eastAsia" w:ascii="方正小标宋简体" w:hAnsi="Songti SC" w:eastAsia="方正小标宋简体"/>
          <w:sz w:val="36"/>
          <w:szCs w:val="36"/>
          <w:lang w:eastAsia="zh-CN"/>
        </w:rPr>
      </w:pPr>
      <w:r>
        <w:rPr>
          <w:rFonts w:hint="eastAsia" w:ascii="方正小标宋简体" w:hAnsi="Songti SC" w:eastAsia="方正小标宋简体"/>
          <w:sz w:val="36"/>
          <w:szCs w:val="36"/>
        </w:rPr>
        <w:t>2025年北京市青少年</w:t>
      </w:r>
      <w:r>
        <w:rPr>
          <w:rFonts w:hint="eastAsia" w:ascii="方正小标宋简体" w:hAnsi="Songti SC" w:eastAsia="方正小标宋简体"/>
          <w:sz w:val="36"/>
          <w:szCs w:val="36"/>
          <w:lang w:eastAsia="zh-CN"/>
        </w:rPr>
        <w:t>垒球锦标赛</w:t>
      </w:r>
    </w:p>
    <w:p w14:paraId="182A2E5C">
      <w:pPr>
        <w:autoSpaceDE w:val="0"/>
        <w:snapToGrid w:val="0"/>
        <w:spacing w:line="440" w:lineRule="exact"/>
        <w:jc w:val="center"/>
        <w:rPr>
          <w:rFonts w:hint="eastAsia"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14:paraId="13913EF0">
      <w:pPr>
        <w:spacing w:line="260" w:lineRule="exact"/>
        <w:rPr>
          <w:rFonts w:hint="eastAsia" w:ascii="宋体" w:hAnsi="宋体" w:cs="宋体"/>
        </w:rPr>
      </w:pPr>
      <w:r>
        <w:rPr>
          <w:rFonts w:hint="eastAsia" w:ascii="宋体" w:hAnsi="宋体"/>
        </w:rPr>
        <w:t xml:space="preserve"> </w:t>
      </w:r>
    </w:p>
    <w:p w14:paraId="7A22EDE9">
      <w:pPr>
        <w:snapToGrid w:val="0"/>
        <w:spacing w:line="270" w:lineRule="exact"/>
        <w:rPr>
          <w:rFonts w:hint="eastAsia" w:hAnsi="仿宋" w:cs="仿宋"/>
          <w:b/>
          <w:sz w:val="24"/>
          <w:szCs w:val="24"/>
        </w:rPr>
      </w:pPr>
      <w:r>
        <w:rPr>
          <w:rFonts w:hint="eastAsia" w:hAnsi="仿宋" w:cs="仿宋"/>
          <w:b/>
          <w:sz w:val="24"/>
          <w:szCs w:val="24"/>
        </w:rPr>
        <w:t>致：2025年北京市青少年</w:t>
      </w:r>
      <w:r>
        <w:rPr>
          <w:rFonts w:hint="eastAsia" w:hAnsi="仿宋" w:cs="仿宋"/>
          <w:b/>
          <w:sz w:val="24"/>
          <w:szCs w:val="24"/>
          <w:lang w:eastAsia="zh-CN"/>
        </w:rPr>
        <w:t>垒球锦标赛</w:t>
      </w:r>
      <w:r>
        <w:rPr>
          <w:rFonts w:hint="eastAsia" w:hAnsi="仿宋" w:cs="仿宋"/>
          <w:b/>
          <w:sz w:val="24"/>
          <w:szCs w:val="24"/>
        </w:rPr>
        <w:t>主办方（以下统称“赛事主办方”）</w:t>
      </w:r>
    </w:p>
    <w:p w14:paraId="1228BB94">
      <w:pPr>
        <w:snapToGrid w:val="0"/>
        <w:spacing w:line="270" w:lineRule="exact"/>
        <w:ind w:firstLine="480" w:firstLineChars="200"/>
        <w:rPr>
          <w:rFonts w:hint="eastAsia" w:hAnsi="仿宋" w:cs="仿宋"/>
          <w:sz w:val="24"/>
          <w:szCs w:val="24"/>
        </w:rPr>
      </w:pPr>
      <w:r>
        <w:rPr>
          <w:rFonts w:hint="eastAsia" w:hAnsi="仿宋" w:cs="仿宋"/>
          <w:sz w:val="24"/>
          <w:szCs w:val="24"/>
        </w:rPr>
        <w:t>作为</w:t>
      </w:r>
      <w:r>
        <w:rPr>
          <w:rFonts w:hint="eastAsia" w:hAnsi="仿宋" w:cs="仿宋"/>
          <w:sz w:val="24"/>
          <w:szCs w:val="24"/>
          <w:lang w:eastAsia="zh-CN"/>
        </w:rPr>
        <w:t>垒球</w:t>
      </w:r>
      <w:r>
        <w:rPr>
          <w:rFonts w:hint="eastAsia" w:hAnsi="仿宋" w:cs="仿宋"/>
          <w:sz w:val="24"/>
          <w:szCs w:val="24"/>
        </w:rPr>
        <w:t>项目参赛运动员（以下简称“本人”），本人（姓名：</w:t>
      </w:r>
      <w:r>
        <w:rPr>
          <w:rFonts w:hint="eastAsia" w:hAnsi="仿宋" w:cs="仿宋"/>
          <w:sz w:val="24"/>
          <w:szCs w:val="24"/>
          <w:u w:val="single"/>
        </w:rPr>
        <w:t xml:space="preserve">            </w:t>
      </w:r>
      <w:r>
        <w:rPr>
          <w:rFonts w:hint="eastAsia" w:hAnsi="仿宋" w:cs="仿宋"/>
          <w:sz w:val="24"/>
          <w:szCs w:val="24"/>
        </w:rPr>
        <w:t>身份证号：</w:t>
      </w:r>
      <w:r>
        <w:rPr>
          <w:rFonts w:hint="eastAsia" w:hAnsi="仿宋" w:cs="仿宋"/>
          <w:sz w:val="24"/>
          <w:szCs w:val="24"/>
          <w:u w:val="single"/>
        </w:rPr>
        <w:t xml:space="preserve">                      </w:t>
      </w:r>
      <w:r>
        <w:rPr>
          <w:rFonts w:hint="eastAsia" w:hAnsi="仿宋" w:cs="仿宋"/>
          <w:sz w:val="24"/>
          <w:szCs w:val="24"/>
        </w:rPr>
        <w:t>）及本人法定监护人（姓名：</w:t>
      </w:r>
      <w:r>
        <w:rPr>
          <w:rFonts w:hint="eastAsia" w:hAnsi="仿宋" w:cs="仿宋"/>
          <w:sz w:val="24"/>
          <w:szCs w:val="24"/>
          <w:u w:val="single"/>
        </w:rPr>
        <w:t xml:space="preserve">           </w:t>
      </w:r>
      <w:r>
        <w:rPr>
          <w:rFonts w:hint="eastAsia" w:hAnsi="仿宋" w:cs="仿宋"/>
          <w:sz w:val="24"/>
          <w:szCs w:val="24"/>
        </w:rPr>
        <w:t>身份证号：</w:t>
      </w:r>
      <w:r>
        <w:rPr>
          <w:rFonts w:hint="eastAsia" w:hAnsi="仿宋" w:cs="仿宋"/>
          <w:sz w:val="24"/>
          <w:szCs w:val="24"/>
          <w:u w:val="single"/>
        </w:rPr>
        <w:t xml:space="preserve">                            </w:t>
      </w:r>
      <w:r>
        <w:rPr>
          <w:rFonts w:hint="eastAsia" w:hAnsi="仿宋" w:cs="仿宋"/>
          <w:sz w:val="24"/>
          <w:szCs w:val="24"/>
        </w:rPr>
        <w:t>）已认真阅读、全面理解并自愿签署如下声明及承诺：</w:t>
      </w:r>
    </w:p>
    <w:p w14:paraId="12DCE098">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1.本人自愿参</w:t>
      </w:r>
      <w:r>
        <w:rPr>
          <w:rFonts w:hint="eastAsia" w:hAnsi="仿宋" w:cs="仿宋"/>
          <w:color w:val="000000"/>
          <w:sz w:val="24"/>
        </w:rPr>
        <w:t>加本次赛事及一切与该赛事相关的活动（以下统称“赛事”或“比赛”），并</w:t>
      </w:r>
      <w:r>
        <w:rPr>
          <w:rFonts w:hint="eastAsia" w:hAnsi="仿宋" w:cs="仿宋"/>
          <w:sz w:val="24"/>
        </w:rPr>
        <w:t>具有参加本赛事相应的民事行为能力，且本人的法定监护人同意本人参加该赛事；</w:t>
      </w:r>
    </w:p>
    <w:p w14:paraId="274149E0">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14618991">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3</w:t>
      </w:r>
      <w:r>
        <w:rPr>
          <w:rFonts w:hAnsi="仿宋" w:cs="仿宋"/>
          <w:sz w:val="24"/>
        </w:rPr>
        <w:t>.</w:t>
      </w:r>
      <w:r>
        <w:rPr>
          <w:rFonts w:hint="eastAsia" w:hAnsi="仿宋" w:cs="仿宋"/>
          <w:sz w:val="24"/>
        </w:rPr>
        <w:t>本人完全了解自身的身体状况，确认自身健康状况良好，</w:t>
      </w:r>
      <w:r>
        <w:rPr>
          <w:rFonts w:hAnsi="仿宋" w:cs="仿宋"/>
          <w:sz w:val="24"/>
        </w:rPr>
        <w:t>脑电图、心电图、血压、脉搏</w:t>
      </w:r>
      <w:r>
        <w:rPr>
          <w:rFonts w:hint="eastAsia" w:hAnsi="仿宋" w:cs="仿宋"/>
          <w:sz w:val="24"/>
        </w:rPr>
        <w:t>指标正常，没有任何身体不适或患有任何不适合参加比赛的疾病。本人及本人法定监护人承诺，如隐瞒任何病情，本人及本人法定监护人将自行承担由此所导致的全部后果。</w:t>
      </w:r>
    </w:p>
    <w:p w14:paraId="33CDC358">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6CA2ABF5">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54DE4F3B">
      <w:pPr>
        <w:keepNext w:val="0"/>
        <w:keepLines w:val="0"/>
        <w:pageBreakBefore w:val="0"/>
        <w:widowControl w:val="0"/>
        <w:kinsoku/>
        <w:wordWrap/>
        <w:overflowPunct/>
        <w:topLinePunct w:val="0"/>
        <w:autoSpaceDE w:val="0"/>
        <w:autoSpaceDN w:val="0"/>
        <w:bidi w:val="0"/>
        <w:adjustRightInd w:val="0"/>
        <w:snapToGrid w:val="0"/>
        <w:spacing w:line="280" w:lineRule="exact"/>
        <w:ind w:firstLine="480" w:firstLineChars="200"/>
        <w:jc w:val="left"/>
        <w:textAlignment w:val="auto"/>
        <w:rPr>
          <w:rFonts w:hAnsi="仿宋" w:cs="仿宋"/>
          <w:sz w:val="24"/>
        </w:rPr>
      </w:pPr>
      <w:r>
        <w:rPr>
          <w:rFonts w:hint="eastAsia" w:hAnsi="仿宋" w:cs="仿宋"/>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73BB9A59">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7.本人承诺以自己的名义报名参赛，同意向赛事主办方提供有效的身份证件和资料用于核实本人的身份，本人及本人法定监护人同意承担因身份证件和资料不实所产生的全部责任。</w:t>
      </w:r>
    </w:p>
    <w:p w14:paraId="39B0ABC2">
      <w:pPr>
        <w:keepNext w:val="0"/>
        <w:keepLines w:val="0"/>
        <w:pageBreakBefore w:val="0"/>
        <w:widowControl w:val="0"/>
        <w:kinsoku/>
        <w:wordWrap/>
        <w:overflowPunct/>
        <w:topLinePunct w:val="0"/>
        <w:bidi w:val="0"/>
        <w:spacing w:line="280" w:lineRule="exact"/>
        <w:ind w:firstLine="480" w:firstLineChars="200"/>
        <w:textAlignment w:val="auto"/>
        <w:rPr>
          <w:rFonts w:hAnsi="仿宋" w:cs="仿宋"/>
          <w:sz w:val="24"/>
        </w:rPr>
      </w:pPr>
      <w:r>
        <w:rPr>
          <w:rFonts w:hint="eastAsia" w:hAnsi="仿宋" w:cs="仿宋"/>
          <w:sz w:val="24"/>
        </w:rPr>
        <w:t>8</w:t>
      </w:r>
      <w:r>
        <w:rPr>
          <w:rFonts w:hAnsi="仿宋" w:cs="仿宋"/>
          <w:sz w:val="24"/>
        </w:rPr>
        <w:t>.</w:t>
      </w:r>
      <w:r>
        <w:rPr>
          <w:rFonts w:hint="eastAsia" w:hAnsi="仿宋" w:cs="仿宋"/>
          <w:sz w:val="24"/>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0D6755EB">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宋体"/>
          <w:sz w:val="24"/>
        </w:rPr>
      </w:pPr>
      <w:r>
        <w:rPr>
          <w:rFonts w:hint="eastAsia" w:hAnsi="仿宋" w:cs="宋体"/>
          <w:sz w:val="24"/>
        </w:rPr>
        <w:t>9.</w:t>
      </w:r>
      <w:r>
        <w:rPr>
          <w:rFonts w:hint="eastAsia" w:hAnsi="仿宋" w:cs="宋体"/>
          <w:sz w:val="24"/>
          <w:highlight w:val="none"/>
        </w:rPr>
        <w:t>本人</w:t>
      </w:r>
      <w:r>
        <w:rPr>
          <w:rFonts w:hint="eastAsia" w:hAnsi="仿宋" w:cs="仿宋"/>
          <w:sz w:val="24"/>
          <w:highlight w:val="none"/>
        </w:rPr>
        <w:t>及本人法定监护人</w:t>
      </w:r>
      <w:r>
        <w:rPr>
          <w:rFonts w:hint="eastAsia" w:hAnsi="仿宋" w:cs="宋体"/>
          <w:sz w:val="24"/>
          <w:highlight w:val="none"/>
        </w:rPr>
        <w:t>承诺认真贯彻</w:t>
      </w:r>
      <w:r>
        <w:rPr>
          <w:rFonts w:hint="eastAsia" w:hAnsi="仿宋" w:cs="宋体"/>
          <w:kern w:val="0"/>
          <w:sz w:val="24"/>
          <w:highlight w:val="none"/>
          <w:lang w:eastAsia="zh-CN"/>
        </w:rPr>
        <w:t>国家体育总局颁布的《体育赛事活动赛风赛纪管理办法》和《反兴奋剂规则》中相关要求</w:t>
      </w:r>
      <w:r>
        <w:rPr>
          <w:rFonts w:hint="eastAsia" w:hAnsi="仿宋" w:cs="宋体"/>
          <w:sz w:val="24"/>
          <w:highlight w:val="none"/>
        </w:rPr>
        <w:t>，</w:t>
      </w:r>
      <w:r>
        <w:rPr>
          <w:rFonts w:hint="eastAsia" w:hAnsi="仿宋" w:cs="宋体"/>
          <w:sz w:val="24"/>
        </w:rPr>
        <w:t>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5B9ECDC9">
      <w:pPr>
        <w:keepNext w:val="0"/>
        <w:keepLines w:val="0"/>
        <w:pageBreakBefore w:val="0"/>
        <w:widowControl w:val="0"/>
        <w:kinsoku/>
        <w:wordWrap/>
        <w:overflowPunct/>
        <w:topLinePunct w:val="0"/>
        <w:bidi w:val="0"/>
        <w:spacing w:line="280" w:lineRule="exact"/>
        <w:ind w:firstLine="480" w:firstLineChars="200"/>
        <w:textAlignment w:val="auto"/>
        <w:rPr>
          <w:rFonts w:hAnsi="仿宋" w:cs="宋体"/>
          <w:sz w:val="24"/>
        </w:rPr>
      </w:pPr>
      <w:r>
        <w:rPr>
          <w:rFonts w:hAnsi="仿宋" w:cs="宋体"/>
          <w:sz w:val="24"/>
        </w:rPr>
        <w:t>1</w:t>
      </w:r>
      <w:r>
        <w:rPr>
          <w:rFonts w:hint="eastAsia" w:hAnsi="仿宋" w:cs="宋体"/>
          <w:sz w:val="24"/>
          <w:lang w:val="en-US" w:eastAsia="zh-CN"/>
        </w:rPr>
        <w:t>0</w:t>
      </w:r>
      <w:r>
        <w:rPr>
          <w:rFonts w:hint="eastAsia" w:hAnsi="仿宋" w:cs="宋体"/>
          <w:sz w:val="24"/>
        </w:rPr>
        <w:t>.本人</w:t>
      </w:r>
      <w:r>
        <w:rPr>
          <w:rFonts w:hint="eastAsia" w:hAnsi="仿宋" w:cs="仿宋"/>
          <w:sz w:val="24"/>
        </w:rPr>
        <w:t>及本人法定监护人</w:t>
      </w:r>
      <w:r>
        <w:rPr>
          <w:rFonts w:hint="eastAsia" w:hAnsi="仿宋" w:cs="宋体"/>
          <w:sz w:val="24"/>
        </w:rPr>
        <w:t>将积极主动维护和宣传赛事正面形象，客观、正确对待比赛胜负，不通过媒体采访或个人社交媒体平台（包括但不限于微博、微信等）发表、散播有关赛事虚假消息或不当言论，避免不实报道对赛事</w:t>
      </w:r>
      <w:r>
        <w:rPr>
          <w:rFonts w:hint="eastAsia" w:hAnsi="仿宋" w:cs="仿宋"/>
          <w:sz w:val="24"/>
        </w:rPr>
        <w:t>主、承办方等</w:t>
      </w:r>
      <w:r>
        <w:rPr>
          <w:rFonts w:hint="eastAsia" w:hAnsi="仿宋" w:cs="宋体"/>
          <w:sz w:val="24"/>
        </w:rPr>
        <w:t>产生不良影响。</w:t>
      </w:r>
    </w:p>
    <w:p w14:paraId="5411DB0C">
      <w:pPr>
        <w:spacing w:line="270" w:lineRule="exact"/>
        <w:ind w:firstLine="480" w:firstLineChars="200"/>
        <w:rPr>
          <w:rFonts w:hint="eastAsia" w:hAnsi="仿宋"/>
          <w:sz w:val="24"/>
          <w:szCs w:val="24"/>
        </w:rPr>
      </w:pPr>
      <w:r>
        <w:rPr>
          <w:rFonts w:hint="eastAsia" w:hAnsi="仿宋" w:cs="宋体"/>
          <w:sz w:val="24"/>
        </w:rPr>
        <w:t>1</w:t>
      </w:r>
      <w:r>
        <w:rPr>
          <w:rFonts w:hint="eastAsia" w:hAnsi="仿宋" w:cs="宋体"/>
          <w:sz w:val="24"/>
          <w:lang w:val="en-US" w:eastAsia="zh-CN"/>
        </w:rPr>
        <w:t>1</w:t>
      </w:r>
      <w:r>
        <w:rPr>
          <w:rFonts w:hint="eastAsia" w:hAnsi="仿宋" w:cs="宋体"/>
          <w:sz w:val="24"/>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1E1C7FB2">
      <w:pPr>
        <w:spacing w:line="270" w:lineRule="exact"/>
        <w:ind w:firstLine="240" w:firstLineChars="100"/>
        <w:rPr>
          <w:rFonts w:hint="eastAsia" w:hAnsi="仿宋"/>
          <w:sz w:val="24"/>
          <w:szCs w:val="24"/>
        </w:rPr>
      </w:pPr>
      <w:r>
        <w:rPr>
          <w:rFonts w:hint="eastAsia" w:hAnsi="仿宋"/>
          <w:sz w:val="24"/>
          <w:szCs w:val="24"/>
        </w:rPr>
        <w:t xml:space="preserve"> </w:t>
      </w:r>
    </w:p>
    <w:p w14:paraId="36016C18">
      <w:pPr>
        <w:spacing w:line="270" w:lineRule="exact"/>
        <w:rPr>
          <w:rFonts w:hint="eastAsia" w:hAnsi="仿宋"/>
          <w:sz w:val="24"/>
          <w:szCs w:val="24"/>
        </w:rPr>
      </w:pPr>
      <w:r>
        <w:rPr>
          <w:rFonts w:hint="eastAsia" w:hAnsi="仿宋"/>
          <w:sz w:val="24"/>
          <w:szCs w:val="24"/>
        </w:rPr>
        <w:t xml:space="preserve">    运动员签字：                          法定监护人签字：</w:t>
      </w:r>
    </w:p>
    <w:p w14:paraId="65CC680B">
      <w:pPr>
        <w:spacing w:line="270" w:lineRule="exact"/>
        <w:ind w:firstLine="720" w:firstLineChars="300"/>
        <w:rPr>
          <w:rFonts w:hint="eastAsia" w:hAnsi="仿宋"/>
          <w:sz w:val="24"/>
          <w:szCs w:val="24"/>
        </w:rPr>
      </w:pPr>
      <w:r>
        <w:rPr>
          <w:rFonts w:hint="eastAsia" w:hAnsi="仿宋"/>
          <w:sz w:val="24"/>
          <w:szCs w:val="24"/>
        </w:rPr>
        <w:t xml:space="preserve"> </w:t>
      </w:r>
    </w:p>
    <w:p w14:paraId="17B208AA">
      <w:pPr>
        <w:spacing w:line="270" w:lineRule="exact"/>
        <w:ind w:firstLine="720" w:firstLineChars="300"/>
        <w:rPr>
          <w:rFonts w:hint="eastAsia" w:hAnsi="仿宋"/>
          <w:sz w:val="24"/>
          <w:szCs w:val="24"/>
        </w:rPr>
      </w:pPr>
      <w:r>
        <w:rPr>
          <w:rFonts w:hint="eastAsia" w:hAnsi="仿宋"/>
          <w:sz w:val="24"/>
          <w:szCs w:val="24"/>
        </w:rPr>
        <w:t xml:space="preserve">                                    法定监护人联系方式：    </w:t>
      </w:r>
    </w:p>
    <w:p w14:paraId="794D63D5">
      <w:pPr>
        <w:spacing w:line="270" w:lineRule="exact"/>
        <w:ind w:firstLine="480" w:firstLineChars="200"/>
        <w:rPr>
          <w:rFonts w:hint="eastAsia" w:hAnsi="仿宋" w:cs="宋体"/>
          <w:sz w:val="24"/>
        </w:rPr>
      </w:pPr>
      <w:r>
        <w:rPr>
          <w:rFonts w:hint="eastAsia" w:hAnsi="仿宋"/>
          <w:sz w:val="24"/>
          <w:szCs w:val="24"/>
        </w:rPr>
        <w:t xml:space="preserve">                                                       </w:t>
      </w:r>
      <w:r>
        <w:rPr>
          <w:rFonts w:hint="eastAsia" w:hAnsi="仿宋" w:cs="仿宋"/>
          <w:sz w:val="24"/>
          <w:szCs w:val="24"/>
        </w:rPr>
        <w:t>年    月    日</w:t>
      </w:r>
    </w:p>
    <w:sectPr>
      <w:footerReference r:id="rId4" w:type="default"/>
      <w:pgSz w:w="11906" w:h="16838"/>
      <w:pgMar w:top="873" w:right="1080" w:bottom="816" w:left="108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ongti SC">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49AB">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EFCDBA">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6EEFCDBA">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4F434">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F12DF0">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3F12DF0">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60"/>
  <w:drawingGridVerticalSpacing w:val="435"/>
  <w:displayHorizont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mMzdkMTQ1NmE0ZjFkOTc1MTM3NmViZWM1MmYzZDMifQ=="/>
  </w:docVars>
  <w:rsids>
    <w:rsidRoot w:val="00E670DE"/>
    <w:rsid w:val="00001C0C"/>
    <w:rsid w:val="00002A01"/>
    <w:rsid w:val="000045BD"/>
    <w:rsid w:val="00005040"/>
    <w:rsid w:val="00015F95"/>
    <w:rsid w:val="00023869"/>
    <w:rsid w:val="000241C7"/>
    <w:rsid w:val="00025BA8"/>
    <w:rsid w:val="00027B1A"/>
    <w:rsid w:val="00030314"/>
    <w:rsid w:val="00030485"/>
    <w:rsid w:val="00034C40"/>
    <w:rsid w:val="000414C6"/>
    <w:rsid w:val="00043683"/>
    <w:rsid w:val="00050E18"/>
    <w:rsid w:val="000521D3"/>
    <w:rsid w:val="00052D46"/>
    <w:rsid w:val="00076D34"/>
    <w:rsid w:val="0007762F"/>
    <w:rsid w:val="00080966"/>
    <w:rsid w:val="00094401"/>
    <w:rsid w:val="000A4415"/>
    <w:rsid w:val="000B231C"/>
    <w:rsid w:val="000C078B"/>
    <w:rsid w:val="000C394C"/>
    <w:rsid w:val="000D03D0"/>
    <w:rsid w:val="000D4547"/>
    <w:rsid w:val="000D6058"/>
    <w:rsid w:val="000E30EC"/>
    <w:rsid w:val="000F10EB"/>
    <w:rsid w:val="000F6BC2"/>
    <w:rsid w:val="00105611"/>
    <w:rsid w:val="001575FE"/>
    <w:rsid w:val="00161B5E"/>
    <w:rsid w:val="0017425F"/>
    <w:rsid w:val="00175FB5"/>
    <w:rsid w:val="0019240C"/>
    <w:rsid w:val="0019285B"/>
    <w:rsid w:val="001A74F2"/>
    <w:rsid w:val="001A7AA3"/>
    <w:rsid w:val="001B176F"/>
    <w:rsid w:val="001C0C45"/>
    <w:rsid w:val="001C1B1B"/>
    <w:rsid w:val="001C5139"/>
    <w:rsid w:val="001C712F"/>
    <w:rsid w:val="001C7543"/>
    <w:rsid w:val="001D53C6"/>
    <w:rsid w:val="001D75AB"/>
    <w:rsid w:val="001F10B3"/>
    <w:rsid w:val="00221E89"/>
    <w:rsid w:val="00226019"/>
    <w:rsid w:val="00230ABF"/>
    <w:rsid w:val="002332F7"/>
    <w:rsid w:val="00242D73"/>
    <w:rsid w:val="00261ECC"/>
    <w:rsid w:val="00271B54"/>
    <w:rsid w:val="00276002"/>
    <w:rsid w:val="00280979"/>
    <w:rsid w:val="00281D07"/>
    <w:rsid w:val="00292FC7"/>
    <w:rsid w:val="002C38CE"/>
    <w:rsid w:val="002D30D4"/>
    <w:rsid w:val="002D41F6"/>
    <w:rsid w:val="002E3D15"/>
    <w:rsid w:val="002E70FD"/>
    <w:rsid w:val="002F120E"/>
    <w:rsid w:val="002F7EED"/>
    <w:rsid w:val="00311B9F"/>
    <w:rsid w:val="003125EE"/>
    <w:rsid w:val="00317500"/>
    <w:rsid w:val="00333AAB"/>
    <w:rsid w:val="00341D51"/>
    <w:rsid w:val="00343E26"/>
    <w:rsid w:val="00344FF1"/>
    <w:rsid w:val="0034629A"/>
    <w:rsid w:val="00346A2B"/>
    <w:rsid w:val="003500C5"/>
    <w:rsid w:val="0035130C"/>
    <w:rsid w:val="00365E72"/>
    <w:rsid w:val="003727BF"/>
    <w:rsid w:val="00394BB2"/>
    <w:rsid w:val="003964E2"/>
    <w:rsid w:val="00396F85"/>
    <w:rsid w:val="003A12BF"/>
    <w:rsid w:val="003A348A"/>
    <w:rsid w:val="003A61A0"/>
    <w:rsid w:val="003B05E3"/>
    <w:rsid w:val="003B7CBD"/>
    <w:rsid w:val="003C0E9C"/>
    <w:rsid w:val="003C1478"/>
    <w:rsid w:val="003C309E"/>
    <w:rsid w:val="003D433B"/>
    <w:rsid w:val="003E44A4"/>
    <w:rsid w:val="003F1B6E"/>
    <w:rsid w:val="003F65B0"/>
    <w:rsid w:val="003F7E47"/>
    <w:rsid w:val="00425ECB"/>
    <w:rsid w:val="004304D4"/>
    <w:rsid w:val="0043294D"/>
    <w:rsid w:val="00450CD6"/>
    <w:rsid w:val="004512DD"/>
    <w:rsid w:val="00455903"/>
    <w:rsid w:val="00456953"/>
    <w:rsid w:val="00456BF0"/>
    <w:rsid w:val="00460885"/>
    <w:rsid w:val="00461530"/>
    <w:rsid w:val="0046299E"/>
    <w:rsid w:val="00466331"/>
    <w:rsid w:val="004739F5"/>
    <w:rsid w:val="004775E1"/>
    <w:rsid w:val="00480533"/>
    <w:rsid w:val="004817A6"/>
    <w:rsid w:val="00485CF1"/>
    <w:rsid w:val="004A0759"/>
    <w:rsid w:val="004B1275"/>
    <w:rsid w:val="004B7A4E"/>
    <w:rsid w:val="004C4936"/>
    <w:rsid w:val="004D4092"/>
    <w:rsid w:val="004E10A9"/>
    <w:rsid w:val="004E7841"/>
    <w:rsid w:val="004F63F7"/>
    <w:rsid w:val="00510B0B"/>
    <w:rsid w:val="005138B2"/>
    <w:rsid w:val="00523A31"/>
    <w:rsid w:val="0053310D"/>
    <w:rsid w:val="00535746"/>
    <w:rsid w:val="00541103"/>
    <w:rsid w:val="00573333"/>
    <w:rsid w:val="00576C52"/>
    <w:rsid w:val="00581BFB"/>
    <w:rsid w:val="005822A5"/>
    <w:rsid w:val="0058454D"/>
    <w:rsid w:val="005904F8"/>
    <w:rsid w:val="005A7629"/>
    <w:rsid w:val="005B73DF"/>
    <w:rsid w:val="005C05E8"/>
    <w:rsid w:val="005C2ACF"/>
    <w:rsid w:val="005C5C2C"/>
    <w:rsid w:val="005D670F"/>
    <w:rsid w:val="005D7022"/>
    <w:rsid w:val="005D7E2A"/>
    <w:rsid w:val="005E1D9D"/>
    <w:rsid w:val="00611794"/>
    <w:rsid w:val="00616D1A"/>
    <w:rsid w:val="00622AEE"/>
    <w:rsid w:val="00626C52"/>
    <w:rsid w:val="00633E8A"/>
    <w:rsid w:val="00640314"/>
    <w:rsid w:val="00643C66"/>
    <w:rsid w:val="00646262"/>
    <w:rsid w:val="00651A25"/>
    <w:rsid w:val="00676188"/>
    <w:rsid w:val="006768A1"/>
    <w:rsid w:val="00676BD2"/>
    <w:rsid w:val="00677C81"/>
    <w:rsid w:val="00681458"/>
    <w:rsid w:val="006829C1"/>
    <w:rsid w:val="00684A73"/>
    <w:rsid w:val="00684B56"/>
    <w:rsid w:val="00693928"/>
    <w:rsid w:val="006A05DA"/>
    <w:rsid w:val="006A6653"/>
    <w:rsid w:val="006A6990"/>
    <w:rsid w:val="006D0CBA"/>
    <w:rsid w:val="006D0F94"/>
    <w:rsid w:val="006E243F"/>
    <w:rsid w:val="007002C7"/>
    <w:rsid w:val="00707D2E"/>
    <w:rsid w:val="0071236F"/>
    <w:rsid w:val="007233E6"/>
    <w:rsid w:val="00742477"/>
    <w:rsid w:val="007641E3"/>
    <w:rsid w:val="0076556A"/>
    <w:rsid w:val="0079524E"/>
    <w:rsid w:val="00796927"/>
    <w:rsid w:val="007A17AE"/>
    <w:rsid w:val="007C6696"/>
    <w:rsid w:val="007E611D"/>
    <w:rsid w:val="007E74CD"/>
    <w:rsid w:val="007F76D3"/>
    <w:rsid w:val="0080377F"/>
    <w:rsid w:val="008048E6"/>
    <w:rsid w:val="00821313"/>
    <w:rsid w:val="0082341B"/>
    <w:rsid w:val="008442B3"/>
    <w:rsid w:val="00845D52"/>
    <w:rsid w:val="008578E8"/>
    <w:rsid w:val="00862B86"/>
    <w:rsid w:val="00874BCE"/>
    <w:rsid w:val="0089109D"/>
    <w:rsid w:val="00891CD5"/>
    <w:rsid w:val="008A5539"/>
    <w:rsid w:val="008B65FA"/>
    <w:rsid w:val="008C0F49"/>
    <w:rsid w:val="008D6D67"/>
    <w:rsid w:val="008E26E2"/>
    <w:rsid w:val="0090070B"/>
    <w:rsid w:val="00905043"/>
    <w:rsid w:val="00906903"/>
    <w:rsid w:val="00912403"/>
    <w:rsid w:val="009176EA"/>
    <w:rsid w:val="00921769"/>
    <w:rsid w:val="009228AA"/>
    <w:rsid w:val="00922F17"/>
    <w:rsid w:val="00925D9A"/>
    <w:rsid w:val="00927973"/>
    <w:rsid w:val="009324E7"/>
    <w:rsid w:val="00941176"/>
    <w:rsid w:val="00942C60"/>
    <w:rsid w:val="009602A4"/>
    <w:rsid w:val="00967338"/>
    <w:rsid w:val="00971885"/>
    <w:rsid w:val="00974E1C"/>
    <w:rsid w:val="00986BED"/>
    <w:rsid w:val="00990D4F"/>
    <w:rsid w:val="009932F7"/>
    <w:rsid w:val="009B00B2"/>
    <w:rsid w:val="009B4E29"/>
    <w:rsid w:val="009D4FC2"/>
    <w:rsid w:val="009D5BFD"/>
    <w:rsid w:val="009E075E"/>
    <w:rsid w:val="009E301F"/>
    <w:rsid w:val="009F4D1F"/>
    <w:rsid w:val="009F565B"/>
    <w:rsid w:val="00A0591E"/>
    <w:rsid w:val="00A12F83"/>
    <w:rsid w:val="00A21D6C"/>
    <w:rsid w:val="00A25CD4"/>
    <w:rsid w:val="00A40259"/>
    <w:rsid w:val="00A65958"/>
    <w:rsid w:val="00A66E4B"/>
    <w:rsid w:val="00A83E04"/>
    <w:rsid w:val="00A8785F"/>
    <w:rsid w:val="00A9028A"/>
    <w:rsid w:val="00A961A1"/>
    <w:rsid w:val="00AA522B"/>
    <w:rsid w:val="00AD44C4"/>
    <w:rsid w:val="00AE331D"/>
    <w:rsid w:val="00B03E02"/>
    <w:rsid w:val="00B35014"/>
    <w:rsid w:val="00B44596"/>
    <w:rsid w:val="00B51316"/>
    <w:rsid w:val="00B51822"/>
    <w:rsid w:val="00B53810"/>
    <w:rsid w:val="00B71EB6"/>
    <w:rsid w:val="00B8014C"/>
    <w:rsid w:val="00B87820"/>
    <w:rsid w:val="00B9341D"/>
    <w:rsid w:val="00BA212E"/>
    <w:rsid w:val="00BC1DE4"/>
    <w:rsid w:val="00BD1057"/>
    <w:rsid w:val="00BE2CCE"/>
    <w:rsid w:val="00BE2CEB"/>
    <w:rsid w:val="00BE3E25"/>
    <w:rsid w:val="00BE59D1"/>
    <w:rsid w:val="00BF359F"/>
    <w:rsid w:val="00BF61B4"/>
    <w:rsid w:val="00C015CD"/>
    <w:rsid w:val="00C04117"/>
    <w:rsid w:val="00C12782"/>
    <w:rsid w:val="00C250A1"/>
    <w:rsid w:val="00C34648"/>
    <w:rsid w:val="00C44682"/>
    <w:rsid w:val="00C52456"/>
    <w:rsid w:val="00C52B9F"/>
    <w:rsid w:val="00C537AD"/>
    <w:rsid w:val="00C6091F"/>
    <w:rsid w:val="00C81FE4"/>
    <w:rsid w:val="00C82025"/>
    <w:rsid w:val="00C95AD4"/>
    <w:rsid w:val="00CA4804"/>
    <w:rsid w:val="00CC0784"/>
    <w:rsid w:val="00CC39A4"/>
    <w:rsid w:val="00CD3714"/>
    <w:rsid w:val="00CE4935"/>
    <w:rsid w:val="00CF5A66"/>
    <w:rsid w:val="00D1277D"/>
    <w:rsid w:val="00D23301"/>
    <w:rsid w:val="00D269CA"/>
    <w:rsid w:val="00D45E94"/>
    <w:rsid w:val="00D47FF2"/>
    <w:rsid w:val="00D53EEE"/>
    <w:rsid w:val="00D62FF2"/>
    <w:rsid w:val="00D77002"/>
    <w:rsid w:val="00D77B5D"/>
    <w:rsid w:val="00D802DE"/>
    <w:rsid w:val="00D86CEF"/>
    <w:rsid w:val="00D9392B"/>
    <w:rsid w:val="00DA7993"/>
    <w:rsid w:val="00DB4BF7"/>
    <w:rsid w:val="00DC5DF5"/>
    <w:rsid w:val="00DD0595"/>
    <w:rsid w:val="00DE7050"/>
    <w:rsid w:val="00E035DE"/>
    <w:rsid w:val="00E03747"/>
    <w:rsid w:val="00E167DB"/>
    <w:rsid w:val="00E25A6C"/>
    <w:rsid w:val="00E361DF"/>
    <w:rsid w:val="00E52ED6"/>
    <w:rsid w:val="00E618BE"/>
    <w:rsid w:val="00E663DE"/>
    <w:rsid w:val="00E670DE"/>
    <w:rsid w:val="00E73E1F"/>
    <w:rsid w:val="00E805AB"/>
    <w:rsid w:val="00E815DF"/>
    <w:rsid w:val="00E9073A"/>
    <w:rsid w:val="00EA00DB"/>
    <w:rsid w:val="00EA2500"/>
    <w:rsid w:val="00EA512A"/>
    <w:rsid w:val="00EA5357"/>
    <w:rsid w:val="00EA6939"/>
    <w:rsid w:val="00EC41FF"/>
    <w:rsid w:val="00EC6676"/>
    <w:rsid w:val="00ED5154"/>
    <w:rsid w:val="00ED6CFE"/>
    <w:rsid w:val="00EE2DFA"/>
    <w:rsid w:val="00F071F8"/>
    <w:rsid w:val="00F1672B"/>
    <w:rsid w:val="00F16808"/>
    <w:rsid w:val="00F21CE2"/>
    <w:rsid w:val="00F34F4A"/>
    <w:rsid w:val="00F46E57"/>
    <w:rsid w:val="00F50B35"/>
    <w:rsid w:val="00F5332D"/>
    <w:rsid w:val="00F60D6C"/>
    <w:rsid w:val="00F636C6"/>
    <w:rsid w:val="00F7140B"/>
    <w:rsid w:val="00F85C42"/>
    <w:rsid w:val="00F9250F"/>
    <w:rsid w:val="00FA2CF6"/>
    <w:rsid w:val="00FA54BB"/>
    <w:rsid w:val="00FC092B"/>
    <w:rsid w:val="00FC0EC1"/>
    <w:rsid w:val="00FD4952"/>
    <w:rsid w:val="00FE1B9E"/>
    <w:rsid w:val="00FF555B"/>
    <w:rsid w:val="00FF59C0"/>
    <w:rsid w:val="00FF66D1"/>
    <w:rsid w:val="00FF7930"/>
    <w:rsid w:val="01207B0A"/>
    <w:rsid w:val="018A7679"/>
    <w:rsid w:val="02295499"/>
    <w:rsid w:val="03F91F91"/>
    <w:rsid w:val="04C51662"/>
    <w:rsid w:val="052A3916"/>
    <w:rsid w:val="075B33EF"/>
    <w:rsid w:val="08346F76"/>
    <w:rsid w:val="087D720C"/>
    <w:rsid w:val="08CB04FB"/>
    <w:rsid w:val="0BFF0B93"/>
    <w:rsid w:val="0C8F4D2C"/>
    <w:rsid w:val="0EC8524E"/>
    <w:rsid w:val="0F287139"/>
    <w:rsid w:val="135E7365"/>
    <w:rsid w:val="14EE187D"/>
    <w:rsid w:val="15155054"/>
    <w:rsid w:val="169F4FFE"/>
    <w:rsid w:val="1932711D"/>
    <w:rsid w:val="1ABB083F"/>
    <w:rsid w:val="1E6F3A27"/>
    <w:rsid w:val="229121BE"/>
    <w:rsid w:val="25861231"/>
    <w:rsid w:val="26660B73"/>
    <w:rsid w:val="27EE5B9E"/>
    <w:rsid w:val="292F6750"/>
    <w:rsid w:val="2B563AAC"/>
    <w:rsid w:val="2C267E09"/>
    <w:rsid w:val="30E37F02"/>
    <w:rsid w:val="31E70B6F"/>
    <w:rsid w:val="3523490A"/>
    <w:rsid w:val="399668CB"/>
    <w:rsid w:val="3B1B638A"/>
    <w:rsid w:val="3B2C2A33"/>
    <w:rsid w:val="42263EFD"/>
    <w:rsid w:val="428B3715"/>
    <w:rsid w:val="45511DD5"/>
    <w:rsid w:val="47AD71EA"/>
    <w:rsid w:val="48A75545"/>
    <w:rsid w:val="495279EA"/>
    <w:rsid w:val="49940662"/>
    <w:rsid w:val="4B58121B"/>
    <w:rsid w:val="4E1F71F3"/>
    <w:rsid w:val="4E7D111F"/>
    <w:rsid w:val="505478CA"/>
    <w:rsid w:val="57EB7CFE"/>
    <w:rsid w:val="58484A6E"/>
    <w:rsid w:val="5AC63F02"/>
    <w:rsid w:val="5BAC0691"/>
    <w:rsid w:val="5C734374"/>
    <w:rsid w:val="5CD11C8B"/>
    <w:rsid w:val="5CE04A5F"/>
    <w:rsid w:val="5D0A5751"/>
    <w:rsid w:val="5DED03BC"/>
    <w:rsid w:val="5E427EDC"/>
    <w:rsid w:val="62A0377C"/>
    <w:rsid w:val="62A3326C"/>
    <w:rsid w:val="643D14BE"/>
    <w:rsid w:val="64553478"/>
    <w:rsid w:val="65C6314B"/>
    <w:rsid w:val="66D455B4"/>
    <w:rsid w:val="670E0185"/>
    <w:rsid w:val="6BA16605"/>
    <w:rsid w:val="6BF33AE7"/>
    <w:rsid w:val="6CFD6D97"/>
    <w:rsid w:val="6DAD5001"/>
    <w:rsid w:val="6EFE7231"/>
    <w:rsid w:val="74414D7D"/>
    <w:rsid w:val="75F86B55"/>
    <w:rsid w:val="765F4B7F"/>
    <w:rsid w:val="77FE09B3"/>
    <w:rsid w:val="78B75E9C"/>
    <w:rsid w:val="79115E54"/>
    <w:rsid w:val="79673885"/>
    <w:rsid w:val="7BB32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link w:val="13"/>
    <w:qFormat/>
    <w:uiPriority w:val="99"/>
    <w:pPr>
      <w:jc w:val="left"/>
    </w:pPr>
    <w:rPr>
      <w:rFonts w:ascii="Times New Roman" w:eastAsia="宋体" w:cs="Times New Roman"/>
      <w:sz w:val="21"/>
      <w:szCs w:val="21"/>
    </w:rPr>
  </w:style>
  <w:style w:type="paragraph" w:styleId="3">
    <w:name w:val="Date"/>
    <w:basedOn w:val="1"/>
    <w:next w:val="1"/>
    <w:link w:val="14"/>
    <w:qFormat/>
    <w:uiPriority w:val="0"/>
    <w:pPr>
      <w:ind w:left="100" w:leftChars="2500"/>
    </w:pPr>
    <w:rPr>
      <w:rFonts w:cs="Times New Roman"/>
    </w:rPr>
  </w:style>
  <w:style w:type="paragraph" w:styleId="4">
    <w:name w:val="Balloon Text"/>
    <w:basedOn w:val="1"/>
    <w:link w:val="15"/>
    <w:qFormat/>
    <w:uiPriority w:val="0"/>
    <w:rPr>
      <w:rFonts w:cs="Times New Roman"/>
      <w:sz w:val="18"/>
      <w:szCs w:val="18"/>
    </w:rPr>
  </w:style>
  <w:style w:type="paragraph" w:styleId="5">
    <w:name w:val="footer"/>
    <w:basedOn w:val="1"/>
    <w:link w:val="16"/>
    <w:qFormat/>
    <w:uiPriority w:val="99"/>
    <w:pPr>
      <w:tabs>
        <w:tab w:val="center" w:pos="4153"/>
        <w:tab w:val="right" w:pos="8306"/>
      </w:tabs>
      <w:snapToGrid w:val="0"/>
      <w:jc w:val="left"/>
    </w:pPr>
    <w:rPr>
      <w:rFonts w:cs="Times New Roman"/>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7">
    <w:name w:val="List"/>
    <w:basedOn w:val="1"/>
    <w:qFormat/>
    <w:uiPriority w:val="99"/>
    <w:pPr>
      <w:ind w:left="200" w:hanging="200" w:hangingChars="200"/>
      <w:contextualSpacing/>
    </w:pPr>
    <w:rPr>
      <w:rFonts w:ascii="Calibri" w:hAnsi="Calibri" w:eastAsia="方正仿宋简体" w:cs="Calibri"/>
      <w:szCs w:val="22"/>
    </w:rPr>
  </w:style>
  <w:style w:type="character" w:styleId="10">
    <w:name w:val="page number"/>
    <w:qFormat/>
    <w:uiPriority w:val="0"/>
    <w:rPr>
      <w:rFonts w:ascii="Times New Roman" w:hAnsi="Times New Roman" w:eastAsia="宋体" w:cs="Times New Roman"/>
    </w:rPr>
  </w:style>
  <w:style w:type="character" w:styleId="11">
    <w:name w:val="Hyperlink"/>
    <w:unhideWhenUsed/>
    <w:qFormat/>
    <w:uiPriority w:val="0"/>
    <w:rPr>
      <w:u w:val="single"/>
    </w:rPr>
  </w:style>
  <w:style w:type="character" w:styleId="12">
    <w:name w:val="annotation reference"/>
    <w:unhideWhenUsed/>
    <w:qFormat/>
    <w:uiPriority w:val="0"/>
    <w:rPr>
      <w:sz w:val="21"/>
      <w:szCs w:val="21"/>
    </w:rPr>
  </w:style>
  <w:style w:type="character" w:customStyle="1" w:styleId="13">
    <w:name w:val="批注文字 字符1"/>
    <w:link w:val="2"/>
    <w:qFormat/>
    <w:uiPriority w:val="99"/>
    <w:rPr>
      <w:rFonts w:cs="Calibri"/>
      <w:kern w:val="2"/>
      <w:sz w:val="21"/>
      <w:szCs w:val="21"/>
    </w:rPr>
  </w:style>
  <w:style w:type="character" w:customStyle="1" w:styleId="14">
    <w:name w:val="日期 字符"/>
    <w:link w:val="3"/>
    <w:qFormat/>
    <w:uiPriority w:val="0"/>
    <w:rPr>
      <w:rFonts w:ascii="仿宋_GB2312" w:eastAsia="仿宋_GB2312" w:cs="仿宋_GB2312"/>
      <w:kern w:val="2"/>
      <w:sz w:val="32"/>
      <w:szCs w:val="32"/>
    </w:rPr>
  </w:style>
  <w:style w:type="character" w:customStyle="1" w:styleId="15">
    <w:name w:val="批注框文本 字符"/>
    <w:link w:val="4"/>
    <w:qFormat/>
    <w:uiPriority w:val="0"/>
    <w:rPr>
      <w:rFonts w:ascii="仿宋_GB2312" w:eastAsia="仿宋_GB2312" w:cs="仿宋_GB2312"/>
      <w:kern w:val="2"/>
      <w:sz w:val="18"/>
      <w:szCs w:val="18"/>
    </w:rPr>
  </w:style>
  <w:style w:type="character" w:customStyle="1" w:styleId="16">
    <w:name w:val="页脚 字符"/>
    <w:link w:val="5"/>
    <w:qFormat/>
    <w:uiPriority w:val="99"/>
    <w:rPr>
      <w:rFonts w:ascii="仿宋_GB2312" w:eastAsia="仿宋_GB2312" w:cs="仿宋_GB2312"/>
      <w:kern w:val="2"/>
      <w:sz w:val="18"/>
      <w:szCs w:val="18"/>
    </w:rPr>
  </w:style>
  <w:style w:type="character" w:customStyle="1" w:styleId="17">
    <w:name w:val="页眉 字符"/>
    <w:link w:val="6"/>
    <w:qFormat/>
    <w:uiPriority w:val="99"/>
    <w:rPr>
      <w:rFonts w:ascii="仿宋_GB2312" w:eastAsia="仿宋_GB2312" w:cs="仿宋_GB2312"/>
      <w:kern w:val="2"/>
      <w:sz w:val="18"/>
      <w:szCs w:val="18"/>
    </w:rPr>
  </w:style>
  <w:style w:type="paragraph" w:customStyle="1" w:styleId="18">
    <w:name w:val=" Char Char"/>
    <w:basedOn w:val="1"/>
    <w:qFormat/>
    <w:uiPriority w:val="0"/>
    <w:pPr>
      <w:widowControl/>
      <w:spacing w:after="160" w:line="240" w:lineRule="exact"/>
      <w:jc w:val="left"/>
    </w:pPr>
    <w:rPr>
      <w:rFonts w:ascii="Verdana" w:hAnsi="Verdana" w:cs="Times New Roman"/>
      <w:kern w:val="0"/>
      <w:sz w:val="24"/>
      <w:szCs w:val="20"/>
      <w:lang w:eastAsia="en-US"/>
    </w:rPr>
  </w:style>
  <w:style w:type="paragraph" w:customStyle="1" w:styleId="19">
    <w:name w:val="列表段落"/>
    <w:basedOn w:val="1"/>
    <w:qFormat/>
    <w:uiPriority w:val="34"/>
    <w:pPr>
      <w:ind w:firstLine="420" w:firstLineChars="200"/>
    </w:pPr>
  </w:style>
  <w:style w:type="character" w:customStyle="1" w:styleId="20">
    <w:name w:val="批注文字 字符"/>
    <w:qFormat/>
    <w:uiPriority w:val="0"/>
    <w:rPr>
      <w:sz w:val="24"/>
      <w:szCs w:val="24"/>
    </w:rPr>
  </w:style>
  <w:style w:type="character" w:customStyle="1" w:styleId="21">
    <w:name w:val="font71"/>
    <w:qFormat/>
    <w:uiPriority w:val="0"/>
    <w:rPr>
      <w:rFonts w:hint="eastAsia" w:ascii="黑体" w:hAnsi="宋体" w:eastAsia="黑体" w:cs="黑体"/>
      <w:color w:val="000000"/>
      <w:sz w:val="48"/>
      <w:szCs w:val="48"/>
      <w:u w:val="none"/>
    </w:rPr>
  </w:style>
  <w:style w:type="character" w:customStyle="1" w:styleId="22">
    <w:name w:val="font81"/>
    <w:qFormat/>
    <w:uiPriority w:val="0"/>
    <w:rPr>
      <w:rFonts w:hint="eastAsia" w:ascii="宋体" w:hAnsi="宋体" w:eastAsia="宋体" w:cs="宋体"/>
      <w:color w:val="000000"/>
      <w:sz w:val="48"/>
      <w:szCs w:val="48"/>
      <w:u w:val="none"/>
    </w:rPr>
  </w:style>
  <w:style w:type="character" w:customStyle="1" w:styleId="23">
    <w:name w:val="font51"/>
    <w:qFormat/>
    <w:uiPriority w:val="0"/>
    <w:rPr>
      <w:rFonts w:hint="default" w:ascii="Arial" w:hAnsi="Arial" w:cs="Arial"/>
      <w:color w:val="000000"/>
      <w:sz w:val="28"/>
      <w:szCs w:val="28"/>
      <w:u w:val="none"/>
    </w:rPr>
  </w:style>
  <w:style w:type="character" w:customStyle="1" w:styleId="24">
    <w:name w:val="font31"/>
    <w:qFormat/>
    <w:uiPriority w:val="0"/>
    <w:rPr>
      <w:rFonts w:hint="default" w:ascii="Arial" w:hAnsi="Arial" w:cs="Arial"/>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6486</Words>
  <Characters>6710</Characters>
  <Lines>54</Lines>
  <Paragraphs>15</Paragraphs>
  <TotalTime>6</TotalTime>
  <ScaleCrop>false</ScaleCrop>
  <LinksUpToDate>false</LinksUpToDate>
  <CharactersWithSpaces>7095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2025-04-27T06:58:00Z</dcterms:created>
  <dc:creator>admin</dc:creator>
  <cp:lastModifiedBy>匿名用户</cp:lastModifiedBy>
  <cp:lastPrinted>2025-04-28T08:27:00Z</cp:lastPrinted>
  <dcterms:modified xsi:type="dcterms:W3CDTF">2025-07-23T02:19:20Z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338195D1B0C647148E4FB924C0D3B236_13</vt:lpwstr>
  </property>
  <property fmtid="{D5CDD505-2E9C-101B-9397-08002B2CF9AE}" pid="4" name="KSOTemplateDocerSaveRecord">
    <vt:lpwstr>eyJoZGlkIjoiZTRmMmVkZThkZmZjNDk0ZWEzNzNkNWRmMDUzYmJiZDEiLCJ1c2VySWQiOiI3NjM2NDA2NTQifQ==</vt:lpwstr>
  </property>
</Properties>
</file>